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800"/>
      </w:pPr>
      <w:r>
        <w:t xml:space="preserve"/>
      </w:r>
    </w:p>
    <w:p>
      <w:pPr>
        <w:spacing w:before="0" w:after="80"/>
        <w:jc w:val="center"/>
      </w:pPr>
      <w:r>
        <w:rPr>
          <w:rFonts w:ascii="Arial" w:cs="Arial" w:eastAsia="Arial" w:hAnsi="Arial"/>
          <w:b/>
          <w:bCs/>
          <w:color w:val="1A3A5C"/>
          <w:sz w:val="120"/>
          <w:szCs w:val="120"/>
        </w:rPr>
        <w:t xml:space="preserve">MMS</w:t>
      </w:r>
    </w:p>
    <w:p>
      <w:pPr>
        <w:spacing w:before="0" w:after="200"/>
        <w:jc w:val="center"/>
      </w:pPr>
      <w:r>
        <w:rPr>
          <w:rFonts w:ascii="Arial" w:cs="Arial" w:eastAsia="Arial" w:hAnsi="Arial"/>
          <w:color w:val="1D4ED8"/>
          <w:sz w:val="34"/>
          <w:szCs w:val="34"/>
        </w:rPr>
        <w:t xml:space="preserve">Invoice Discounting &amp; Early Payment Platform</w:t>
      </w:r>
    </w:p>
    <w:p>
      <w:pPr>
        <w:pBdr>
          <w:bottom w:val="single" w:color="1D4ED8" w:sz="8" w:space="1"/>
        </w:pBdr>
        <w:spacing w:before="0" w:after="240"/>
      </w:pPr>
    </w:p>
    <w:p>
      <w:pPr>
        <w:spacing w:before="0" w:after="120"/>
        <w:jc w:val="center"/>
      </w:pPr>
      <w:r>
        <w:rPr>
          <w:rFonts w:ascii="Arial" w:cs="Arial" w:eastAsia="Arial" w:hAnsi="Arial"/>
          <w:b/>
          <w:bCs/>
          <w:color w:val="374151"/>
          <w:sz w:val="48"/>
          <w:szCs w:val="48"/>
        </w:rPr>
        <w:t xml:space="preserve">Specialist-Grade Complete Build Guide</w:t>
      </w:r>
    </w:p>
    <w:p>
      <w:pPr>
        <w:spacing w:before="0" w:after="360"/>
        <w:jc w:val="center"/>
      </w:pPr>
      <w:r>
        <w:rPr>
          <w:rFonts w:ascii="Arial" w:cs="Arial" w:eastAsia="Arial" w:hAnsi="Arial"/>
          <w:color w:val="6B7280"/>
          <w:sz w:val="26"/>
          <w:szCs w:val="26"/>
        </w:rPr>
        <w:t xml:space="preserve">Professional Fintech Edition — Uganda</w:t>
      </w:r>
    </w:p>
    <w:p>
      <w:pPr>
        <w:spacing w:before="0"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Document detail</w:t>
            </w:r>
          </w:p>
        </w:tc>
        <w:tc>
          <w:tcPr>
            <w:tcW w:type="dxa" w:w="5826"/>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Value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Standards</w:t>
            </w:r>
          </w:p>
        </w:tc>
        <w:tc>
          <w:tcPr>
            <w:tcW w:type="dxa" w:w="58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ISO/IEC 29148 · IEEE 829 · ISO 27001 · OWASP Top 10 · PCI-DSS · OpenAPI 3.0</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Technology</w:t>
            </w:r>
          </w:p>
        </w:tc>
        <w:tc>
          <w:tcPr>
            <w:tcW w:type="dxa" w:w="58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Node.js 20 · TypeScript · PostgreSQL 15 · React 18 · Redis · Docker</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Build duration</w:t>
            </w:r>
          </w:p>
        </w:tc>
        <w:tc>
          <w:tcPr>
            <w:tcW w:type="dxa" w:w="58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16–20 weeks (realistic) — phased go-live strategy</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Regulatory</w:t>
            </w:r>
          </w:p>
        </w:tc>
        <w:tc>
          <w:tcPr>
            <w:tcW w:type="dxa" w:w="58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Bank of Uganda fintech compliance · AML/KYC · Data Protection Act 2019</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Payments</w:t>
            </w:r>
          </w:p>
        </w:tc>
        <w:tc>
          <w:tcPr>
            <w:tcW w:type="dxa" w:w="58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MTN Mobile Money API · Airtel Money API · Uganda bank EFT/RTGS</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Security model</w:t>
            </w:r>
          </w:p>
        </w:tc>
        <w:tc>
          <w:tcPr>
            <w:tcW w:type="dxa" w:w="58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Shift-left security — embedded in every phase from day one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Version</w:t>
            </w:r>
          </w:p>
        </w:tc>
        <w:tc>
          <w:tcPr>
            <w:tcW w:type="dxa" w:w="58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2.0 — Specialist Edition · 19 March 2026</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Intended audience</w:t>
            </w:r>
          </w:p>
        </w:tc>
        <w:tc>
          <w:tcPr>
            <w:tcW w:type="dxa" w:w="58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CTO · Lead Developer · Compliance Officer · Board oversight</w:t>
            </w:r>
          </w:p>
        </w:tc>
      </w:tr>
    </w:tbl>
    <w:p>
      <w:pPr>
        <w:spacing w:before="0" w:after="0"/>
      </w:pPr>
      <w:r>
        <w:br w:type="page"/>
      </w:r>
    </w:p>
    <w:p>
      <w:pPr>
        <w:pStyle w:val="Heading1"/>
        <w:pBdr>
          <w:bottom w:val="single" w:color="1D4ED8" w:sz="12" w:space="6"/>
        </w:pBdr>
        <w:spacing w:before="480" w:after="160"/>
      </w:pPr>
      <w:r>
        <w:rPr>
          <w:rFonts w:ascii="Arial" w:cs="Arial" w:eastAsia="Arial" w:hAnsi="Arial"/>
          <w:b/>
          <w:bCs/>
          <w:color w:val="1A3A5C"/>
          <w:sz w:val="40"/>
          <w:szCs w:val="40"/>
        </w:rPr>
        <w:t xml:space="preserve">Specialist Foreword — Read Before Proceeding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1B1B" w:sz="6"/>
              <w:left w:val="single" w:color="991B1B" w:sz="16"/>
              <w:bottom w:val="single" w:color="991B1B" w:sz="2"/>
              <w:right w:val="single" w:color="991B1B" w:sz="2"/>
            </w:tcBorders>
            <w:shd w:fill="FEF2F2" w:val="clear"/>
            <w:tcMar>
              <w:top w:type="dxa" w:w="120"/>
              <w:left w:type="dxa" w:w="200"/>
              <w:bottom w:type="dxa" w:w="120"/>
              <w:right w:type="dxa" w:w="160"/>
            </w:tcMar>
          </w:tcPr>
          <w:p>
            <w:pPr>
              <w:spacing w:before="0" w:after="0"/>
            </w:pPr>
            <w:r>
              <w:rPr>
                <w:rFonts w:ascii="Arial" w:cs="Arial" w:eastAsia="Arial" w:hAnsi="Arial"/>
                <w:color w:val="991B1B"/>
                <w:sz w:val="21"/>
                <w:szCs w:val="21"/>
              </w:rPr>
              <w:t xml:space="preserve">CRITICAL: MMS handles other people's money. Every architecture decision, every line of code, and every operational process in this guide is designed with that single fact as the primary constraint. A bug in a consumer app is inconvenient. A bug in MMS's payment engine can cause a supplier not to receive funds they have already spent in anticipation of. Design accordingly.</w:t>
            </w:r>
          </w:p>
        </w:tc>
      </w:tr>
    </w:tbl>
    <w:p>
      <w:pPr>
        <w:spacing w:before="0" w:after="140"/>
      </w:pPr>
      <w:r>
        <w:t xml:space="preserve"/>
      </w:r>
    </w:p>
    <w:p>
      <w:pPr>
        <w:pStyle w:val="Heading2"/>
        <w:pBdr>
          <w:bottom w:val="single" w:color="D1D5DB" w:sz="4" w:space="4"/>
        </w:pBdr>
        <w:spacing w:before="360" w:after="140"/>
      </w:pPr>
      <w:r>
        <w:rPr>
          <w:rFonts w:ascii="Arial" w:cs="Arial" w:eastAsia="Arial" w:hAnsi="Arial"/>
          <w:b/>
          <w:bCs/>
          <w:color w:val="1A3A5C"/>
          <w:sz w:val="30"/>
          <w:szCs w:val="30"/>
        </w:rPr>
        <w:t xml:space="preserve">Why this guide is different from a standard software build guide</w:t>
      </w:r>
    </w:p>
    <w:p>
      <w:pPr>
        <w:spacing w:before="60" w:after="100"/>
        <w:jc w:val="left"/>
      </w:pPr>
      <w:r>
        <w:rPr>
          <w:rFonts w:ascii="Arial" w:cs="Arial" w:eastAsia="Arial" w:hAnsi="Arial"/>
          <w:b w:val="false"/>
          <w:bCs w:val="false"/>
          <w:i w:val="false"/>
          <w:iCs w:val="false"/>
          <w:color w:val="374151"/>
          <w:sz w:val="22"/>
          <w:szCs w:val="22"/>
        </w:rPr>
        <w:t xml:space="preserve">Most software build guides treat security, compliance, and disaster recovery as phases to be reached. This guide treats them as permanent disciplines that run in parallel with every phase from day one. This reflects how professional fintech systems are actually built — not how textbooks describe it.</w:t>
      </w:r>
    </w:p>
    <w:p>
      <w:pPr>
        <w:spacing w:before="0" w:after="100"/>
      </w:pPr>
      <w:r>
        <w:t xml:space="preserve"/>
      </w:r>
    </w:p>
    <w:p>
      <w:pPr>
        <w:spacing w:before="60" w:after="100"/>
        <w:jc w:val="left"/>
      </w:pPr>
      <w:r>
        <w:rPr>
          <w:rFonts w:ascii="Arial" w:cs="Arial" w:eastAsia="Arial" w:hAnsi="Arial"/>
          <w:b w:val="false"/>
          <w:bCs w:val="false"/>
          <w:i w:val="false"/>
          <w:iCs w:val="false"/>
          <w:color w:val="374151"/>
          <w:sz w:val="22"/>
          <w:szCs w:val="22"/>
        </w:rPr>
        <w:t xml:space="preserve">Five decisions must be made before any code is written. Each one can halt or fundamentally change the build if discovered late.</w:t>
      </w:r>
    </w:p>
    <w:p>
      <w:pPr>
        <w:spacing w:before="0" w:after="120"/>
      </w:pPr>
      <w:r>
        <w:t xml:space="preserve"/>
      </w:r>
    </w:p>
    <w:p>
      <w:pPr>
        <w:pStyle w:val="Heading3"/>
        <w:spacing w:before="260" w:after="100"/>
      </w:pPr>
      <w:r>
        <w:rPr>
          <w:rFonts w:ascii="Arial" w:cs="Arial" w:eastAsia="Arial" w:hAnsi="Arial"/>
          <w:b/>
          <w:bCs/>
          <w:color w:val="1D4ED8"/>
          <w:sz w:val="24"/>
          <w:szCs w:val="24"/>
        </w:rPr>
        <w:t xml:space="preserve">Decision 1: Build vs. Buy</w:t>
      </w:r>
    </w:p>
    <w:p>
      <w:pPr>
        <w:spacing w:before="60" w:after="100"/>
        <w:jc w:val="left"/>
      </w:pPr>
      <w:r>
        <w:rPr>
          <w:rFonts w:ascii="Arial" w:cs="Arial" w:eastAsia="Arial" w:hAnsi="Arial"/>
          <w:b w:val="false"/>
          <w:bCs w:val="false"/>
          <w:i w:val="false"/>
          <w:iCs w:val="false"/>
          <w:color w:val="374151"/>
          <w:sz w:val="22"/>
          <w:szCs w:val="22"/>
        </w:rPr>
        <w:t xml:space="preserve">Before building MMS from scratch, evaluate whether an existing platform serves your needs. Taulia, C2FO, Tradeshift, and several African fintech platforms (Pezesha, LipaLater) offer invoice financing infrastructure. Building from scratch is the right choice only when existing platforms cannot serve the Ugandan market, your business model, or your pricing requirements. This decision should be made in writing, with reasons, before Phase 0 begins.</w:t>
      </w:r>
    </w:p>
    <w:p>
      <w:pPr>
        <w:spacing w:before="0" w:after="100"/>
      </w:pPr>
      <w:r>
        <w:t xml:space="preserve"/>
      </w:r>
    </w:p>
    <w:p>
      <w:pPr>
        <w:pStyle w:val="Heading3"/>
        <w:spacing w:before="260" w:after="100"/>
      </w:pPr>
      <w:r>
        <w:rPr>
          <w:rFonts w:ascii="Arial" w:cs="Arial" w:eastAsia="Arial" w:hAnsi="Arial"/>
          <w:b/>
          <w:bCs/>
          <w:color w:val="1D4ED8"/>
          <w:sz w:val="24"/>
          <w:szCs w:val="24"/>
        </w:rPr>
        <w:t xml:space="preserve">Decision 2: Regulatory clearance timeline</w:t>
      </w:r>
    </w:p>
    <w:p>
      <w:pPr>
        <w:spacing w:before="60" w:after="100"/>
        <w:jc w:val="left"/>
      </w:pPr>
      <w:r>
        <w:rPr>
          <w:rFonts w:ascii="Arial" w:cs="Arial" w:eastAsia="Arial" w:hAnsi="Arial"/>
          <w:b w:val="false"/>
          <w:bCs w:val="false"/>
          <w:i w:val="false"/>
          <w:iCs w:val="false"/>
          <w:color w:val="374151"/>
          <w:sz w:val="22"/>
          <w:szCs w:val="22"/>
        </w:rPr>
        <w:t xml:space="preserve">Bank of Uganda's oversight of non-deposit-taking financial institutions means MMS may require a licence, a legal opinion confirming it does not require a licence, or registration as a credit institution. This process takes 3–6 months minimum. The build can proceed in parallel, but MMS cannot legally operate with real client money until this is resolved. Engage a Ugandan financial services lawyer in week one, not week sixteen.</w:t>
      </w:r>
    </w:p>
    <w:p>
      <w:pPr>
        <w:spacing w:before="0" w:after="100"/>
      </w:pPr>
      <w:r>
        <w:t xml:space="preserve"/>
      </w:r>
    </w:p>
    <w:p>
      <w:pPr>
        <w:pStyle w:val="Heading3"/>
        <w:spacing w:before="260" w:after="100"/>
      </w:pPr>
      <w:r>
        <w:rPr>
          <w:rFonts w:ascii="Arial" w:cs="Arial" w:eastAsia="Arial" w:hAnsi="Arial"/>
          <w:b/>
          <w:bCs/>
          <w:color w:val="1D4ED8"/>
          <w:sz w:val="24"/>
          <w:szCs w:val="24"/>
        </w:rPr>
        <w:t xml:space="preserve">Decision 3: Bank facility first</w:t>
      </w:r>
    </w:p>
    <w:p>
      <w:pPr>
        <w:spacing w:before="60" w:after="100"/>
        <w:jc w:val="left"/>
      </w:pPr>
      <w:r>
        <w:rPr>
          <w:rFonts w:ascii="Arial" w:cs="Arial" w:eastAsia="Arial" w:hAnsi="Arial"/>
          <w:b w:val="false"/>
          <w:bCs w:val="false"/>
          <w:i w:val="false"/>
          <w:iCs w:val="false"/>
          <w:color w:val="374151"/>
          <w:sz w:val="22"/>
          <w:szCs w:val="22"/>
        </w:rPr>
        <w:t xml:space="preserve">MMS funds invoices using bank credit lines. No bank will extend a credit facility to a fintech without seeing: the system architecture, the risk management framework, auditable controls, and proof of legal compliance. The technical build and the bank facility negotiation must run in parallel. Present the architecture documents from Phase 2 of this guide directly to your target bank's trade finance team.</w:t>
      </w:r>
    </w:p>
    <w:p>
      <w:pPr>
        <w:spacing w:before="0" w:after="100"/>
      </w:pPr>
      <w:r>
        <w:t xml:space="preserve"/>
      </w:r>
    </w:p>
    <w:p>
      <w:pPr>
        <w:pStyle w:val="Heading3"/>
        <w:spacing w:before="260" w:after="100"/>
      </w:pPr>
      <w:r>
        <w:rPr>
          <w:rFonts w:ascii="Arial" w:cs="Arial" w:eastAsia="Arial" w:hAnsi="Arial"/>
          <w:b/>
          <w:bCs/>
          <w:color w:val="1D4ED8"/>
          <w:sz w:val="24"/>
          <w:szCs w:val="24"/>
        </w:rPr>
        <w:t xml:space="preserve">Decision 4: Minimum viable team</w:t>
      </w:r>
    </w:p>
    <w:p>
      <w:pPr>
        <w:spacing w:before="60" w:after="100"/>
        <w:jc w:val="left"/>
      </w:pPr>
      <w:r>
        <w:rPr>
          <w:rFonts w:ascii="Arial" w:cs="Arial" w:eastAsia="Arial" w:hAnsi="Arial"/>
          <w:b w:val="false"/>
          <w:bCs w:val="false"/>
          <w:i w:val="false"/>
          <w:iCs w:val="false"/>
          <w:color w:val="374151"/>
          <w:sz w:val="22"/>
          <w:szCs w:val="22"/>
        </w:rPr>
        <w:t xml:space="preserve">A financial system cannot be built safely by one person. The minimum team for MMS is: one backend developer, one frontend developer who also handles DevOps, one compliance/legal officer (can be part-time or a retained law firm), and one domain expert who understands invoice financing operations. Claude Desktop augments this team — it does not replace it.</w:t>
      </w:r>
    </w:p>
    <w:p>
      <w:pPr>
        <w:spacing w:before="0" w:after="100"/>
      </w:pPr>
      <w:r>
        <w:t xml:space="preserve"/>
      </w:r>
    </w:p>
    <w:p>
      <w:pPr>
        <w:pStyle w:val="Heading3"/>
        <w:spacing w:before="260" w:after="100"/>
      </w:pPr>
      <w:r>
        <w:rPr>
          <w:rFonts w:ascii="Arial" w:cs="Arial" w:eastAsia="Arial" w:hAnsi="Arial"/>
          <w:b/>
          <w:bCs/>
          <w:color w:val="1D4ED8"/>
          <w:sz w:val="24"/>
          <w:szCs w:val="24"/>
        </w:rPr>
        <w:t xml:space="preserve">Decision 5: Pilot scope before full launch</w:t>
      </w:r>
    </w:p>
    <w:p>
      <w:pPr>
        <w:spacing w:before="60" w:after="100"/>
        <w:jc w:val="left"/>
      </w:pPr>
      <w:r>
        <w:rPr>
          <w:rFonts w:ascii="Arial" w:cs="Arial" w:eastAsia="Arial" w:hAnsi="Arial"/>
          <w:b w:val="false"/>
          <w:bCs w:val="false"/>
          <w:i w:val="false"/>
          <w:iCs w:val="false"/>
          <w:color w:val="374151"/>
          <w:sz w:val="22"/>
          <w:szCs w:val="22"/>
        </w:rPr>
        <w:t xml:space="preserve">MMS must never go live with the full platform on day one. The go-live strategy in this guide uses three gates: a closed pilot with one buyer and two suppliers for 30 days, a controlled expansion to ten buyers and twenty suppliers for 60 days, and only then a full public launch. Each gate requires a successful audit before opening.</w:t>
      </w:r>
    </w:p>
    <w:p>
      <w:pPr>
        <w:spacing w:before="0"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54F0B" w:sz="6"/>
              <w:left w:val="single" w:color="854F0B" w:sz="16"/>
              <w:bottom w:val="single" w:color="854F0B" w:sz="2"/>
              <w:right w:val="single" w:color="854F0B" w:sz="2"/>
            </w:tcBorders>
            <w:shd w:fill="FFFBEB" w:val="clear"/>
            <w:tcMar>
              <w:top w:type="dxa" w:w="120"/>
              <w:left w:type="dxa" w:w="200"/>
              <w:bottom w:type="dxa" w:w="120"/>
              <w:right w:type="dxa" w:w="160"/>
            </w:tcMar>
          </w:tcPr>
          <w:p>
            <w:pPr>
              <w:spacing w:before="0" w:after="0"/>
            </w:pPr>
            <w:r>
              <w:rPr>
                <w:rFonts w:ascii="Arial" w:cs="Arial" w:eastAsia="Arial" w:hAnsi="Arial"/>
                <w:color w:val="854F0B"/>
                <w:sz w:val="21"/>
                <w:szCs w:val="21"/>
              </w:rPr>
              <w:t xml:space="preserve">The timeline in Version 1 of this guide (8 weeks) was optimistic to the point of being misleading for a production financial system. This version uses 16–20 weeks, which reflects realistic timelines when testing, security auditing, regulatory clearance, and pilot operations are included properly. A system handling real money cannot be rushed to save calendar time.</w:t>
            </w:r>
          </w:p>
        </w:tc>
      </w:tr>
    </w:tbl>
    <w:p>
      <w:pPr>
        <w:spacing w:before="0" w:after="0"/>
      </w:pPr>
      <w:r>
        <w:br w:type="page"/>
      </w:r>
    </w:p>
    <w:p>
      <w:pPr>
        <w:pStyle w:val="Heading1"/>
        <w:pBdr>
          <w:bottom w:val="single" w:color="1D4ED8" w:sz="12" w:space="6"/>
        </w:pBdr>
        <w:spacing w:before="480" w:after="160"/>
      </w:pPr>
      <w:r>
        <w:rPr>
          <w:rFonts w:ascii="Arial" w:cs="Arial" w:eastAsia="Arial" w:hAnsi="Arial"/>
          <w:b/>
          <w:bCs/>
          <w:color w:val="1A3A5C"/>
          <w:sz w:val="40"/>
          <w:szCs w:val="40"/>
        </w:rPr>
        <w:t xml:space="preserve">Master Context — Use at Every Claude Desktop Session</w:t>
      </w:r>
    </w:p>
    <w:p>
      <w:pPr>
        <w:spacing w:before="60" w:after="100"/>
        <w:jc w:val="left"/>
      </w:pPr>
      <w:r>
        <w:rPr>
          <w:rFonts w:ascii="Arial" w:cs="Arial" w:eastAsia="Arial" w:hAnsi="Arial"/>
          <w:b w:val="false"/>
          <w:bCs w:val="false"/>
          <w:i w:val="false"/>
          <w:iCs w:val="false"/>
          <w:color w:val="374151"/>
          <w:sz w:val="22"/>
          <w:szCs w:val="22"/>
        </w:rPr>
        <w:t xml:space="preserve">Paste this paragraph at the start of every single Claude Desktop session without exception. Claude has no memory between sessions. Without this context, Claude cannot give you MMS-specific, standards-compliant responses.</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5C" w:sz="2"/>
              <w:left w:val="single" w:color="1A3A5C" w:sz="2"/>
              <w:bottom w:val="single" w:color="1A3A5C" w:sz="2"/>
              <w:right w:val="single" w:color="1A3A5C" w:sz="2"/>
            </w:tcBorders>
            <w:shd w:fill="1A3A5C" w:val="clear"/>
            <w:tcMar>
              <w:top w:type="dxa" w:w="100"/>
              <w:left w:type="dxa" w:w="180"/>
              <w:bottom w:type="dxa" w:w="100"/>
              <w:right w:type="dxa" w:w="160"/>
            </w:tcMar>
          </w:tcPr>
          <w:p>
            <w:pPr>
              <w:spacing w:before="0" w:after="0"/>
            </w:pPr>
            <w:r>
              <w:rPr>
                <w:rFonts w:ascii="Arial" w:cs="Arial" w:eastAsia="Arial" w:hAnsi="Arial"/>
                <w:b/>
                <w:bCs/>
                <w:color w:val="FFFFFF"/>
                <w:sz w:val="20"/>
                <w:szCs w:val="20"/>
              </w:rPr>
              <w:t xml:space="preserve">MASTER CONTEXT PARAGRAPH — Paste this at the start of every Claude Desktop session</w:t>
            </w:r>
          </w:p>
        </w:tc>
      </w:tr>
      <w:tr>
        <w:tc>
          <w:tcPr>
            <w:tcW w:type="dxa" w:w="9026"/>
            <w:tcBorders>
              <w:top w:val="single" w:color="1A3A5C" w:sz="2"/>
              <w:left w:val="single" w:color="1A3A5C" w:sz="2"/>
              <w:bottom w:val="single" w:color="1A3A5C" w:sz="2"/>
              <w:right w:val="single" w:color="1A3A5C" w:sz="2"/>
            </w:tcBorders>
            <w:shd w:fill="F0F4FF" w:val="clear"/>
            <w:tcMar>
              <w:top w:type="dxa" w:w="140"/>
              <w:left w:type="dxa" w:w="180"/>
              <w:bottom w:type="dxa" w:w="140"/>
              <w:right w:type="dxa" w:w="160"/>
            </w:tcMar>
          </w:tcPr>
          <w:p>
            <w:pPr>
              <w:spacing w:before="0" w:after="0"/>
            </w:pPr>
            <w:r>
              <w:rPr>
                <w:rFonts w:ascii="Courier New" w:cs="Courier New" w:eastAsia="Courier New" w:hAnsi="Courier New"/>
                <w:i/>
                <w:iCs/>
                <w:color w:val="1A3A5C"/>
                <w:sz w:val="19"/>
                <w:szCs w:val="19"/>
              </w:rPr>
              <w:t xml:space="preserve">I am building MMS — an Invoice Discounting and Early Payment platform operating in Uganda. MMS pays suppliers within 72 hours by purchasing approved invoices at a discount, then collecting full payment from buyers at maturity. We operate under Bank of Uganda fintech regulations, AML/KYC compliance, and Uganda's Data Protection and Privacy Act 2019.
Tech stack: Node.js 20 LTS, TypeScript (strict mode), Express, PostgreSQL 15, Redis, Bull queue, React 18, Docker. Payment rails: MTN Mobile Money API, Airtel Money API, Uganda EFT/RTGS for large transfers.
We follow: SOLID principles, OWASP Top 10 (2021), ISO/IEC 25010 quality, ISO 27001 security, IEEE 829 testing, OpenAPI 3.0, 12-Factor App, and shift-left security (security in every phase, not just one). Every action writes to an immutable audit log. All payments require dual authorisation. All financial records retained for 7 years minimum.
The system has 11 modules: Auth, Onboarding (KYC/KYB), Invoice Intake, Buyer Verification &amp; Assignment, Risk Scoring Engine, Pricing Engine, Approval Workflow, Payment Engine, Collections Tracking, Bank Facility Management, and Reporting. Continue from where we left off:</w:t>
            </w:r>
          </w:p>
        </w:tc>
      </w:tr>
    </w:tbl>
    <w:p>
      <w:pPr>
        <w:spacing w:before="0" w:after="0"/>
      </w:pPr>
      <w:r>
        <w:br w:type="page"/>
      </w:r>
    </w:p>
    <w:p>
      <w:pPr>
        <w:pStyle w:val="Heading1"/>
        <w:pBdr>
          <w:bottom w:val="single" w:color="1D4ED8" w:sz="12" w:space="6"/>
        </w:pBdr>
        <w:spacing w:before="480" w:after="160"/>
      </w:pPr>
      <w:r>
        <w:rPr>
          <w:rFonts w:ascii="Arial" w:cs="Arial" w:eastAsia="Arial" w:hAnsi="Arial"/>
          <w:b/>
          <w:bCs/>
          <w:color w:val="1A3A5C"/>
          <w:sz w:val="40"/>
          <w:szCs w:val="40"/>
        </w:rPr>
        <w:t xml:space="preserve">Security as a Discipline — The Continuous Thread</w:t>
      </w:r>
    </w:p>
    <w:p>
      <w:pPr>
        <w:spacing w:before="60" w:after="100"/>
        <w:jc w:val="left"/>
      </w:pPr>
      <w:r>
        <w:rPr>
          <w:rFonts w:ascii="Arial" w:cs="Arial" w:eastAsia="Arial" w:hAnsi="Arial"/>
          <w:b w:val="false"/>
          <w:bCs w:val="false"/>
          <w:i w:val="false"/>
          <w:iCs w:val="false"/>
          <w:color w:val="374151"/>
          <w:sz w:val="22"/>
          <w:szCs w:val="22"/>
        </w:rPr>
        <w:t xml:space="preserve">This section is not a phase. It defines security principles that must be active from the first day of the build and maintained permanently. Reference this section before making any architectural or implementation decision.</w:t>
      </w:r>
    </w:p>
    <w:p>
      <w:pPr>
        <w:spacing w:before="0" w:after="120"/>
      </w:pPr>
      <w:r>
        <w:t xml:space="preserve"/>
      </w:r>
    </w:p>
    <w:p>
      <w:pPr>
        <w:pStyle w:val="Heading2"/>
        <w:pBdr>
          <w:bottom w:val="single" w:color="D1D5DB" w:sz="4" w:space="4"/>
        </w:pBdr>
        <w:spacing w:before="360" w:after="140"/>
      </w:pPr>
      <w:r>
        <w:rPr>
          <w:rFonts w:ascii="Arial" w:cs="Arial" w:eastAsia="Arial" w:hAnsi="Arial"/>
          <w:b/>
          <w:bCs/>
          <w:color w:val="1A3A5C"/>
          <w:sz w:val="30"/>
          <w:szCs w:val="30"/>
        </w:rPr>
        <w:t xml:space="preserve">Shift-Left Security — What it means in practice</w:t>
      </w:r>
    </w:p>
    <w:p>
      <w:pPr>
        <w:spacing w:before="60" w:after="100"/>
        <w:jc w:val="left"/>
      </w:pPr>
      <w:r>
        <w:rPr>
          <w:rFonts w:ascii="Arial" w:cs="Arial" w:eastAsia="Arial" w:hAnsi="Arial"/>
          <w:b w:val="false"/>
          <w:bCs w:val="false"/>
          <w:i w:val="false"/>
          <w:iCs w:val="false"/>
          <w:color w:val="374151"/>
          <w:sz w:val="22"/>
          <w:szCs w:val="22"/>
        </w:rPr>
        <w:t xml:space="preserve">In a traditional development approach, security is reviewed at the end. In a fintech, this is unacceptable. Shift-left security means: threat modelling happens before architecture is designed, security requirements are written alongside functional requirements, every code review includes a security check, and every new feature begins with the question 'how could this be exploited?' rather than 'does it work?'</w:t>
      </w:r>
    </w:p>
    <w:p>
      <w:pPr>
        <w:spacing w:before="0" w:after="120"/>
      </w:pPr>
      <w:r>
        <w:t xml:space="preserve"/>
      </w:r>
    </w:p>
    <w:p>
      <w:pPr>
        <w:pStyle w:val="Heading2"/>
        <w:pBdr>
          <w:bottom w:val="single" w:color="D1D5DB" w:sz="4" w:space="4"/>
        </w:pBdr>
        <w:spacing w:before="360" w:after="140"/>
      </w:pPr>
      <w:r>
        <w:rPr>
          <w:rFonts w:ascii="Arial" w:cs="Arial" w:eastAsia="Arial" w:hAnsi="Arial"/>
          <w:b/>
          <w:bCs/>
          <w:color w:val="1A3A5C"/>
          <w:sz w:val="30"/>
          <w:szCs w:val="30"/>
        </w:rPr>
        <w:t xml:space="preserve">The MMS Threat Model — Know your adversaries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3426"/>
      </w:tblGrid>
      <w:tr>
        <w:tc>
          <w:tcPr>
            <w:tcW w:type="dxa" w:w="18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Threat actor</w:t>
            </w:r>
          </w:p>
        </w:tc>
        <w:tc>
          <w:tcPr>
            <w:tcW w:type="dxa" w:w="18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Method</w:t>
            </w:r>
          </w:p>
        </w:tc>
        <w:tc>
          <w:tcPr>
            <w:tcW w:type="dxa" w:w="20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Target in MMS</w:t>
            </w:r>
          </w:p>
        </w:tc>
        <w:tc>
          <w:tcPr>
            <w:tcW w:type="dxa" w:w="3426"/>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Mitigation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Fraudulent supplier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Submit fake invoices with forged documents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Receive payment for non-existent goods</w:t>
            </w:r>
          </w:p>
        </w:tc>
        <w:tc>
          <w:tcPr>
            <w:tcW w:type="dxa" w:w="3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Buyer confirmation mandatory, document hash verification, sanctions screening</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Compromised buyer</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Deny invoice to avoid payment</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Force MMS to absorb loss</w:t>
            </w:r>
          </w:p>
        </w:tc>
        <w:tc>
          <w:tcPr>
            <w:tcW w:type="dxa" w:w="34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Legal assignment, Notice of Assignment, buyer payment undertaking</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Insider threat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Finance staff authorise unauthorised payment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Divert funds</w:t>
            </w:r>
          </w:p>
        </w:tc>
        <w:tc>
          <w:tcPr>
            <w:tcW w:type="dxa" w:w="3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Dual authorisation, segregation of duties, real-time anomaly alerts</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External attacker</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API injection, credential stuffing</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Access client data, manipulate invoices</w:t>
            </w:r>
          </w:p>
        </w:tc>
        <w:tc>
          <w:tcPr>
            <w:tcW w:type="dxa" w:w="34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OWASP controls, rate limiting, WAF, 2FA mandatory for all staff</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Data breach</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Exfiltrate encrypted documents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Sell KYC data</w:t>
            </w:r>
          </w:p>
        </w:tc>
        <w:tc>
          <w:tcPr>
            <w:tcW w:type="dxa" w:w="3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AES-256 at rest, TLS 1.3 in transit, no plaintext PII in logs</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Regulatory action</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Non-compliance with BOU guidelines</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Licence revocation, fines</w:t>
            </w:r>
          </w:p>
        </w:tc>
        <w:tc>
          <w:tcPr>
            <w:tcW w:type="dxa" w:w="34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Legal opinion before launch, compliance officer review quarterly</w:t>
            </w:r>
          </w:p>
        </w:tc>
      </w:tr>
    </w:tbl>
    <w:p>
      <w:pPr>
        <w:spacing w:before="0" w:after="160"/>
      </w:pPr>
      <w:r>
        <w:t xml:space="preserve"/>
      </w:r>
    </w:p>
    <w:p>
      <w:pPr>
        <w:pStyle w:val="Heading2"/>
        <w:pBdr>
          <w:bottom w:val="single" w:color="D1D5DB" w:sz="4" w:space="4"/>
        </w:pBdr>
        <w:spacing w:before="360" w:after="140"/>
      </w:pPr>
      <w:r>
        <w:rPr>
          <w:rFonts w:ascii="Arial" w:cs="Arial" w:eastAsia="Arial" w:hAnsi="Arial"/>
          <w:b/>
          <w:bCs/>
          <w:color w:val="1A3A5C"/>
          <w:sz w:val="30"/>
          <w:szCs w:val="30"/>
        </w:rPr>
        <w:t xml:space="preserve">Non-negotiable security requirements — active from day one</w:t>
      </w:r>
    </w:p>
    <w:p>
      <w:pPr>
        <w:pStyle w:val="ListParagraph"/>
        <w:numPr>
          <w:ilvl w:val="0"/>
          <w:numId w:val="2"/>
        </w:numPr>
        <w:spacing w:before="40" w:after="80"/>
      </w:pPr>
      <w:r>
        <w:rPr>
          <w:rFonts w:ascii="Arial" w:cs="Arial" w:eastAsia="Arial" w:hAnsi="Arial"/>
          <w:color w:val="374151"/>
          <w:sz w:val="22"/>
          <w:szCs w:val="22"/>
        </w:rPr>
        <w:t xml:space="preserve">Every database query uses parameterised statements — zero exceptions, zero string concatenation in SQL</w:t>
      </w:r>
    </w:p>
    <w:p>
      <w:pPr>
        <w:pStyle w:val="ListParagraph"/>
        <w:numPr>
          <w:ilvl w:val="0"/>
          <w:numId w:val="2"/>
        </w:numPr>
        <w:spacing w:before="40" w:after="80"/>
      </w:pPr>
      <w:r>
        <w:rPr>
          <w:rFonts w:ascii="Arial" w:cs="Arial" w:eastAsia="Arial" w:hAnsi="Arial"/>
          <w:color w:val="374151"/>
          <w:sz w:val="22"/>
          <w:szCs w:val="22"/>
        </w:rPr>
        <w:t xml:space="preserve">Every API endpoint validates the authenticated user's ownership of the resource being accessed</w:t>
      </w:r>
    </w:p>
    <w:p>
      <w:pPr>
        <w:pStyle w:val="ListParagraph"/>
        <w:numPr>
          <w:ilvl w:val="0"/>
          <w:numId w:val="2"/>
        </w:numPr>
        <w:spacing w:before="40" w:after="80"/>
      </w:pPr>
      <w:r>
        <w:rPr>
          <w:rFonts w:ascii="Arial" w:cs="Arial" w:eastAsia="Arial" w:hAnsi="Arial"/>
          <w:color w:val="374151"/>
          <w:sz w:val="22"/>
          <w:szCs w:val="22"/>
        </w:rPr>
        <w:t xml:space="preserve">No PII (names, ID numbers, bank details) ever appears in application logs</w:t>
      </w:r>
    </w:p>
    <w:p>
      <w:pPr>
        <w:pStyle w:val="ListParagraph"/>
        <w:numPr>
          <w:ilvl w:val="0"/>
          <w:numId w:val="2"/>
        </w:numPr>
        <w:spacing w:before="40" w:after="80"/>
      </w:pPr>
      <w:r>
        <w:rPr>
          <w:rFonts w:ascii="Arial" w:cs="Arial" w:eastAsia="Arial" w:hAnsi="Arial"/>
          <w:color w:val="374151"/>
          <w:sz w:val="22"/>
          <w:szCs w:val="22"/>
        </w:rPr>
        <w:t xml:space="preserve">All financial documents encrypted with AES-256 before writing to disk</w:t>
      </w:r>
    </w:p>
    <w:p>
      <w:pPr>
        <w:pStyle w:val="ListParagraph"/>
        <w:numPr>
          <w:ilvl w:val="0"/>
          <w:numId w:val="2"/>
        </w:numPr>
        <w:spacing w:before="40" w:after="80"/>
      </w:pPr>
      <w:r>
        <w:rPr>
          <w:rFonts w:ascii="Arial" w:cs="Arial" w:eastAsia="Arial" w:hAnsi="Arial"/>
          <w:color w:val="374151"/>
          <w:sz w:val="22"/>
          <w:szCs w:val="22"/>
        </w:rPr>
        <w:t xml:space="preserve">All inter-service communication uses mTLS (mutual TLS) — not just HTTPS</w:t>
      </w:r>
    </w:p>
    <w:p>
      <w:pPr>
        <w:pStyle w:val="ListParagraph"/>
        <w:numPr>
          <w:ilvl w:val="0"/>
          <w:numId w:val="2"/>
        </w:numPr>
        <w:spacing w:before="40" w:after="80"/>
      </w:pPr>
      <w:r>
        <w:rPr>
          <w:rFonts w:ascii="Arial" w:cs="Arial" w:eastAsia="Arial" w:hAnsi="Arial"/>
          <w:color w:val="374151"/>
          <w:sz w:val="22"/>
          <w:szCs w:val="22"/>
        </w:rPr>
        <w:t xml:space="preserve">The audit_logs table has INSERT permission only — no UPDATE, no DELETE, ever</w:t>
      </w:r>
    </w:p>
    <w:p>
      <w:pPr>
        <w:pStyle w:val="ListParagraph"/>
        <w:numPr>
          <w:ilvl w:val="0"/>
          <w:numId w:val="2"/>
        </w:numPr>
        <w:spacing w:before="40" w:after="80"/>
      </w:pPr>
      <w:r>
        <w:rPr>
          <w:rFonts w:ascii="Arial" w:cs="Arial" w:eastAsia="Arial" w:hAnsi="Arial"/>
          <w:color w:val="374151"/>
          <w:sz w:val="22"/>
          <w:szCs w:val="22"/>
        </w:rPr>
        <w:t xml:space="preserve">Two-factor authentication is mandatory for all staff roles — not optional</w:t>
      </w:r>
    </w:p>
    <w:p>
      <w:pPr>
        <w:pStyle w:val="ListParagraph"/>
        <w:numPr>
          <w:ilvl w:val="0"/>
          <w:numId w:val="2"/>
        </w:numPr>
        <w:spacing w:before="40" w:after="80"/>
      </w:pPr>
      <w:r>
        <w:rPr>
          <w:rFonts w:ascii="Arial" w:cs="Arial" w:eastAsia="Arial" w:hAnsi="Arial"/>
          <w:color w:val="374151"/>
          <w:sz w:val="22"/>
          <w:szCs w:val="22"/>
        </w:rPr>
        <w:t xml:space="preserve">Payment execution requires dual authorisation from two different named finance users</w:t>
      </w:r>
    </w:p>
    <w:p>
      <w:pPr>
        <w:pStyle w:val="ListParagraph"/>
        <w:numPr>
          <w:ilvl w:val="0"/>
          <w:numId w:val="2"/>
        </w:numPr>
        <w:spacing w:before="40" w:after="80"/>
      </w:pPr>
      <w:r>
        <w:rPr>
          <w:rFonts w:ascii="Arial" w:cs="Arial" w:eastAsia="Arial" w:hAnsi="Arial"/>
          <w:color w:val="374151"/>
          <w:sz w:val="22"/>
          <w:szCs w:val="22"/>
        </w:rPr>
        <w:t xml:space="preserve">Every failed authentication attempt is logged with IP address and timestamp</w:t>
      </w:r>
    </w:p>
    <w:p>
      <w:pPr>
        <w:pStyle w:val="ListParagraph"/>
        <w:numPr>
          <w:ilvl w:val="0"/>
          <w:numId w:val="2"/>
        </w:numPr>
        <w:spacing w:before="40" w:after="80"/>
      </w:pPr>
      <w:r>
        <w:rPr>
          <w:rFonts w:ascii="Arial" w:cs="Arial" w:eastAsia="Arial" w:hAnsi="Arial"/>
          <w:color w:val="374151"/>
          <w:sz w:val="22"/>
          <w:szCs w:val="22"/>
        </w:rPr>
        <w:t xml:space="preserve">Rate limiting on all public endpoints: 10 requests/minute for auth, 100/minute for others</w:t>
      </w:r>
    </w:p>
    <w:p>
      <w:pPr>
        <w:spacing w:before="0"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5C" w:sz="2"/>
              <w:left w:val="single" w:color="1A3A5C" w:sz="2"/>
              <w:bottom w:val="single" w:color="1A3A5C" w:sz="2"/>
              <w:right w:val="single" w:color="1A3A5C" w:sz="2"/>
            </w:tcBorders>
            <w:shd w:fill="1A3A5C" w:val="clear"/>
            <w:tcMar>
              <w:top w:type="dxa" w:w="100"/>
              <w:left w:type="dxa" w:w="180"/>
              <w:bottom w:type="dxa" w:w="100"/>
              <w:right w:type="dxa" w:w="160"/>
            </w:tcMar>
          </w:tcPr>
          <w:p>
            <w:pPr>
              <w:spacing w:before="0" w:after="0"/>
            </w:pPr>
            <w:r>
              <w:rPr>
                <w:rFonts w:ascii="Arial" w:cs="Arial" w:eastAsia="Arial" w:hAnsi="Arial"/>
                <w:b/>
                <w:bCs/>
                <w:color w:val="FFFFFF"/>
                <w:sz w:val="20"/>
                <w:szCs w:val="20"/>
              </w:rPr>
              <w:t xml:space="preserve">SECURITY REVIEW PROMPT — Run this after writing every module</w:t>
            </w:r>
          </w:p>
        </w:tc>
      </w:tr>
      <w:tr>
        <w:tc>
          <w:tcPr>
            <w:tcW w:type="dxa" w:w="9026"/>
            <w:tcBorders>
              <w:top w:val="single" w:color="1A3A5C" w:sz="2"/>
              <w:left w:val="single" w:color="1A3A5C" w:sz="2"/>
              <w:bottom w:val="single" w:color="1A3A5C" w:sz="2"/>
              <w:right w:val="single" w:color="1A3A5C" w:sz="2"/>
            </w:tcBorders>
            <w:shd w:fill="F0F4FF" w:val="clear"/>
            <w:tcMar>
              <w:top w:type="dxa" w:w="140"/>
              <w:left w:type="dxa" w:w="180"/>
              <w:bottom w:type="dxa" w:w="140"/>
              <w:right w:type="dxa" w:w="160"/>
            </w:tcMar>
          </w:tcPr>
          <w:p>
            <w:pPr>
              <w:spacing w:before="0" w:after="0"/>
            </w:pPr>
            <w:r>
              <w:rPr>
                <w:rFonts w:ascii="Courier New" w:cs="Courier New" w:eastAsia="Courier New" w:hAnsi="Courier New"/>
                <w:i/>
                <w:iCs/>
                <w:color w:val="1A3A5C"/>
                <w:sz w:val="19"/>
                <w:szCs w:val="19"/>
              </w:rPr>
              <w:t xml:space="preserve">Review this [MODULE NAME] code against the MMS threat model and OWASP Top 10 (2021). Check specifically: (1) Can a supplier access another supplier's data through any parameter manipulation? (2) Are all SQL queries parameterised with zero string concatenation? (3) Is any PII appearing in log statements? (4) Are all inputs validated with Joi before any processing? (5) Are error messages revealing system internals (stack traces, SQL errors, file paths)? (6) Could any endpoint be called without proper authentication? (7) Is rate limiting applied? Provide the security verdict and the exact code fix for every issue found. Here is the code: [PASTE MODULE CODE]</w:t>
            </w:r>
          </w:p>
        </w:tc>
      </w:tr>
    </w:tbl>
    <w:p>
      <w:pPr>
        <w:spacing w:before="0" w:after="0"/>
      </w:pPr>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600"/>
        <w:gridCol w:w="1400"/>
        <w:gridCol w:w="1300"/>
        <w:gridCol w:w="726"/>
      </w:tblGrid>
      <w:tr>
        <w:tc>
          <w:tcPr>
            <w:tcW w:type="dxa" w:w="1000"/>
            <w:tcBorders>
              <w:top w:val="none" w:color="FFFFFF" w:sz="0"/>
              <w:left w:val="none" w:color="FFFFFF" w:sz="0"/>
              <w:bottom w:val="none" w:color="FFFFFF" w:sz="0"/>
              <w:right w:val="none" w:color="FFFFFF" w:sz="0"/>
            </w:tcBorders>
            <w:shd w:fill="1A3A5C" w:val="clear"/>
            <w:tcMar>
              <w:top w:type="dxa" w:w="140"/>
              <w:left w:type="dxa" w:w="120"/>
              <w:bottom w:type="dxa" w:w="140"/>
              <w:right w:type="dxa" w:w="100"/>
            </w:tcMar>
            <w:vAlign w:val="center"/>
          </w:tcPr>
          <w:p>
            <w:pPr>
              <w:spacing w:before="0" w:after="0"/>
              <w:jc w:val="center"/>
            </w:pPr>
            <w:r>
              <w:rPr>
                <w:rFonts w:ascii="Arial" w:cs="Arial" w:eastAsia="Arial" w:hAnsi="Arial"/>
                <w:b/>
                <w:bCs/>
                <w:color w:val="FFFFFF"/>
                <w:sz w:val="28"/>
                <w:szCs w:val="28"/>
              </w:rPr>
              <w:t xml:space="preserve">P0</w:t>
            </w:r>
          </w:p>
        </w:tc>
        <w:tc>
          <w:tcPr>
            <w:tcW w:type="dxa" w:w="4600"/>
            <w:tcBorders>
              <w:top w:val="none" w:color="FFFFFF" w:sz="0"/>
              <w:left w:val="none" w:color="FFFFFF" w:sz="0"/>
              <w:bottom w:val="none" w:color="FFFFFF" w:sz="0"/>
              <w:right w:val="none" w:color="FFFFFF" w:sz="0"/>
            </w:tcBorders>
            <w:shd w:fill="1D4ED8" w:val="clear"/>
            <w:tcMar>
              <w:top w:type="dxa" w:w="140"/>
              <w:left w:type="dxa" w:w="180"/>
              <w:bottom w:type="dxa" w:w="140"/>
              <w:right w:type="dxa" w:w="120"/>
            </w:tcMar>
            <w:vAlign w:val="center"/>
          </w:tcPr>
          <w:p>
            <w:pPr>
              <w:spacing w:before="0" w:after="0"/>
            </w:pPr>
            <w:r>
              <w:rPr>
                <w:rFonts w:ascii="Arial" w:cs="Arial" w:eastAsia="Arial" w:hAnsi="Arial"/>
                <w:b/>
                <w:bCs/>
                <w:color w:val="FFFFFF"/>
                <w:sz w:val="26"/>
                <w:szCs w:val="26"/>
              </w:rPr>
              <w:t xml:space="preserve">Pre-Build Due Diligence &amp; Regulatory Setup</w:t>
            </w:r>
          </w:p>
        </w:tc>
        <w:tc>
          <w:tcPr>
            <w:tcW w:type="dxa" w:w="1400"/>
            <w:tcBorders>
              <w:top w:val="none" w:color="FFFFFF" w:sz="0"/>
              <w:left w:val="none" w:color="FFFFFF" w:sz="0"/>
              <w:bottom w:val="none" w:color="FFFFFF" w:sz="0"/>
              <w:right w:val="none" w:color="FFFFFF" w:sz="0"/>
            </w:tcBorders>
            <w:shd w:fill="0F6E56" w:val="clear"/>
            <w:tcMar>
              <w:top w:type="dxa" w:w="140"/>
              <w:left w:type="dxa" w:w="120"/>
              <w:bottom w:type="dxa" w:w="140"/>
              <w:right w:type="dxa" w:w="100"/>
            </w:tcMar>
            <w:vAlign w:val="center"/>
          </w:tcPr>
          <w:p>
            <w:pPr>
              <w:spacing w:before="0" w:after="0"/>
              <w:jc w:val="center"/>
            </w:pPr>
            <w:r>
              <w:rPr>
                <w:rFonts w:ascii="Arial" w:cs="Arial" w:eastAsia="Arial" w:hAnsi="Arial"/>
                <w:color w:val="FFFFFF"/>
                <w:sz w:val="19"/>
                <w:szCs w:val="19"/>
              </w:rPr>
              <w:t xml:space="preserve">Weeks 1–3</w:t>
            </w:r>
          </w:p>
        </w:tc>
        <w:tc>
          <w:tcPr>
            <w:tcW w:type="dxa" w:w="1300"/>
            <w:tcBorders>
              <w:top w:val="none" w:color="FFFFFF" w:sz="0"/>
              <w:left w:val="none" w:color="FFFFFF" w:sz="0"/>
              <w:bottom w:val="none" w:color="FFFFFF" w:sz="0"/>
              <w:right w:val="none" w:color="FFFFFF" w:sz="0"/>
            </w:tcBorders>
            <w:shd w:fill="854F0B" w:val="clear"/>
            <w:tcMar>
              <w:top w:type="dxa" w:w="140"/>
              <w:left w:type="dxa" w:w="100"/>
              <w:bottom w:type="dxa" w:w="140"/>
              <w:right w:type="dxa" w:w="100"/>
            </w:tcMar>
            <w:vAlign w:val="center"/>
          </w:tcPr>
          <w:p>
            <w:pPr>
              <w:spacing w:before="0" w:after="0"/>
              <w:jc w:val="center"/>
            </w:pPr>
            <w:r>
              <w:rPr>
                <w:rFonts w:ascii="Arial" w:cs="Arial" w:eastAsia="Arial" w:hAnsi="Arial"/>
                <w:color w:val="FFFFFF"/>
                <w:sz w:val="17"/>
                <w:szCs w:val="17"/>
              </w:rPr>
              <w:t xml:space="preserve">BOU / Legal / Team</w:t>
            </w:r>
          </w:p>
        </w:tc>
        <w:tc>
          <w:tcPr>
            <w:tcW w:type="dxa" w:w="726"/>
            <w:tcBorders>
              <w:top w:val="none" w:color="FFFFFF" w:sz="0"/>
              <w:left w:val="none" w:color="FFFFFF" w:sz="0"/>
              <w:bottom w:val="none" w:color="FFFFFF" w:sz="0"/>
              <w:right w:val="none" w:color="FFFFFF" w:sz="0"/>
            </w:tcBorders>
            <w:shd w:fill="9A3412" w:val="clear"/>
            <w:tcMar>
              <w:top w:type="dxa" w:w="140"/>
              <w:left w:type="dxa" w:w="80"/>
              <w:bottom w:type="dxa" w:w="140"/>
              <w:right w:type="dxa" w:w="80"/>
            </w:tcMar>
            <w:vAlign w:val="center"/>
          </w:tcPr>
          <w:p>
            <w:pPr>
              <w:spacing w:before="0" w:after="0"/>
              <w:jc w:val="center"/>
            </w:pPr>
            <w:r>
              <w:rPr>
                <w:rFonts w:ascii="Arial" w:cs="Arial" w:eastAsia="Arial" w:hAnsi="Arial"/>
                <w:b/>
                <w:bCs/>
                <w:color w:val="FFFFFF"/>
                <w:sz w:val="17"/>
                <w:szCs w:val="17"/>
              </w:rPr>
              <w:t xml:space="preserve">CRITICAL</w:t>
            </w:r>
          </w:p>
        </w:tc>
      </w:tr>
    </w:tbl>
    <w:p>
      <w:pPr>
        <w:spacing w:before="0"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1B1B" w:sz="6"/>
              <w:left w:val="single" w:color="991B1B" w:sz="16"/>
              <w:bottom w:val="single" w:color="991B1B" w:sz="2"/>
              <w:right w:val="single" w:color="991B1B" w:sz="2"/>
            </w:tcBorders>
            <w:shd w:fill="FEF2F2" w:val="clear"/>
            <w:tcMar>
              <w:top w:type="dxa" w:w="120"/>
              <w:left w:type="dxa" w:w="200"/>
              <w:bottom w:type="dxa" w:w="120"/>
              <w:right w:type="dxa" w:w="160"/>
            </w:tcMar>
          </w:tcPr>
          <w:p>
            <w:pPr>
              <w:spacing w:before="0" w:after="0"/>
            </w:pPr>
            <w:r>
              <w:rPr>
                <w:rFonts w:ascii="Arial" w:cs="Arial" w:eastAsia="Arial" w:hAnsi="Arial"/>
                <w:color w:val="991B1B"/>
                <w:sz w:val="21"/>
                <w:szCs w:val="21"/>
              </w:rPr>
              <w:t xml:space="preserve">CRITICAL: No code should be written until this phase is complete. Phase 0 resolves the questions that, if answered late, invalidate weeks of technical work. Many fintech startups have built complete systems only to discover they cannot legally operate them. Resolve this first.</w:t>
            </w:r>
          </w:p>
        </w:tc>
      </w:tr>
    </w:tbl>
    <w:p>
      <w:pPr>
        <w:spacing w:before="0" w:after="160"/>
      </w:pPr>
      <w:r>
        <w:t xml:space="preserve"/>
      </w:r>
    </w:p>
    <w:p>
      <w:pPr>
        <w:pStyle w:val="Heading2"/>
        <w:pBdr>
          <w:bottom w:val="single" w:color="D1D5DB" w:sz="4" w:space="4"/>
        </w:pBdr>
        <w:spacing w:before="360" w:after="140"/>
      </w:pPr>
      <w:r>
        <w:rPr>
          <w:rFonts w:ascii="Arial" w:cs="Arial" w:eastAsia="Arial" w:hAnsi="Arial"/>
          <w:b/>
          <w:bCs/>
          <w:color w:val="1A3A5C"/>
          <w:sz w:val="30"/>
          <w:szCs w:val="30"/>
        </w:rPr>
        <w:t xml:space="preserve">Step 0.1 — Engage a Ugandan Financial Services Lawyer</w:t>
      </w:r>
    </w:p>
    <w:p>
      <w:pPr>
        <w:spacing w:before="60" w:after="100"/>
        <w:jc w:val="left"/>
      </w:pPr>
      <w:r>
        <w:rPr>
          <w:rFonts w:ascii="Arial" w:cs="Arial" w:eastAsia="Arial" w:hAnsi="Arial"/>
          <w:b w:val="false"/>
          <w:bCs w:val="false"/>
          <w:i w:val="false"/>
          <w:iCs w:val="false"/>
          <w:color w:val="374151"/>
          <w:sz w:val="22"/>
          <w:szCs w:val="22"/>
        </w:rPr>
        <w:t xml:space="preserve">Your first hire is a lawyer, not a developer. Retain a firm with specific experience in Bank of Uganda licensing. You need: a written legal opinion on whether MMS requires a credit institution licence or non-deposit-taking financial institution registration, advice on AML/KYC obligations specific to invoice discounting in Uganda, a review of your proposed supplier agreement and buyer payment undertaking, and a data protection compliance review under the Data Protection and Privacy Act 2019.</w:t>
      </w:r>
    </w:p>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54F0B" w:sz="6"/>
              <w:left w:val="single" w:color="854F0B" w:sz="16"/>
              <w:bottom w:val="single" w:color="854F0B" w:sz="2"/>
              <w:right w:val="single" w:color="854F0B" w:sz="2"/>
            </w:tcBorders>
            <w:shd w:fill="FFFBEB" w:val="clear"/>
            <w:tcMar>
              <w:top w:type="dxa" w:w="120"/>
              <w:left w:type="dxa" w:w="200"/>
              <w:bottom w:type="dxa" w:w="120"/>
              <w:right w:type="dxa" w:w="160"/>
            </w:tcMar>
          </w:tcPr>
          <w:p>
            <w:pPr>
              <w:spacing w:before="0" w:after="0"/>
            </w:pPr>
            <w:r>
              <w:rPr>
                <w:rFonts w:ascii="Arial" w:cs="Arial" w:eastAsia="Arial" w:hAnsi="Arial"/>
                <w:color w:val="854F0B"/>
                <w:sz w:val="21"/>
                <w:szCs w:val="21"/>
              </w:rPr>
              <w:t xml:space="preserve">Do not rely on this document or any AI tool for legal advice specific to Uganda. Regulatory requirements change and vary by business model. Only a qualified Ugandan lawyer can give you a binding legal opinion.</w:t>
            </w:r>
          </w:p>
        </w:tc>
      </w:tr>
    </w:tbl>
    <w:p>
      <w:pPr>
        <w:spacing w:before="0" w:after="140"/>
      </w:pPr>
      <w:r>
        <w:t xml:space="preserve"/>
      </w:r>
    </w:p>
    <w:p>
      <w:pPr>
        <w:pStyle w:val="Heading2"/>
        <w:pBdr>
          <w:bottom w:val="single" w:color="D1D5DB" w:sz="4" w:space="4"/>
        </w:pBdr>
        <w:spacing w:before="360" w:after="140"/>
      </w:pPr>
      <w:r>
        <w:rPr>
          <w:rFonts w:ascii="Arial" w:cs="Arial" w:eastAsia="Arial" w:hAnsi="Arial"/>
          <w:b/>
          <w:bCs/>
          <w:color w:val="1A3A5C"/>
          <w:sz w:val="30"/>
          <w:szCs w:val="30"/>
        </w:rPr>
        <w:t xml:space="preserve">Step 0.2 — Bank of Uganda Regulatory Pathway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626"/>
      </w:tblGrid>
      <w:tr>
        <w:tc>
          <w:tcPr>
            <w:tcW w:type="dxa" w:w="28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Regulatory question</w:t>
            </w:r>
          </w:p>
        </w:tc>
        <w:tc>
          <w:tcPr>
            <w:tcW w:type="dxa" w:w="36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Action required</w:t>
            </w:r>
          </w:p>
        </w:tc>
        <w:tc>
          <w:tcPr>
            <w:tcW w:type="dxa" w:w="2626"/>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Timeline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Does MMS require a licence?</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Lawyer submits inquiry to BOU Financial Stability Directorate</w:t>
            </w:r>
          </w:p>
        </w:tc>
        <w:tc>
          <w:tcPr>
            <w:tcW w:type="dxa" w:w="2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4–8 weeks for response</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AML/KYC obligations</w:t>
            </w:r>
          </w:p>
        </w:tc>
        <w:tc>
          <w:tcPr>
            <w:tcW w:type="dxa" w:w="3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Register with Financial Intelligence Authority Uganda (FIA)</w:t>
            </w:r>
          </w:p>
        </w:tc>
        <w:tc>
          <w:tcPr>
            <w:tcW w:type="dxa" w:w="26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2–4 weeks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Data protection</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Register as data processor with PDPO</w:t>
            </w:r>
          </w:p>
        </w:tc>
        <w:tc>
          <w:tcPr>
            <w:tcW w:type="dxa" w:w="2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2–3 weeks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Tax compliance</w:t>
            </w:r>
          </w:p>
        </w:tc>
        <w:tc>
          <w:tcPr>
            <w:tcW w:type="dxa" w:w="3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Confirm VAT treatment of discount fees with URA</w:t>
            </w:r>
          </w:p>
        </w:tc>
        <w:tc>
          <w:tcPr>
            <w:tcW w:type="dxa" w:w="26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3–4 weeks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Company structure</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Incorporate as financial services company</w:t>
            </w:r>
          </w:p>
        </w:tc>
        <w:tc>
          <w:tcPr>
            <w:tcW w:type="dxa" w:w="2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1–2 weeks</w:t>
            </w:r>
          </w:p>
        </w:tc>
      </w:tr>
    </w:tbl>
    <w:p>
      <w:pPr>
        <w:spacing w:before="0" w:after="160"/>
      </w:pPr>
      <w:r>
        <w:t xml:space="preserve"/>
      </w:r>
    </w:p>
    <w:p>
      <w:pPr>
        <w:pStyle w:val="Heading2"/>
        <w:pBdr>
          <w:bottom w:val="single" w:color="D1D5DB" w:sz="4" w:space="4"/>
        </w:pBdr>
        <w:spacing w:before="360" w:after="140"/>
      </w:pPr>
      <w:r>
        <w:rPr>
          <w:rFonts w:ascii="Arial" w:cs="Arial" w:eastAsia="Arial" w:hAnsi="Arial"/>
          <w:b/>
          <w:bCs/>
          <w:color w:val="1A3A5C"/>
          <w:sz w:val="30"/>
          <w:szCs w:val="30"/>
        </w:rPr>
        <w:t xml:space="preserve">Step 0.3 — Uganda Payment Rails — Technical Due Diligence</w:t>
      </w:r>
    </w:p>
    <w:p>
      <w:pPr>
        <w:spacing w:before="60" w:after="100"/>
        <w:jc w:val="left"/>
      </w:pPr>
      <w:r>
        <w:rPr>
          <w:rFonts w:ascii="Arial" w:cs="Arial" w:eastAsia="Arial" w:hAnsi="Arial"/>
          <w:b w:val="false"/>
          <w:bCs w:val="false"/>
          <w:i w:val="false"/>
          <w:iCs w:val="false"/>
          <w:color w:val="374151"/>
          <w:sz w:val="22"/>
          <w:szCs w:val="22"/>
        </w:rPr>
        <w:t xml:space="preserve">MMS pays suppliers within 72 hours. The payment method must match where suppliers actually receive money. In Uganda, this means mobile money for most SMEs, not bank transfers. You must establish API access before building the payment engine.</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3226"/>
      </w:tblGrid>
      <w:tr>
        <w:tc>
          <w:tcPr>
            <w:tcW w:type="dxa" w:w="18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Payment rail</w:t>
            </w:r>
          </w:p>
        </w:tc>
        <w:tc>
          <w:tcPr>
            <w:tcW w:type="dxa" w:w="18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Provider</w:t>
            </w:r>
          </w:p>
        </w:tc>
        <w:tc>
          <w:tcPr>
            <w:tcW w:type="dxa" w:w="22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Who uses it</w:t>
            </w:r>
          </w:p>
        </w:tc>
        <w:tc>
          <w:tcPr>
            <w:tcW w:type="dxa" w:w="3226"/>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API access process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MTN Mobile Money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MTN Uganda</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Most SME suppliers</w:t>
            </w:r>
          </w:p>
        </w:tc>
        <w:tc>
          <w:tcPr>
            <w:tcW w:type="dxa" w:w="32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Apply to MTN Business: business.mtn.co.ug — 3–6 weeks for API credentials</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Airtel Money</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Airtel Uganda</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Secondary supplier payment</w:t>
            </w:r>
          </w:p>
        </w:tc>
        <w:tc>
          <w:tcPr>
            <w:tcW w:type="dxa" w:w="32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Apply to Airtel Business — 3–6 weeks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EFT/RTGS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Stanbic, DFCU, Centenary</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Corporate buyers paying MMS</w:t>
            </w:r>
          </w:p>
        </w:tc>
        <w:tc>
          <w:tcPr>
            <w:tcW w:type="dxa" w:w="32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Bank account + corporate banking agreement</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Pesalink</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Interbank</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Alternative bank transfer</w:t>
            </w:r>
          </w:p>
        </w:tc>
        <w:tc>
          <w:tcPr>
            <w:tcW w:type="dxa" w:w="32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Via your primary bank's API</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Internal wallet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Build in-house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Staging/test payments only</w:t>
            </w:r>
          </w:p>
        </w:tc>
        <w:tc>
          <w:tcPr>
            <w:tcW w:type="dxa" w:w="32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No external approval needed</w:t>
            </w:r>
          </w:p>
        </w:tc>
      </w:tr>
    </w:tbl>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5C" w:sz="2"/>
              <w:left w:val="single" w:color="1A3A5C" w:sz="2"/>
              <w:bottom w:val="single" w:color="1A3A5C" w:sz="2"/>
              <w:right w:val="single" w:color="1A3A5C" w:sz="2"/>
            </w:tcBorders>
            <w:shd w:fill="1A3A5C" w:val="clear"/>
            <w:tcMar>
              <w:top w:type="dxa" w:w="100"/>
              <w:left w:type="dxa" w:w="180"/>
              <w:bottom w:type="dxa" w:w="100"/>
              <w:right w:type="dxa" w:w="160"/>
            </w:tcMar>
          </w:tcPr>
          <w:p>
            <w:pPr>
              <w:spacing w:before="0" w:after="0"/>
            </w:pPr>
            <w:r>
              <w:rPr>
                <w:rFonts w:ascii="Arial" w:cs="Arial" w:eastAsia="Arial" w:hAnsi="Arial"/>
                <w:b/>
                <w:bCs/>
                <w:color w:val="FFFFFF"/>
                <w:sz w:val="20"/>
                <w:szCs w:val="20"/>
              </w:rPr>
              <w:t xml:space="preserve">PROMPT 0.1 — Payment Integration Architecture</w:t>
            </w:r>
          </w:p>
        </w:tc>
      </w:tr>
      <w:tr>
        <w:tc>
          <w:tcPr>
            <w:tcW w:type="dxa" w:w="9026"/>
            <w:tcBorders>
              <w:top w:val="single" w:color="1A3A5C" w:sz="2"/>
              <w:left w:val="single" w:color="1A3A5C" w:sz="2"/>
              <w:bottom w:val="single" w:color="1A3A5C" w:sz="2"/>
              <w:right w:val="single" w:color="1A3A5C" w:sz="2"/>
            </w:tcBorders>
            <w:shd w:fill="F0F4FF" w:val="clear"/>
            <w:tcMar>
              <w:top w:type="dxa" w:w="140"/>
              <w:left w:type="dxa" w:w="180"/>
              <w:bottom w:type="dxa" w:w="140"/>
              <w:right w:type="dxa" w:w="160"/>
            </w:tcMar>
          </w:tcPr>
          <w:p>
            <w:pPr>
              <w:spacing w:before="0" w:after="0"/>
            </w:pPr>
            <w:r>
              <w:rPr>
                <w:rFonts w:ascii="Courier New" w:cs="Courier New" w:eastAsia="Courier New" w:hAnsi="Courier New"/>
                <w:i/>
                <w:iCs/>
                <w:color w:val="1A3A5C"/>
                <w:sz w:val="19"/>
                <w:szCs w:val="19"/>
              </w:rPr>
              <w:t xml:space="preserve">Design the payment abstraction layer for MMS Uganda. We need to support: MTN Mobile Money API (for supplier payouts), Airtel Money API (for supplier payouts), Uganda EFT/RTGS (for receiving buyer payments and large corporate payouts), and an internal mock provider for testing. Design a PaymentProvider interface in TypeScript that all providers implement, so the payment engine never knows which rail it is using. Include: the interface definition, the MTN MoMo provider implementation (using their API v1.0 sandbox), the Airtel Money provider implementation, a BankEFT provider stub, and a MockPaymentProvider for testing that simulates success, failure, and timeout scenarios. Each provider must return a standardised PaymentResult object with: success boolean, transaction_reference, provider_reference, amount, currency, timestamp, and error_code if failed.</w:t>
            </w:r>
          </w:p>
        </w:tc>
      </w:tr>
    </w:tbl>
    <w:p>
      <w:pPr>
        <w:spacing w:before="0" w:after="160"/>
      </w:pPr>
      <w:r>
        <w:t xml:space="preserve"/>
      </w:r>
    </w:p>
    <w:p>
      <w:pPr>
        <w:pStyle w:val="Heading2"/>
        <w:pBdr>
          <w:bottom w:val="single" w:color="D1D5DB" w:sz="4" w:space="4"/>
        </w:pBdr>
        <w:spacing w:before="360" w:after="140"/>
      </w:pPr>
      <w:r>
        <w:rPr>
          <w:rFonts w:ascii="Arial" w:cs="Arial" w:eastAsia="Arial" w:hAnsi="Arial"/>
          <w:b/>
          <w:bCs/>
          <w:color w:val="1A3A5C"/>
          <w:sz w:val="30"/>
          <w:szCs w:val="30"/>
        </w:rPr>
        <w:t xml:space="preserve">Step 0.4 — Team Structure and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400"/>
        <w:gridCol w:w="1826"/>
      </w:tblGrid>
      <w:tr>
        <w:tc>
          <w:tcPr>
            <w:tcW w:type="dxa" w:w="22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Role</w:t>
            </w:r>
          </w:p>
        </w:tc>
        <w:tc>
          <w:tcPr>
            <w:tcW w:type="dxa" w:w="26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Responsibility</w:t>
            </w:r>
          </w:p>
        </w:tc>
        <w:tc>
          <w:tcPr>
            <w:tcW w:type="dxa" w:w="24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Claude Desktop usage</w:t>
            </w:r>
          </w:p>
        </w:tc>
        <w:tc>
          <w:tcPr>
            <w:tcW w:type="dxa" w:w="1826"/>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Min. commitment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Lead Backend Developer</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Architecture, all server-side modules, database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Primary user of all build prompts</w:t>
            </w:r>
          </w:p>
        </w:tc>
        <w:tc>
          <w:tcPr>
            <w:tcW w:type="dxa" w:w="18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Full time</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Frontend Developer / DevOps</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Supplier portal, admin dashboard, CI/CD pipeline</w:t>
            </w:r>
          </w:p>
        </w:tc>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Phase 8 prompts, deployment prompts</w:t>
            </w:r>
          </w:p>
        </w:tc>
        <w:tc>
          <w:tcPr>
            <w:tcW w:type="dxa" w:w="18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Full time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Compliance Officer</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KYC review, AML monitoring, regulatory reporting</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Phase 7 prompts, audit trail review</w:t>
            </w:r>
          </w:p>
        </w:tc>
        <w:tc>
          <w:tcPr>
            <w:tcW w:type="dxa" w:w="18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Part time (min 3 days/week)</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Domain Expert</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Invoice discounting operations, buyer relationships</w:t>
            </w:r>
          </w:p>
        </w:tc>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Reviews all business logic outputs</w:t>
            </w:r>
          </w:p>
        </w:tc>
        <w:tc>
          <w:tcPr>
            <w:tcW w:type="dxa" w:w="18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Part time (min 2 days/week)</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Ugandan Financial Lawyer</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Regulatory, contracts, legal sign-off</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Reviews compliance outputs only</w:t>
            </w:r>
          </w:p>
        </w:tc>
        <w:tc>
          <w:tcPr>
            <w:tcW w:type="dxa" w:w="18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Retained as needed</w:t>
            </w:r>
          </w:p>
        </w:tc>
      </w:tr>
    </w:tbl>
    <w:p>
      <w:pPr>
        <w:spacing w:before="0" w:after="160"/>
      </w:pPr>
      <w:r>
        <w:t xml:space="preserve"/>
      </w:r>
    </w:p>
    <w:p>
      <w:pPr>
        <w:pStyle w:val="Heading2"/>
        <w:pBdr>
          <w:bottom w:val="single" w:color="D1D5DB" w:sz="4" w:space="4"/>
        </w:pBdr>
        <w:spacing w:before="360" w:after="140"/>
      </w:pPr>
      <w:r>
        <w:rPr>
          <w:rFonts w:ascii="Arial" w:cs="Arial" w:eastAsia="Arial" w:hAnsi="Arial"/>
          <w:b/>
          <w:bCs/>
          <w:color w:val="1A3A5C"/>
          <w:sz w:val="30"/>
          <w:szCs w:val="30"/>
        </w:rPr>
        <w:t xml:space="preserve">Step 0.5 — Disaster Recovery Planning — Before Any Code</w:t>
      </w:r>
    </w:p>
    <w:p>
      <w:pPr>
        <w:spacing w:before="60" w:after="100"/>
        <w:jc w:val="left"/>
      </w:pPr>
      <w:r>
        <w:rPr>
          <w:rFonts w:ascii="Arial" w:cs="Arial" w:eastAsia="Arial" w:hAnsi="Arial"/>
          <w:b w:val="false"/>
          <w:bCs w:val="false"/>
          <w:i w:val="false"/>
          <w:iCs w:val="false"/>
          <w:color w:val="374151"/>
          <w:sz w:val="22"/>
          <w:szCs w:val="22"/>
        </w:rPr>
        <w:t xml:space="preserve">Disaster recovery must be designed before the system is built, not retrofitted afterwards. Define these parameters now and they become requirements that the architecture must satisfy.</w:t>
      </w:r>
    </w:p>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600"/>
        <w:gridCol w:w="2826"/>
      </w:tblGrid>
      <w:tr>
        <w:tc>
          <w:tcPr>
            <w:tcW w:type="dxa" w:w="24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Parameter</w:t>
            </w:r>
          </w:p>
        </w:tc>
        <w:tc>
          <w:tcPr>
            <w:tcW w:type="dxa" w:w="22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Definition</w:t>
            </w:r>
          </w:p>
        </w:tc>
        <w:tc>
          <w:tcPr>
            <w:tcW w:type="dxa" w:w="16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MMS target</w:t>
            </w:r>
          </w:p>
        </w:tc>
        <w:tc>
          <w:tcPr>
            <w:tcW w:type="dxa" w:w="2826"/>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Design implication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RPO — Recovery Point Objective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Maximum data loss acceptable if system fails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15 minutes</w:t>
            </w:r>
          </w:p>
        </w:tc>
        <w:tc>
          <w:tcPr>
            <w:tcW w:type="dxa" w:w="28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Database replication + WAL archiving to S3 every 15 minutes</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RTO — Recovery Time Objective</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Maximum downtime acceptable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4 hours</w:t>
            </w:r>
          </w:p>
        </w:tc>
        <w:tc>
          <w:tcPr>
            <w:tcW w:type="dxa" w:w="28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Hot standby server, automated failover, tested monthly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Backup frequency</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How often full backups run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Daily full + continuous WAL</w:t>
            </w:r>
          </w:p>
        </w:tc>
        <w:tc>
          <w:tcPr>
            <w:tcW w:type="dxa" w:w="28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pg_basebackup daily, WAL streaming continuous</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Backup testing</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How often backups are tested by restoring</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Monthly</w:t>
            </w:r>
          </w:p>
        </w:tc>
        <w:tc>
          <w:tcPr>
            <w:tcW w:type="dxa" w:w="28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Automated restore test to isolated environment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Geographic redundancy</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Is data stored in multiple locations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Yes — dual region</w:t>
            </w:r>
          </w:p>
        </w:tc>
        <w:tc>
          <w:tcPr>
            <w:tcW w:type="dxa" w:w="28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Primary: Kampala, secondary: Nairobi or cloud region</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Payment system isolation</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Can payments be temporarily suspended safely</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Yes</w:t>
            </w:r>
          </w:p>
        </w:tc>
        <w:tc>
          <w:tcPr>
            <w:tcW w:type="dxa" w:w="28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Payment engine has manual kill switch accessible to MD only</w:t>
            </w:r>
          </w:p>
        </w:tc>
      </w:tr>
    </w:tbl>
    <w:p>
      <w:pPr>
        <w:spacing w:before="0" w:after="160"/>
      </w:pPr>
      <w:r>
        <w:t xml:space="preserve"/>
      </w:r>
    </w:p>
    <w:p>
      <w:pPr>
        <w:pStyle w:val="Heading2"/>
        <w:pBdr>
          <w:bottom w:val="single" w:color="D1D5DB" w:sz="4" w:space="4"/>
        </w:pBdr>
        <w:spacing w:before="360" w:after="140"/>
      </w:pPr>
      <w:r>
        <w:rPr>
          <w:rFonts w:ascii="Arial" w:cs="Arial" w:eastAsia="Arial" w:hAnsi="Arial"/>
          <w:b/>
          <w:bCs/>
          <w:color w:val="1A3A5C"/>
          <w:sz w:val="30"/>
          <w:szCs w:val="30"/>
        </w:rPr>
        <w:t xml:space="preserve">Phase 0 Completion Gates — Do not proceed until all are met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626"/>
      </w:tblGrid>
      <w:tr>
        <w:tc>
          <w:tcPr>
            <w:tcW w:type="dxa" w:w="24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Gate</w:t>
            </w:r>
          </w:p>
        </w:tc>
        <w:tc>
          <w:tcPr>
            <w:tcW w:type="dxa" w:w="40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Requirement</w:t>
            </w:r>
          </w:p>
        </w:tc>
        <w:tc>
          <w:tcPr>
            <w:tcW w:type="dxa" w:w="2626"/>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Signed off by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Legal opinion received</w:t>
            </w:r>
          </w:p>
        </w:tc>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Written opinion on licensing requirement</w:t>
            </w:r>
          </w:p>
        </w:tc>
        <w:tc>
          <w:tcPr>
            <w:tcW w:type="dxa" w:w="2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Ugandan financial lawyer</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Regulatory pathway defined</w:t>
            </w:r>
          </w:p>
        </w:tc>
        <w:tc>
          <w:tcPr>
            <w:tcW w:type="dxa" w:w="4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Clear plan for BOU/FIA registration</w:t>
            </w:r>
          </w:p>
        </w:tc>
        <w:tc>
          <w:tcPr>
            <w:tcW w:type="dxa" w:w="26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Compliance officer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MTN MoMo API access</w:t>
            </w:r>
          </w:p>
        </w:tc>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Sandbox credentials received</w:t>
            </w:r>
          </w:p>
        </w:tc>
        <w:tc>
          <w:tcPr>
            <w:tcW w:type="dxa" w:w="2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Lead developer</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Airtel Money API access</w:t>
            </w:r>
          </w:p>
        </w:tc>
        <w:tc>
          <w:tcPr>
            <w:tcW w:type="dxa" w:w="4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Sandbox credentials received</w:t>
            </w:r>
          </w:p>
        </w:tc>
        <w:tc>
          <w:tcPr>
            <w:tcW w:type="dxa" w:w="26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Lead developer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Bank account opened</w:t>
            </w:r>
          </w:p>
        </w:tc>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Corporate account at primary bank</w:t>
            </w:r>
          </w:p>
        </w:tc>
        <w:tc>
          <w:tcPr>
            <w:tcW w:type="dxa" w:w="2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Directors</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Team contracted</w:t>
            </w:r>
          </w:p>
        </w:tc>
        <w:tc>
          <w:tcPr>
            <w:tcW w:type="dxa" w:w="4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All 4 minimum roles committed</w:t>
            </w:r>
          </w:p>
        </w:tc>
        <w:tc>
          <w:tcPr>
            <w:tcW w:type="dxa" w:w="26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MD/CEO</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DR parameters agreed</w:t>
            </w:r>
          </w:p>
        </w:tc>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RPO/RTO targets approved</w:t>
            </w:r>
          </w:p>
        </w:tc>
        <w:tc>
          <w:tcPr>
            <w:tcW w:type="dxa" w:w="2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Board</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Build vs. buy documented</w:t>
            </w:r>
          </w:p>
        </w:tc>
        <w:tc>
          <w:tcPr>
            <w:tcW w:type="dxa" w:w="4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Written decision with justification</w:t>
            </w:r>
          </w:p>
        </w:tc>
        <w:tc>
          <w:tcPr>
            <w:tcW w:type="dxa" w:w="26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MD/CEO + Technical lead</w:t>
            </w:r>
          </w:p>
        </w:tc>
      </w:tr>
    </w:tbl>
    <w:p>
      <w:pPr>
        <w:spacing w:before="0" w:after="0"/>
      </w:pPr>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600"/>
        <w:gridCol w:w="1400"/>
        <w:gridCol w:w="1300"/>
        <w:gridCol w:w="726"/>
      </w:tblGrid>
      <w:tr>
        <w:tc>
          <w:tcPr>
            <w:tcW w:type="dxa" w:w="1000"/>
            <w:tcBorders>
              <w:top w:val="none" w:color="FFFFFF" w:sz="0"/>
              <w:left w:val="none" w:color="FFFFFF" w:sz="0"/>
              <w:bottom w:val="none" w:color="FFFFFF" w:sz="0"/>
              <w:right w:val="none" w:color="FFFFFF" w:sz="0"/>
            </w:tcBorders>
            <w:shd w:fill="1A3A5C" w:val="clear"/>
            <w:tcMar>
              <w:top w:type="dxa" w:w="140"/>
              <w:left w:type="dxa" w:w="120"/>
              <w:bottom w:type="dxa" w:w="140"/>
              <w:right w:type="dxa" w:w="100"/>
            </w:tcMar>
            <w:vAlign w:val="center"/>
          </w:tcPr>
          <w:p>
            <w:pPr>
              <w:spacing w:before="0" w:after="0"/>
              <w:jc w:val="center"/>
            </w:pPr>
            <w:r>
              <w:rPr>
                <w:rFonts w:ascii="Arial" w:cs="Arial" w:eastAsia="Arial" w:hAnsi="Arial"/>
                <w:b/>
                <w:bCs/>
                <w:color w:val="FFFFFF"/>
                <w:sz w:val="28"/>
                <w:szCs w:val="28"/>
              </w:rPr>
              <w:t xml:space="preserve">P1</w:t>
            </w:r>
          </w:p>
        </w:tc>
        <w:tc>
          <w:tcPr>
            <w:tcW w:type="dxa" w:w="4600"/>
            <w:tcBorders>
              <w:top w:val="none" w:color="FFFFFF" w:sz="0"/>
              <w:left w:val="none" w:color="FFFFFF" w:sz="0"/>
              <w:bottom w:val="none" w:color="FFFFFF" w:sz="0"/>
              <w:right w:val="none" w:color="FFFFFF" w:sz="0"/>
            </w:tcBorders>
            <w:shd w:fill="1D4ED8" w:val="clear"/>
            <w:tcMar>
              <w:top w:type="dxa" w:w="140"/>
              <w:left w:type="dxa" w:w="180"/>
              <w:bottom w:type="dxa" w:w="140"/>
              <w:right w:type="dxa" w:w="120"/>
            </w:tcMar>
            <w:vAlign w:val="center"/>
          </w:tcPr>
          <w:p>
            <w:pPr>
              <w:spacing w:before="0" w:after="0"/>
            </w:pPr>
            <w:r>
              <w:rPr>
                <w:rFonts w:ascii="Arial" w:cs="Arial" w:eastAsia="Arial" w:hAnsi="Arial"/>
                <w:b/>
                <w:bCs/>
                <w:color w:val="FFFFFF"/>
                <w:sz w:val="26"/>
                <w:szCs w:val="26"/>
              </w:rPr>
              <w:t xml:space="preserve">Requirements Engineering</w:t>
            </w:r>
          </w:p>
        </w:tc>
        <w:tc>
          <w:tcPr>
            <w:tcW w:type="dxa" w:w="1400"/>
            <w:tcBorders>
              <w:top w:val="none" w:color="FFFFFF" w:sz="0"/>
              <w:left w:val="none" w:color="FFFFFF" w:sz="0"/>
              <w:bottom w:val="none" w:color="FFFFFF" w:sz="0"/>
              <w:right w:val="none" w:color="FFFFFF" w:sz="0"/>
            </w:tcBorders>
            <w:shd w:fill="0F6E56" w:val="clear"/>
            <w:tcMar>
              <w:top w:type="dxa" w:w="140"/>
              <w:left w:type="dxa" w:w="120"/>
              <w:bottom w:type="dxa" w:w="140"/>
              <w:right w:type="dxa" w:w="100"/>
            </w:tcMar>
            <w:vAlign w:val="center"/>
          </w:tcPr>
          <w:p>
            <w:pPr>
              <w:spacing w:before="0" w:after="0"/>
              <w:jc w:val="center"/>
            </w:pPr>
            <w:r>
              <w:rPr>
                <w:rFonts w:ascii="Arial" w:cs="Arial" w:eastAsia="Arial" w:hAnsi="Arial"/>
                <w:color w:val="FFFFFF"/>
                <w:sz w:val="19"/>
                <w:szCs w:val="19"/>
              </w:rPr>
              <w:t xml:space="preserve">Weeks 3–4</w:t>
            </w:r>
          </w:p>
        </w:tc>
        <w:tc>
          <w:tcPr>
            <w:tcW w:type="dxa" w:w="1300"/>
            <w:tcBorders>
              <w:top w:val="none" w:color="FFFFFF" w:sz="0"/>
              <w:left w:val="none" w:color="FFFFFF" w:sz="0"/>
              <w:bottom w:val="none" w:color="FFFFFF" w:sz="0"/>
              <w:right w:val="none" w:color="FFFFFF" w:sz="0"/>
            </w:tcBorders>
            <w:shd w:fill="854F0B" w:val="clear"/>
            <w:tcMar>
              <w:top w:type="dxa" w:w="140"/>
              <w:left w:type="dxa" w:w="100"/>
              <w:bottom w:type="dxa" w:w="140"/>
              <w:right w:type="dxa" w:w="100"/>
            </w:tcMar>
            <w:vAlign w:val="center"/>
          </w:tcPr>
          <w:p>
            <w:pPr>
              <w:spacing w:before="0" w:after="0"/>
              <w:jc w:val="center"/>
            </w:pPr>
            <w:r>
              <w:rPr>
                <w:rFonts w:ascii="Arial" w:cs="Arial" w:eastAsia="Arial" w:hAnsi="Arial"/>
                <w:color w:val="FFFFFF"/>
                <w:sz w:val="17"/>
                <w:szCs w:val="17"/>
              </w:rPr>
              <w:t xml:space="preserve">ISO/IEC 29148</w:t>
            </w:r>
          </w:p>
        </w:tc>
        <w:tc>
          <w:tcPr>
            <w:tcW w:type="dxa" w:w="726"/>
            <w:tcBorders>
              <w:top w:val="none" w:color="FFFFFF" w:sz="0"/>
              <w:left w:val="none" w:color="FFFFFF" w:sz="0"/>
              <w:bottom w:val="none" w:color="FFFFFF" w:sz="0"/>
              <w:right w:val="none" w:color="FFFFFF" w:sz="0"/>
            </w:tcBorders>
            <w:shd w:fill="991B1B" w:val="clear"/>
            <w:tcMar>
              <w:top w:type="dxa" w:w="140"/>
              <w:left w:type="dxa" w:w="80"/>
              <w:bottom w:type="dxa" w:w="140"/>
              <w:right w:type="dxa" w:w="80"/>
            </w:tcMar>
            <w:vAlign w:val="center"/>
          </w:tcPr>
          <w:p>
            <w:pPr>
              <w:spacing w:before="0" w:after="0"/>
              <w:jc w:val="center"/>
            </w:pPr>
            <w:r>
              <w:rPr>
                <w:rFonts w:ascii="Arial" w:cs="Arial" w:eastAsia="Arial" w:hAnsi="Arial"/>
                <w:b/>
                <w:bCs/>
                <w:color w:val="FFFFFF"/>
                <w:sz w:val="17"/>
                <w:szCs w:val="17"/>
              </w:rPr>
              <w:t xml:space="preserve">HIGH</w:t>
            </w:r>
          </w:p>
        </w:tc>
      </w:tr>
    </w:tbl>
    <w:p>
      <w:pPr>
        <w:spacing w:before="0"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4ED8" w:sz="6"/>
              <w:left w:val="single" w:color="1D4ED8" w:sz="16"/>
              <w:bottom w:val="single" w:color="1D4ED8" w:sz="2"/>
              <w:right w:val="single" w:color="1D4ED8" w:sz="2"/>
            </w:tcBorders>
            <w:shd w:fill="EFF6FF" w:val="clear"/>
            <w:tcMar>
              <w:top w:type="dxa" w:w="120"/>
              <w:left w:type="dxa" w:w="200"/>
              <w:bottom w:type="dxa" w:w="120"/>
              <w:right w:type="dxa" w:w="160"/>
            </w:tcMar>
          </w:tcPr>
          <w:p>
            <w:pPr>
              <w:spacing w:before="0" w:after="0"/>
            </w:pPr>
            <w:r>
              <w:rPr>
                <w:rFonts w:ascii="Arial" w:cs="Arial" w:eastAsia="Arial" w:hAnsi="Arial"/>
                <w:color w:val="1D4ED8"/>
                <w:sz w:val="21"/>
                <w:szCs w:val="21"/>
              </w:rPr>
              <w:t xml:space="preserve">PHASE DELIVERABLE: A complete, signed Software Requirements Specification (MMS-SRS-v1.0) covering functional requirements, non-functional requirements, security requirements, compliance requirements, and use cases. This document is the legal contract between what is promised and what is built.</w:t>
            </w:r>
          </w:p>
        </w:tc>
      </w:tr>
    </w:tbl>
    <w:p>
      <w:pPr>
        <w:spacing w:before="0" w:after="160"/>
      </w:pPr>
      <w:r>
        <w:t xml:space="preserve"/>
      </w:r>
    </w:p>
    <w:p>
      <w:pPr>
        <w:pStyle w:val="Heading2"/>
        <w:pBdr>
          <w:bottom w:val="single" w:color="D1D5DB" w:sz="4" w:space="4"/>
        </w:pBdr>
        <w:spacing w:before="360" w:after="140"/>
      </w:pPr>
      <w:r>
        <w:rPr>
          <w:rFonts w:ascii="Arial" w:cs="Arial" w:eastAsia="Arial" w:hAnsi="Arial"/>
          <w:b/>
          <w:bCs/>
          <w:color w:val="1A3A5C"/>
          <w:sz w:val="30"/>
          <w:szCs w:val="30"/>
        </w:rPr>
        <w:t xml:space="preserve">Step 1.1 — Security Requirements Engineering (Before Functional)</w:t>
      </w:r>
    </w:p>
    <w:p>
      <w:pPr>
        <w:spacing w:before="60" w:after="100"/>
        <w:jc w:val="left"/>
      </w:pPr>
      <w:r>
        <w:rPr>
          <w:rFonts w:ascii="Arial" w:cs="Arial" w:eastAsia="Arial" w:hAnsi="Arial"/>
          <w:b w:val="false"/>
          <w:bCs w:val="false"/>
          <w:i w:val="false"/>
          <w:iCs w:val="false"/>
          <w:color w:val="374151"/>
          <w:sz w:val="22"/>
          <w:szCs w:val="22"/>
        </w:rPr>
        <w:t xml:space="preserve">In a fintech, security requirements must be written before functional requirements. This prevents the common error of designing features first and then trying to make them secure. Security requirements constrain the design from the start.</w:t>
      </w:r>
    </w:p>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5C" w:sz="2"/>
              <w:left w:val="single" w:color="1A3A5C" w:sz="2"/>
              <w:bottom w:val="single" w:color="1A3A5C" w:sz="2"/>
              <w:right w:val="single" w:color="1A3A5C" w:sz="2"/>
            </w:tcBorders>
            <w:shd w:fill="1A3A5C" w:val="clear"/>
            <w:tcMar>
              <w:top w:type="dxa" w:w="100"/>
              <w:left w:type="dxa" w:w="180"/>
              <w:bottom w:type="dxa" w:w="100"/>
              <w:right w:type="dxa" w:w="160"/>
            </w:tcMar>
          </w:tcPr>
          <w:p>
            <w:pPr>
              <w:spacing w:before="0" w:after="0"/>
            </w:pPr>
            <w:r>
              <w:rPr>
                <w:rFonts w:ascii="Arial" w:cs="Arial" w:eastAsia="Arial" w:hAnsi="Arial"/>
                <w:b/>
                <w:bCs/>
                <w:color w:val="FFFFFF"/>
                <w:sz w:val="20"/>
                <w:szCs w:val="20"/>
              </w:rPr>
              <w:t xml:space="preserve">PROMPT 1.1 — Security Requirements First</w:t>
            </w:r>
          </w:p>
        </w:tc>
      </w:tr>
      <w:tr>
        <w:tc>
          <w:tcPr>
            <w:tcW w:type="dxa" w:w="9026"/>
            <w:tcBorders>
              <w:top w:val="single" w:color="1A3A5C" w:sz="2"/>
              <w:left w:val="single" w:color="1A3A5C" w:sz="2"/>
              <w:bottom w:val="single" w:color="1A3A5C" w:sz="2"/>
              <w:right w:val="single" w:color="1A3A5C" w:sz="2"/>
            </w:tcBorders>
            <w:shd w:fill="F0F4FF" w:val="clear"/>
            <w:tcMar>
              <w:top w:type="dxa" w:w="140"/>
              <w:left w:type="dxa" w:w="180"/>
              <w:bottom w:type="dxa" w:w="140"/>
              <w:right w:type="dxa" w:w="160"/>
            </w:tcMar>
          </w:tcPr>
          <w:p>
            <w:pPr>
              <w:spacing w:before="0" w:after="0"/>
            </w:pPr>
            <w:r>
              <w:rPr>
                <w:rFonts w:ascii="Courier New" w:cs="Courier New" w:eastAsia="Courier New" w:hAnsi="Courier New"/>
                <w:i/>
                <w:iCs/>
                <w:color w:val="1A3A5C"/>
                <w:sz w:val="19"/>
                <w:szCs w:val="19"/>
              </w:rPr>
              <w:t xml:space="preserve">Write the security requirements for MMS before any functional requirements. These requirements constrain every design decision that follows. Format each as: SEC-[NUMBER]: The system SHALL [security control]. Cover: Authentication controls (password policy, 2FA, session management, account lockout), Authorisation controls (role-based access, resource ownership verification, principle of least privilege), Data protection (encryption at rest AES-256, encryption in transit TLS 1.3, PII handling, data retention 7 years), Audit and monitoring (immutable audit log, real-time anomaly detection, failed auth logging), Payment controls (dual authorisation, transaction limits, kill switch), Availability (uptime 99.5%, RTO 4 hours, RPO 15 minutes), Compliance (AML transaction monitoring thresholds, KYC document requirements, SAR generation). Write at least 5 requirements per category.</w:t>
            </w:r>
          </w:p>
        </w:tc>
      </w:tr>
    </w:tbl>
    <w:p>
      <w:pPr>
        <w:spacing w:before="0" w:after="140"/>
      </w:pPr>
      <w:r>
        <w:t xml:space="preserve"/>
      </w:r>
    </w:p>
    <w:p>
      <w:pPr>
        <w:pStyle w:val="Heading2"/>
        <w:pBdr>
          <w:bottom w:val="single" w:color="D1D5DB" w:sz="4" w:space="4"/>
        </w:pBdr>
        <w:spacing w:before="360" w:after="140"/>
      </w:pPr>
      <w:r>
        <w:rPr>
          <w:rFonts w:ascii="Arial" w:cs="Arial" w:eastAsia="Arial" w:hAnsi="Arial"/>
          <w:b/>
          <w:bCs/>
          <w:color w:val="1A3A5C"/>
          <w:sz w:val="30"/>
          <w:szCs w:val="30"/>
        </w:rPr>
        <w:t xml:space="preserve">Step 1.2 — Functional Requirements (ISO/IEC 29148)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5C" w:sz="2"/>
              <w:left w:val="single" w:color="1A3A5C" w:sz="2"/>
              <w:bottom w:val="single" w:color="1A3A5C" w:sz="2"/>
              <w:right w:val="single" w:color="1A3A5C" w:sz="2"/>
            </w:tcBorders>
            <w:shd w:fill="1A3A5C" w:val="clear"/>
            <w:tcMar>
              <w:top w:type="dxa" w:w="100"/>
              <w:left w:type="dxa" w:w="180"/>
              <w:bottom w:type="dxa" w:w="100"/>
              <w:right w:type="dxa" w:w="160"/>
            </w:tcMar>
          </w:tcPr>
          <w:p>
            <w:pPr>
              <w:spacing w:before="0" w:after="0"/>
            </w:pPr>
            <w:r>
              <w:rPr>
                <w:rFonts w:ascii="Arial" w:cs="Arial" w:eastAsia="Arial" w:hAnsi="Arial"/>
                <w:b/>
                <w:bCs/>
                <w:color w:val="FFFFFF"/>
                <w:sz w:val="20"/>
                <w:szCs w:val="20"/>
              </w:rPr>
              <w:t xml:space="preserve">PROMPT 1.2 — Functional Requirements</w:t>
            </w:r>
          </w:p>
        </w:tc>
      </w:tr>
      <w:tr>
        <w:tc>
          <w:tcPr>
            <w:tcW w:type="dxa" w:w="9026"/>
            <w:tcBorders>
              <w:top w:val="single" w:color="1A3A5C" w:sz="2"/>
              <w:left w:val="single" w:color="1A3A5C" w:sz="2"/>
              <w:bottom w:val="single" w:color="1A3A5C" w:sz="2"/>
              <w:right w:val="single" w:color="1A3A5C" w:sz="2"/>
            </w:tcBorders>
            <w:shd w:fill="F0F4FF" w:val="clear"/>
            <w:tcMar>
              <w:top w:type="dxa" w:w="140"/>
              <w:left w:type="dxa" w:w="180"/>
              <w:bottom w:type="dxa" w:w="140"/>
              <w:right w:type="dxa" w:w="160"/>
            </w:tcMar>
          </w:tcPr>
          <w:p>
            <w:pPr>
              <w:spacing w:before="0" w:after="0"/>
            </w:pPr>
            <w:r>
              <w:rPr>
                <w:rFonts w:ascii="Courier New" w:cs="Courier New" w:eastAsia="Courier New" w:hAnsi="Courier New"/>
                <w:i/>
                <w:iCs/>
                <w:color w:val="1A3A5C"/>
                <w:sz w:val="19"/>
                <w:szCs w:val="19"/>
              </w:rPr>
              <w:t xml:space="preserve">Write functional requirements for all 11 MMS modules following ISO/IEC 29148. Format: REQ-[MODULE]-[NUMBER]: The system SHALL [action]. Apply MoSCoW prioritisation (Must/Should/Could/Won't). For each module write at least 6 requirements covering: the primary business function, validation rules, error conditions, notifications triggered, audit log entries required, and performance expectation. Modules: AUTH (login, 2FA, session), ONBOARD (supplier KYC, buyer profiles), INTAKE (invoice submission, 5 validation checks), VERIFY (buyer confirmation, Notice of Assignment), RISK (5-factor scoring engine), PRICE (discount rate calculation), APPROVE (3-tier approval workflow), PAYMENT (dual auth, 72-hour SLA, MTN/Airtel/EFT), COLLECT (reminders, overdue escalation, penalty), FACILITY (bank facility drawdown tracking), REPORT (portfolio, aging, audit export).</w:t>
            </w:r>
          </w:p>
        </w:tc>
      </w:tr>
    </w:tbl>
    <w:p>
      <w:pPr>
        <w:spacing w:before="0" w:after="140"/>
      </w:pPr>
      <w:r>
        <w:t xml:space="preserve"/>
      </w:r>
    </w:p>
    <w:p>
      <w:pPr>
        <w:pStyle w:val="Heading2"/>
        <w:pBdr>
          <w:bottom w:val="single" w:color="D1D5DB" w:sz="4" w:space="4"/>
        </w:pBdr>
        <w:spacing w:before="360" w:after="140"/>
      </w:pPr>
      <w:r>
        <w:rPr>
          <w:rFonts w:ascii="Arial" w:cs="Arial" w:eastAsia="Arial" w:hAnsi="Arial"/>
          <w:b/>
          <w:bCs/>
          <w:color w:val="1A3A5C"/>
          <w:sz w:val="30"/>
          <w:szCs w:val="30"/>
        </w:rPr>
        <w:t xml:space="preserve">Step 1.3 — Non-Functional Requirements (Measurable)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5C" w:sz="2"/>
              <w:left w:val="single" w:color="1A3A5C" w:sz="2"/>
              <w:bottom w:val="single" w:color="1A3A5C" w:sz="2"/>
              <w:right w:val="single" w:color="1A3A5C" w:sz="2"/>
            </w:tcBorders>
            <w:shd w:fill="1A3A5C" w:val="clear"/>
            <w:tcMar>
              <w:top w:type="dxa" w:w="100"/>
              <w:left w:type="dxa" w:w="180"/>
              <w:bottom w:type="dxa" w:w="100"/>
              <w:right w:type="dxa" w:w="160"/>
            </w:tcMar>
          </w:tcPr>
          <w:p>
            <w:pPr>
              <w:spacing w:before="0" w:after="0"/>
            </w:pPr>
            <w:r>
              <w:rPr>
                <w:rFonts w:ascii="Arial" w:cs="Arial" w:eastAsia="Arial" w:hAnsi="Arial"/>
                <w:b/>
                <w:bCs/>
                <w:color w:val="FFFFFF"/>
                <w:sz w:val="20"/>
                <w:szCs w:val="20"/>
              </w:rPr>
              <w:t xml:space="preserve">PROMPT 1.3 — Non-Functional Requirements</w:t>
            </w:r>
          </w:p>
        </w:tc>
      </w:tr>
      <w:tr>
        <w:tc>
          <w:tcPr>
            <w:tcW w:type="dxa" w:w="9026"/>
            <w:tcBorders>
              <w:top w:val="single" w:color="1A3A5C" w:sz="2"/>
              <w:left w:val="single" w:color="1A3A5C" w:sz="2"/>
              <w:bottom w:val="single" w:color="1A3A5C" w:sz="2"/>
              <w:right w:val="single" w:color="1A3A5C" w:sz="2"/>
            </w:tcBorders>
            <w:shd w:fill="F0F4FF" w:val="clear"/>
            <w:tcMar>
              <w:top w:type="dxa" w:w="140"/>
              <w:left w:type="dxa" w:w="180"/>
              <w:bottom w:type="dxa" w:w="140"/>
              <w:right w:type="dxa" w:w="160"/>
            </w:tcMar>
          </w:tcPr>
          <w:p>
            <w:pPr>
              <w:spacing w:before="0" w:after="0"/>
            </w:pPr>
            <w:r>
              <w:rPr>
                <w:rFonts w:ascii="Courier New" w:cs="Courier New" w:eastAsia="Courier New" w:hAnsi="Courier New"/>
                <w:i/>
                <w:iCs/>
                <w:color w:val="1A3A5C"/>
                <w:sz w:val="19"/>
                <w:szCs w:val="19"/>
              </w:rPr>
              <w:t xml:space="preserve">Write non-functional requirements for MMS. Every requirement must be measurable and testable — not vague. Categories: Performance (invoice submission API responds in under 2 seconds at 95th percentile under 100 concurrent users; risk scoring engine completes in under 5 seconds; payment instruction executes within 72 hours of approval — define SLA for each module), Reliability (99.5% uptime measured monthly; zero data loss on any financial transaction; all failed transactions automatically retried with exponential backoff), Scalability (support 100 concurrent supplier sessions; process 500 invoices per month at launch; architecture must scale to 5,000/month without redesign), Security (all items from SEC requirements above), Compliance (AML monitoring flags transactions above 100M UGX within 60 seconds; KYC status checked on every invoice submission; all audit events recorded within 1 second of occurrence), Usability (supplier can complete invoice submission in under 5 minutes; system must work on Chrome and Safari on mobile and desktop).</w:t>
            </w:r>
          </w:p>
        </w:tc>
      </w:tr>
    </w:tbl>
    <w:p>
      <w:pPr>
        <w:spacing w:before="0" w:after="140"/>
      </w:pPr>
      <w:r>
        <w:t xml:space="preserve"/>
      </w:r>
    </w:p>
    <w:p>
      <w:pPr>
        <w:pStyle w:val="Heading2"/>
        <w:pBdr>
          <w:bottom w:val="single" w:color="D1D5DB" w:sz="4" w:space="4"/>
        </w:pBdr>
        <w:spacing w:before="360" w:after="140"/>
      </w:pPr>
      <w:r>
        <w:rPr>
          <w:rFonts w:ascii="Arial" w:cs="Arial" w:eastAsia="Arial" w:hAnsi="Arial"/>
          <w:b/>
          <w:bCs/>
          <w:color w:val="1A3A5C"/>
          <w:sz w:val="30"/>
          <w:szCs w:val="30"/>
        </w:rPr>
        <w:t xml:space="preserve">Step 1.4 — Uganda-Specific Compliance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5C" w:sz="2"/>
              <w:left w:val="single" w:color="1A3A5C" w:sz="2"/>
              <w:bottom w:val="single" w:color="1A3A5C" w:sz="2"/>
              <w:right w:val="single" w:color="1A3A5C" w:sz="2"/>
            </w:tcBorders>
            <w:shd w:fill="1A3A5C" w:val="clear"/>
            <w:tcMar>
              <w:top w:type="dxa" w:w="100"/>
              <w:left w:type="dxa" w:w="180"/>
              <w:bottom w:type="dxa" w:w="100"/>
              <w:right w:type="dxa" w:w="160"/>
            </w:tcMar>
          </w:tcPr>
          <w:p>
            <w:pPr>
              <w:spacing w:before="0" w:after="0"/>
            </w:pPr>
            <w:r>
              <w:rPr>
                <w:rFonts w:ascii="Arial" w:cs="Arial" w:eastAsia="Arial" w:hAnsi="Arial"/>
                <w:b/>
                <w:bCs/>
                <w:color w:val="FFFFFF"/>
                <w:sz w:val="20"/>
                <w:szCs w:val="20"/>
              </w:rPr>
              <w:t xml:space="preserve">PROMPT 1.4 — Uganda Regulatory Requirements</w:t>
            </w:r>
          </w:p>
        </w:tc>
      </w:tr>
      <w:tr>
        <w:tc>
          <w:tcPr>
            <w:tcW w:type="dxa" w:w="9026"/>
            <w:tcBorders>
              <w:top w:val="single" w:color="1A3A5C" w:sz="2"/>
              <w:left w:val="single" w:color="1A3A5C" w:sz="2"/>
              <w:bottom w:val="single" w:color="1A3A5C" w:sz="2"/>
              <w:right w:val="single" w:color="1A3A5C" w:sz="2"/>
            </w:tcBorders>
            <w:shd w:fill="F0F4FF" w:val="clear"/>
            <w:tcMar>
              <w:top w:type="dxa" w:w="140"/>
              <w:left w:type="dxa" w:w="180"/>
              <w:bottom w:type="dxa" w:w="140"/>
              <w:right w:type="dxa" w:w="160"/>
            </w:tcMar>
          </w:tcPr>
          <w:p>
            <w:pPr>
              <w:spacing w:before="0" w:after="0"/>
            </w:pPr>
            <w:r>
              <w:rPr>
                <w:rFonts w:ascii="Courier New" w:cs="Courier New" w:eastAsia="Courier New" w:hAnsi="Courier New"/>
                <w:i/>
                <w:iCs/>
                <w:color w:val="1A3A5C"/>
                <w:sz w:val="19"/>
                <w:szCs w:val="19"/>
              </w:rPr>
              <w:t xml:space="preserve">Write the Uganda-specific regulatory and compliance requirements for MMS. Cover: Bank of Uganda non-deposit-taking financial institution requirements (reporting obligations, capital adequacy, liquidity requirements if applicable), Financial Intelligence Authority (FIA) AML obligations (transaction monitoring thresholds under Uganda AML Act 2013, SAR filing procedure and timelines, customer due diligence levels for different transaction sizes), Data Protection and Privacy Act 2019 Uganda (lawful basis for processing supplier and buyer data, data subject rights that MMS must support, cross-border data transfer restrictions, breach notification obligation within 72 hours), URA tax obligations (VAT on discount fees, withholding tax on payments, tax invoice requirements). Format as formal requirements the compliance officer can verify against.</w:t>
            </w:r>
          </w:p>
        </w:tc>
      </w:tr>
    </w:tbl>
    <w:p>
      <w:pPr>
        <w:spacing w:before="0" w:after="160"/>
      </w:pPr>
      <w:r>
        <w:t xml:space="preserve"/>
      </w:r>
    </w:p>
    <w:p>
      <w:pPr>
        <w:pStyle w:val="Heading2"/>
        <w:pBdr>
          <w:bottom w:val="single" w:color="D1D5DB" w:sz="4" w:space="4"/>
        </w:pBdr>
        <w:spacing w:before="360" w:after="140"/>
      </w:pPr>
      <w:r>
        <w:rPr>
          <w:rFonts w:ascii="Arial" w:cs="Arial" w:eastAsia="Arial" w:hAnsi="Arial"/>
          <w:b/>
          <w:bCs/>
          <w:color w:val="1A3A5C"/>
          <w:sz w:val="30"/>
          <w:szCs w:val="30"/>
        </w:rPr>
        <w:t xml:space="preserve">Step 1.5 — Use Case Specification with Security Considerations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5C" w:sz="2"/>
              <w:left w:val="single" w:color="1A3A5C" w:sz="2"/>
              <w:bottom w:val="single" w:color="1A3A5C" w:sz="2"/>
              <w:right w:val="single" w:color="1A3A5C" w:sz="2"/>
            </w:tcBorders>
            <w:shd w:fill="1A3A5C" w:val="clear"/>
            <w:tcMar>
              <w:top w:type="dxa" w:w="100"/>
              <w:left w:type="dxa" w:w="180"/>
              <w:bottom w:type="dxa" w:w="100"/>
              <w:right w:type="dxa" w:w="160"/>
            </w:tcMar>
          </w:tcPr>
          <w:p>
            <w:pPr>
              <w:spacing w:before="0" w:after="0"/>
            </w:pPr>
            <w:r>
              <w:rPr>
                <w:rFonts w:ascii="Arial" w:cs="Arial" w:eastAsia="Arial" w:hAnsi="Arial"/>
                <w:b/>
                <w:bCs/>
                <w:color w:val="FFFFFF"/>
                <w:sz w:val="20"/>
                <w:szCs w:val="20"/>
              </w:rPr>
              <w:t xml:space="preserve">PROMPT 1.5 — Use Cases with Security</w:t>
            </w:r>
          </w:p>
        </w:tc>
      </w:tr>
      <w:tr>
        <w:tc>
          <w:tcPr>
            <w:tcW w:type="dxa" w:w="9026"/>
            <w:tcBorders>
              <w:top w:val="single" w:color="1A3A5C" w:sz="2"/>
              <w:left w:val="single" w:color="1A3A5C" w:sz="2"/>
              <w:bottom w:val="single" w:color="1A3A5C" w:sz="2"/>
              <w:right w:val="single" w:color="1A3A5C" w:sz="2"/>
            </w:tcBorders>
            <w:shd w:fill="F0F4FF" w:val="clear"/>
            <w:tcMar>
              <w:top w:type="dxa" w:w="140"/>
              <w:left w:type="dxa" w:w="180"/>
              <w:bottom w:type="dxa" w:w="140"/>
              <w:right w:type="dxa" w:w="160"/>
            </w:tcMar>
          </w:tcPr>
          <w:p>
            <w:pPr>
              <w:spacing w:before="0" w:after="0"/>
            </w:pPr>
            <w:r>
              <w:rPr>
                <w:rFonts w:ascii="Courier New" w:cs="Courier New" w:eastAsia="Courier New" w:hAnsi="Courier New"/>
                <w:i/>
                <w:iCs/>
                <w:color w:val="1A3A5C"/>
                <w:sz w:val="19"/>
                <w:szCs w:val="19"/>
              </w:rPr>
              <w:t xml:space="preserve">Write detailed use case specifications for the 5 most critical MMS flows. For each use case include: Name, Primary Actor, Secondary Actors, Preconditions, Main Success Flow (numbered steps), Alternative Flows, Exception Flows, Business Rules, Security Controls (what authentication and authorisation checks occur at each step), Audit Events (what gets written to audit_logs at each step), and Postconditions. Use cases: (1) Supplier submits invoice and receives early payment, (2) Credit Officer reviews risk score and approves funding, (3) Finance Manager performs dual authorisation on payment, (4) System detects overdue invoice and escalates to management, (5) Auditor exports full audit trail for regulatory inspection.</w:t>
            </w:r>
          </w:p>
        </w:tc>
      </w:tr>
    </w:tbl>
    <w:p>
      <w:pPr>
        <w:spacing w:before="0" w:after="160"/>
      </w:pPr>
      <w:r>
        <w:t xml:space="preserve"/>
      </w:r>
    </w:p>
    <w:p>
      <w:pPr>
        <w:pStyle w:val="Heading2"/>
        <w:pBdr>
          <w:bottom w:val="single" w:color="D1D5DB" w:sz="4" w:space="4"/>
        </w:pBdr>
        <w:spacing w:before="360" w:after="140"/>
      </w:pPr>
      <w:r>
        <w:rPr>
          <w:rFonts w:ascii="Arial" w:cs="Arial" w:eastAsia="Arial" w:hAnsi="Arial"/>
          <w:b/>
          <w:bCs/>
          <w:color w:val="1A3A5C"/>
          <w:sz w:val="30"/>
          <w:szCs w:val="30"/>
        </w:rPr>
        <w:t xml:space="preserve">Phase 1 Completion Gates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6"/>
      </w:tblGrid>
      <w:tr>
        <w:tc>
          <w:tcPr>
            <w:tcW w:type="dxa" w:w="24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Gate</w:t>
            </w:r>
          </w:p>
        </w:tc>
        <w:tc>
          <w:tcPr>
            <w:tcW w:type="dxa" w:w="36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Requirement</w:t>
            </w:r>
          </w:p>
        </w:tc>
        <w:tc>
          <w:tcPr>
            <w:tcW w:type="dxa" w:w="3026"/>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Signed off by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Security requirements written first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SEC- requirements documented before REQ-</w:t>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Technical lead + Compliance officer</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All 11 modules covered</w:t>
            </w:r>
          </w:p>
        </w:tc>
        <w:tc>
          <w:tcPr>
            <w:tcW w:type="dxa" w:w="3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Minimum 6 functional requirements each</w:t>
            </w:r>
          </w:p>
        </w:tc>
        <w:tc>
          <w:tcPr>
            <w:tcW w:type="dxa" w:w="30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Domain expert review</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All NFRs measurable</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No vague requirements — all have a number</w:t>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Technical lead</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Uganda compliance documented</w:t>
            </w:r>
          </w:p>
        </w:tc>
        <w:tc>
          <w:tcPr>
            <w:tcW w:type="dxa" w:w="3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BOU, FIA, PDPO, URA requirements written</w:t>
            </w:r>
          </w:p>
        </w:tc>
        <w:tc>
          <w:tcPr>
            <w:tcW w:type="dxa" w:w="30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Compliance officer + Lawyer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Use cases complete</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5 critical flows fully documented</w:t>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Domain expert</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SRS document signed</w:t>
            </w:r>
          </w:p>
        </w:tc>
        <w:tc>
          <w:tcPr>
            <w:tcW w:type="dxa" w:w="3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Formal sign-off before any architecture begins</w:t>
            </w:r>
          </w:p>
        </w:tc>
        <w:tc>
          <w:tcPr>
            <w:tcW w:type="dxa" w:w="30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MD + Technical lead + Compliance officer</w:t>
            </w:r>
          </w:p>
        </w:tc>
      </w:tr>
    </w:tbl>
    <w:p>
      <w:pPr>
        <w:spacing w:before="0" w:after="0"/>
      </w:pPr>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600"/>
        <w:gridCol w:w="1400"/>
        <w:gridCol w:w="1300"/>
        <w:gridCol w:w="726"/>
      </w:tblGrid>
      <w:tr>
        <w:tc>
          <w:tcPr>
            <w:tcW w:type="dxa" w:w="1000"/>
            <w:tcBorders>
              <w:top w:val="none" w:color="FFFFFF" w:sz="0"/>
              <w:left w:val="none" w:color="FFFFFF" w:sz="0"/>
              <w:bottom w:val="none" w:color="FFFFFF" w:sz="0"/>
              <w:right w:val="none" w:color="FFFFFF" w:sz="0"/>
            </w:tcBorders>
            <w:shd w:fill="1A3A5C" w:val="clear"/>
            <w:tcMar>
              <w:top w:type="dxa" w:w="140"/>
              <w:left w:type="dxa" w:w="120"/>
              <w:bottom w:type="dxa" w:w="140"/>
              <w:right w:type="dxa" w:w="100"/>
            </w:tcMar>
            <w:vAlign w:val="center"/>
          </w:tcPr>
          <w:p>
            <w:pPr>
              <w:spacing w:before="0" w:after="0"/>
              <w:jc w:val="center"/>
            </w:pPr>
            <w:r>
              <w:rPr>
                <w:rFonts w:ascii="Arial" w:cs="Arial" w:eastAsia="Arial" w:hAnsi="Arial"/>
                <w:b/>
                <w:bCs/>
                <w:color w:val="FFFFFF"/>
                <w:sz w:val="28"/>
                <w:szCs w:val="28"/>
              </w:rPr>
              <w:t xml:space="preserve">P2</w:t>
            </w:r>
          </w:p>
        </w:tc>
        <w:tc>
          <w:tcPr>
            <w:tcW w:type="dxa" w:w="4600"/>
            <w:tcBorders>
              <w:top w:val="none" w:color="FFFFFF" w:sz="0"/>
              <w:left w:val="none" w:color="FFFFFF" w:sz="0"/>
              <w:bottom w:val="none" w:color="FFFFFF" w:sz="0"/>
              <w:right w:val="none" w:color="FFFFFF" w:sz="0"/>
            </w:tcBorders>
            <w:shd w:fill="1D4ED8" w:val="clear"/>
            <w:tcMar>
              <w:top w:type="dxa" w:w="140"/>
              <w:left w:type="dxa" w:w="180"/>
              <w:bottom w:type="dxa" w:w="140"/>
              <w:right w:type="dxa" w:w="120"/>
            </w:tcMar>
            <w:vAlign w:val="center"/>
          </w:tcPr>
          <w:p>
            <w:pPr>
              <w:spacing w:before="0" w:after="0"/>
            </w:pPr>
            <w:r>
              <w:rPr>
                <w:rFonts w:ascii="Arial" w:cs="Arial" w:eastAsia="Arial" w:hAnsi="Arial"/>
                <w:b/>
                <w:bCs/>
                <w:color w:val="FFFFFF"/>
                <w:sz w:val="26"/>
                <w:szCs w:val="26"/>
              </w:rPr>
              <w:t xml:space="preserve">System Architecture &amp; Data Design</w:t>
            </w:r>
          </w:p>
        </w:tc>
        <w:tc>
          <w:tcPr>
            <w:tcW w:type="dxa" w:w="1400"/>
            <w:tcBorders>
              <w:top w:val="none" w:color="FFFFFF" w:sz="0"/>
              <w:left w:val="none" w:color="FFFFFF" w:sz="0"/>
              <w:bottom w:val="none" w:color="FFFFFF" w:sz="0"/>
              <w:right w:val="none" w:color="FFFFFF" w:sz="0"/>
            </w:tcBorders>
            <w:shd w:fill="0F6E56" w:val="clear"/>
            <w:tcMar>
              <w:top w:type="dxa" w:w="140"/>
              <w:left w:type="dxa" w:w="120"/>
              <w:bottom w:type="dxa" w:w="140"/>
              <w:right w:type="dxa" w:w="100"/>
            </w:tcMar>
            <w:vAlign w:val="center"/>
          </w:tcPr>
          <w:p>
            <w:pPr>
              <w:spacing w:before="0" w:after="0"/>
              <w:jc w:val="center"/>
            </w:pPr>
            <w:r>
              <w:rPr>
                <w:rFonts w:ascii="Arial" w:cs="Arial" w:eastAsia="Arial" w:hAnsi="Arial"/>
                <w:color w:val="FFFFFF"/>
                <w:sz w:val="19"/>
                <w:szCs w:val="19"/>
              </w:rPr>
              <w:t xml:space="preserve">Weeks 4–5</w:t>
            </w:r>
          </w:p>
        </w:tc>
        <w:tc>
          <w:tcPr>
            <w:tcW w:type="dxa" w:w="1300"/>
            <w:tcBorders>
              <w:top w:val="none" w:color="FFFFFF" w:sz="0"/>
              <w:left w:val="none" w:color="FFFFFF" w:sz="0"/>
              <w:bottom w:val="none" w:color="FFFFFF" w:sz="0"/>
              <w:right w:val="none" w:color="FFFFFF" w:sz="0"/>
            </w:tcBorders>
            <w:shd w:fill="854F0B" w:val="clear"/>
            <w:tcMar>
              <w:top w:type="dxa" w:w="140"/>
              <w:left w:type="dxa" w:w="100"/>
              <w:bottom w:type="dxa" w:w="140"/>
              <w:right w:type="dxa" w:w="100"/>
            </w:tcMar>
            <w:vAlign w:val="center"/>
          </w:tcPr>
          <w:p>
            <w:pPr>
              <w:spacing w:before="0" w:after="0"/>
              <w:jc w:val="center"/>
            </w:pPr>
            <w:r>
              <w:rPr>
                <w:rFonts w:ascii="Arial" w:cs="Arial" w:eastAsia="Arial" w:hAnsi="Arial"/>
                <w:color w:val="FFFFFF"/>
                <w:sz w:val="17"/>
                <w:szCs w:val="17"/>
              </w:rPr>
              <w:t xml:space="preserve">IEEE 1471 / C4 / 3NF</w:t>
            </w:r>
          </w:p>
        </w:tc>
        <w:tc>
          <w:tcPr>
            <w:tcW w:type="dxa" w:w="726"/>
            <w:tcBorders>
              <w:top w:val="none" w:color="FFFFFF" w:sz="0"/>
              <w:left w:val="none" w:color="FFFFFF" w:sz="0"/>
              <w:bottom w:val="none" w:color="FFFFFF" w:sz="0"/>
              <w:right w:val="none" w:color="FFFFFF" w:sz="0"/>
            </w:tcBorders>
            <w:shd w:fill="991B1B" w:val="clear"/>
            <w:tcMar>
              <w:top w:type="dxa" w:w="140"/>
              <w:left w:type="dxa" w:w="80"/>
              <w:bottom w:type="dxa" w:w="140"/>
              <w:right w:type="dxa" w:w="80"/>
            </w:tcMar>
            <w:vAlign w:val="center"/>
          </w:tcPr>
          <w:p>
            <w:pPr>
              <w:spacing w:before="0" w:after="0"/>
              <w:jc w:val="center"/>
            </w:pPr>
            <w:r>
              <w:rPr>
                <w:rFonts w:ascii="Arial" w:cs="Arial" w:eastAsia="Arial" w:hAnsi="Arial"/>
                <w:b/>
                <w:bCs/>
                <w:color w:val="FFFFFF"/>
                <w:sz w:val="17"/>
                <w:szCs w:val="17"/>
              </w:rPr>
              <w:t xml:space="preserve">HIGH</w:t>
            </w:r>
          </w:p>
        </w:tc>
      </w:tr>
    </w:tbl>
    <w:p>
      <w:pPr>
        <w:spacing w:before="0"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4ED8" w:sz="6"/>
              <w:left w:val="single" w:color="1D4ED8" w:sz="16"/>
              <w:bottom w:val="single" w:color="1D4ED8" w:sz="2"/>
              <w:right w:val="single" w:color="1D4ED8" w:sz="2"/>
            </w:tcBorders>
            <w:shd w:fill="EFF6FF" w:val="clear"/>
            <w:tcMar>
              <w:top w:type="dxa" w:w="120"/>
              <w:left w:type="dxa" w:w="200"/>
              <w:bottom w:type="dxa" w:w="120"/>
              <w:right w:type="dxa" w:w="160"/>
            </w:tcMar>
          </w:tcPr>
          <w:p>
            <w:pPr>
              <w:spacing w:before="0" w:after="0"/>
            </w:pPr>
            <w:r>
              <w:rPr>
                <w:rFonts w:ascii="Arial" w:cs="Arial" w:eastAsia="Arial" w:hAnsi="Arial"/>
                <w:color w:val="1D4ED8"/>
                <w:sz w:val="21"/>
                <w:szCs w:val="21"/>
              </w:rPr>
              <w:t xml:space="preserve">PHASE DELIVERABLE: C4 architecture diagrams, microservices design with explicit security boundaries, complete PostgreSQL schema as SQL migration files, and an Architecture Decision Record (ADR) for every major design choice.</w:t>
            </w:r>
          </w:p>
        </w:tc>
      </w:tr>
    </w:tbl>
    <w:p>
      <w:pPr>
        <w:spacing w:before="0" w:after="160"/>
      </w:pPr>
      <w:r>
        <w:t xml:space="preserve"/>
      </w:r>
    </w:p>
    <w:p>
      <w:pPr>
        <w:pStyle w:val="Heading2"/>
        <w:pBdr>
          <w:bottom w:val="single" w:color="D1D5DB" w:sz="4" w:space="4"/>
        </w:pBdr>
        <w:spacing w:before="360" w:after="140"/>
      </w:pPr>
      <w:r>
        <w:rPr>
          <w:rFonts w:ascii="Arial" w:cs="Arial" w:eastAsia="Arial" w:hAnsi="Arial"/>
          <w:b/>
          <w:bCs/>
          <w:color w:val="1A3A5C"/>
          <w:sz w:val="30"/>
          <w:szCs w:val="30"/>
        </w:rPr>
        <w:t xml:space="preserve">Step 2.1 — Threat Modelling Before Architecture (STRIDE)</w:t>
      </w:r>
    </w:p>
    <w:p>
      <w:pPr>
        <w:spacing w:before="60" w:after="100"/>
        <w:jc w:val="left"/>
      </w:pPr>
      <w:r>
        <w:rPr>
          <w:rFonts w:ascii="Arial" w:cs="Arial" w:eastAsia="Arial" w:hAnsi="Arial"/>
          <w:b w:val="false"/>
          <w:bCs w:val="false"/>
          <w:i w:val="false"/>
          <w:iCs w:val="false"/>
          <w:color w:val="374151"/>
          <w:sz w:val="22"/>
          <w:szCs w:val="22"/>
        </w:rPr>
        <w:t xml:space="preserve">Before drawing a single architecture box, run a STRIDE threat model against the planned system. STRIDE stands for: Spoofing, Tampering, Repudiation, Information Disclosure, Denial of Service, Elevation of Privilege. This identifies architectural mitigations that must be baked in from the start.</w:t>
      </w:r>
    </w:p>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5C" w:sz="2"/>
              <w:left w:val="single" w:color="1A3A5C" w:sz="2"/>
              <w:bottom w:val="single" w:color="1A3A5C" w:sz="2"/>
              <w:right w:val="single" w:color="1A3A5C" w:sz="2"/>
            </w:tcBorders>
            <w:shd w:fill="1A3A5C" w:val="clear"/>
            <w:tcMar>
              <w:top w:type="dxa" w:w="100"/>
              <w:left w:type="dxa" w:w="180"/>
              <w:bottom w:type="dxa" w:w="100"/>
              <w:right w:type="dxa" w:w="160"/>
            </w:tcMar>
          </w:tcPr>
          <w:p>
            <w:pPr>
              <w:spacing w:before="0" w:after="0"/>
            </w:pPr>
            <w:r>
              <w:rPr>
                <w:rFonts w:ascii="Arial" w:cs="Arial" w:eastAsia="Arial" w:hAnsi="Arial"/>
                <w:b/>
                <w:bCs/>
                <w:color w:val="FFFFFF"/>
                <w:sz w:val="20"/>
                <w:szCs w:val="20"/>
              </w:rPr>
              <w:t xml:space="preserve">PROMPT 2.1 — STRIDE Threat Model</w:t>
            </w:r>
          </w:p>
        </w:tc>
      </w:tr>
      <w:tr>
        <w:tc>
          <w:tcPr>
            <w:tcW w:type="dxa" w:w="9026"/>
            <w:tcBorders>
              <w:top w:val="single" w:color="1A3A5C" w:sz="2"/>
              <w:left w:val="single" w:color="1A3A5C" w:sz="2"/>
              <w:bottom w:val="single" w:color="1A3A5C" w:sz="2"/>
              <w:right w:val="single" w:color="1A3A5C" w:sz="2"/>
            </w:tcBorders>
            <w:shd w:fill="F0F4FF" w:val="clear"/>
            <w:tcMar>
              <w:top w:type="dxa" w:w="140"/>
              <w:left w:type="dxa" w:w="180"/>
              <w:bottom w:type="dxa" w:w="140"/>
              <w:right w:type="dxa" w:w="160"/>
            </w:tcMar>
          </w:tcPr>
          <w:p>
            <w:pPr>
              <w:spacing w:before="0" w:after="0"/>
            </w:pPr>
            <w:r>
              <w:rPr>
                <w:rFonts w:ascii="Courier New" w:cs="Courier New" w:eastAsia="Courier New" w:hAnsi="Courier New"/>
                <w:i/>
                <w:iCs/>
                <w:color w:val="1A3A5C"/>
                <w:sz w:val="19"/>
                <w:szCs w:val="19"/>
              </w:rPr>
              <w:t xml:space="preserve">Run a STRIDE threat model against the MMS architecture before we design it. For each STRIDE category, identify the top 3 threats specific to an invoice discounting platform in Uganda, and specify the architectural control that must be built to mitigate each. Spoofing: how might an attacker impersonate a legitimate supplier, buyer, or staff member? Tampering: how might invoice values, payment amounts, or approval decisions be altered in transit or at rest? Repudiation: how might a party deny they submitted an invoice or authorised a payment? Information Disclosure: how might a supplier see another supplier's data, or an external party access financial records? Denial of Service: what would happen if the system were overwhelmed during a payment processing window? Elevation of Privilege: how might a supplier gain credit officer access, or a credit officer gain finance manager access? Output as a formal threat register with: Threat ID, Category, Description, Likelihood (High/Med/Low), Impact (High/Med/Low), Architectural Mitigation Required.</w:t>
            </w:r>
          </w:p>
        </w:tc>
      </w:tr>
    </w:tbl>
    <w:p>
      <w:pPr>
        <w:spacing w:before="0" w:after="140"/>
      </w:pPr>
      <w:r>
        <w:t xml:space="preserve"/>
      </w:r>
    </w:p>
    <w:p>
      <w:pPr>
        <w:pStyle w:val="Heading2"/>
        <w:pBdr>
          <w:bottom w:val="single" w:color="D1D5DB" w:sz="4" w:space="4"/>
        </w:pBdr>
        <w:spacing w:before="360" w:after="140"/>
      </w:pPr>
      <w:r>
        <w:rPr>
          <w:rFonts w:ascii="Arial" w:cs="Arial" w:eastAsia="Arial" w:hAnsi="Arial"/>
          <w:b/>
          <w:bCs/>
          <w:color w:val="1A3A5C"/>
          <w:sz w:val="30"/>
          <w:szCs w:val="30"/>
        </w:rPr>
        <w:t xml:space="preserve">Step 2.2 — C4 Architecture with Security Boundaries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5C" w:sz="2"/>
              <w:left w:val="single" w:color="1A3A5C" w:sz="2"/>
              <w:bottom w:val="single" w:color="1A3A5C" w:sz="2"/>
              <w:right w:val="single" w:color="1A3A5C" w:sz="2"/>
            </w:tcBorders>
            <w:shd w:fill="1A3A5C" w:val="clear"/>
            <w:tcMar>
              <w:top w:type="dxa" w:w="100"/>
              <w:left w:type="dxa" w:w="180"/>
              <w:bottom w:type="dxa" w:w="100"/>
              <w:right w:type="dxa" w:w="160"/>
            </w:tcMar>
          </w:tcPr>
          <w:p>
            <w:pPr>
              <w:spacing w:before="0" w:after="0"/>
            </w:pPr>
            <w:r>
              <w:rPr>
                <w:rFonts w:ascii="Arial" w:cs="Arial" w:eastAsia="Arial" w:hAnsi="Arial"/>
                <w:b/>
                <w:bCs/>
                <w:color w:val="FFFFFF"/>
                <w:sz w:val="20"/>
                <w:szCs w:val="20"/>
              </w:rPr>
              <w:t xml:space="preserve">PROMPT 2.2 — C4 Architecture</w:t>
            </w:r>
          </w:p>
        </w:tc>
      </w:tr>
      <w:tr>
        <w:tc>
          <w:tcPr>
            <w:tcW w:type="dxa" w:w="9026"/>
            <w:tcBorders>
              <w:top w:val="single" w:color="1A3A5C" w:sz="2"/>
              <w:left w:val="single" w:color="1A3A5C" w:sz="2"/>
              <w:bottom w:val="single" w:color="1A3A5C" w:sz="2"/>
              <w:right w:val="single" w:color="1A3A5C" w:sz="2"/>
            </w:tcBorders>
            <w:shd w:fill="F0F4FF" w:val="clear"/>
            <w:tcMar>
              <w:top w:type="dxa" w:w="140"/>
              <w:left w:type="dxa" w:w="180"/>
              <w:bottom w:type="dxa" w:w="140"/>
              <w:right w:type="dxa" w:w="160"/>
            </w:tcMar>
          </w:tcPr>
          <w:p>
            <w:pPr>
              <w:spacing w:before="0" w:after="0"/>
            </w:pPr>
            <w:r>
              <w:rPr>
                <w:rFonts w:ascii="Courier New" w:cs="Courier New" w:eastAsia="Courier New" w:hAnsi="Courier New"/>
                <w:i/>
                <w:iCs/>
                <w:color w:val="1A3A5C"/>
                <w:sz w:val="19"/>
                <w:szCs w:val="19"/>
              </w:rPr>
              <w:t xml:space="preserve">Design the complete MMS system architecture using the C4 Model. Include explicit security boundaries at every level. Level 1 — Context: show MMS and all external systems. External systems: MTN MoMo API, Airtel Money API, Uganda bank EFT/RTGS (Stanbic/DFCU), Email gateway (SendGrid), SMS gateway (Africa's Talking), KYC document verification, Accounting software (QuickBooks), FIA reporting system. Level 2 — Containers: show all deployable units with their security classification (public/internal/restricted): Supplier Web Portal (public-facing, React), Staff Admin Dashboard (internal, React, VPN-only access recommended), API Gateway with WAF (public entry point), Auth Service (internal), Business Logic Services (internal), PostgreSQL Primary + Replica (restricted, no direct internet access), Redis (restricted), Document Storage with encryption (restricted), Background Job Workers (internal), Notification Service (internal). Show which containers are in a DMZ and which are in a private network. Present as a written specification for drawing in draw.io.</w:t>
            </w:r>
          </w:p>
        </w:tc>
      </w:tr>
    </w:tbl>
    <w:p>
      <w:pPr>
        <w:spacing w:before="0" w:after="140"/>
      </w:pPr>
      <w:r>
        <w:t xml:space="preserve"/>
      </w:r>
    </w:p>
    <w:p>
      <w:pPr>
        <w:pStyle w:val="Heading2"/>
        <w:pBdr>
          <w:bottom w:val="single" w:color="D1D5DB" w:sz="4" w:space="4"/>
        </w:pBdr>
        <w:spacing w:before="360" w:after="140"/>
      </w:pPr>
      <w:r>
        <w:rPr>
          <w:rFonts w:ascii="Arial" w:cs="Arial" w:eastAsia="Arial" w:hAnsi="Arial"/>
          <w:b/>
          <w:bCs/>
          <w:color w:val="1A3A5C"/>
          <w:sz w:val="30"/>
          <w:szCs w:val="30"/>
        </w:rPr>
        <w:t xml:space="preserve">Step 2.3 — Microservices with Explicit Data Ownership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5C" w:sz="2"/>
              <w:left w:val="single" w:color="1A3A5C" w:sz="2"/>
              <w:bottom w:val="single" w:color="1A3A5C" w:sz="2"/>
              <w:right w:val="single" w:color="1A3A5C" w:sz="2"/>
            </w:tcBorders>
            <w:shd w:fill="1A3A5C" w:val="clear"/>
            <w:tcMar>
              <w:top w:type="dxa" w:w="100"/>
              <w:left w:type="dxa" w:w="180"/>
              <w:bottom w:type="dxa" w:w="100"/>
              <w:right w:type="dxa" w:w="160"/>
            </w:tcMar>
          </w:tcPr>
          <w:p>
            <w:pPr>
              <w:spacing w:before="0" w:after="0"/>
            </w:pPr>
            <w:r>
              <w:rPr>
                <w:rFonts w:ascii="Arial" w:cs="Arial" w:eastAsia="Arial" w:hAnsi="Arial"/>
                <w:b/>
                <w:bCs/>
                <w:color w:val="FFFFFF"/>
                <w:sz w:val="20"/>
                <w:szCs w:val="20"/>
              </w:rPr>
              <w:t xml:space="preserve">PROMPT 2.3 — Microservices Design</w:t>
            </w:r>
          </w:p>
        </w:tc>
      </w:tr>
      <w:tr>
        <w:tc>
          <w:tcPr>
            <w:tcW w:type="dxa" w:w="9026"/>
            <w:tcBorders>
              <w:top w:val="single" w:color="1A3A5C" w:sz="2"/>
              <w:left w:val="single" w:color="1A3A5C" w:sz="2"/>
              <w:bottom w:val="single" w:color="1A3A5C" w:sz="2"/>
              <w:right w:val="single" w:color="1A3A5C" w:sz="2"/>
            </w:tcBorders>
            <w:shd w:fill="F0F4FF" w:val="clear"/>
            <w:tcMar>
              <w:top w:type="dxa" w:w="140"/>
              <w:left w:type="dxa" w:w="180"/>
              <w:bottom w:type="dxa" w:w="140"/>
              <w:right w:type="dxa" w:w="160"/>
            </w:tcMar>
          </w:tcPr>
          <w:p>
            <w:pPr>
              <w:spacing w:before="0" w:after="0"/>
            </w:pPr>
            <w:r>
              <w:rPr>
                <w:rFonts w:ascii="Courier New" w:cs="Courier New" w:eastAsia="Courier New" w:hAnsi="Courier New"/>
                <w:i/>
                <w:iCs/>
                <w:color w:val="1A3A5C"/>
                <w:sz w:val="19"/>
                <w:szCs w:val="19"/>
              </w:rPr>
              <w:t xml:space="preserve">Design the 9 MMS microservices with strict data ownership. Each service owns its tables and no other service may query them directly — only through the service's API. For each service define: single responsibility (one sentence), API endpoints exposed, database tables exclusively owned, events published (to Redis pub/sub or Bull queue), events consumed, external dependencies, security level (public/internal/restricted), and which roles can access each endpoint. Services: Auth Service, Onboarding Service (KYC/KYB), Invoice Service, Risk Engine Service, Approval Service, Payment Service (most critical — restricted access), Collections Service, Notification Service, Reporting Service. Emphasise that the Payment Service has the strictest access controls: only the Approval Service can trigger it, only Finance Manager role can authorise transactions, and it has its own isolated database schema.</w:t>
            </w:r>
          </w:p>
        </w:tc>
      </w:tr>
    </w:tbl>
    <w:p>
      <w:pPr>
        <w:spacing w:before="0" w:after="140"/>
      </w:pPr>
      <w:r>
        <w:t xml:space="preserve"/>
      </w:r>
    </w:p>
    <w:p>
      <w:pPr>
        <w:pStyle w:val="Heading2"/>
        <w:pBdr>
          <w:bottom w:val="single" w:color="D1D5DB" w:sz="4" w:space="4"/>
        </w:pBdr>
        <w:spacing w:before="360" w:after="140"/>
      </w:pPr>
      <w:r>
        <w:rPr>
          <w:rFonts w:ascii="Arial" w:cs="Arial" w:eastAsia="Arial" w:hAnsi="Arial"/>
          <w:b/>
          <w:bCs/>
          <w:color w:val="1A3A5C"/>
          <w:sz w:val="30"/>
          <w:szCs w:val="30"/>
        </w:rPr>
        <w:t xml:space="preserve">Step 2.4 — Database Schema (3NF with Audit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5C" w:sz="2"/>
              <w:left w:val="single" w:color="1A3A5C" w:sz="2"/>
              <w:bottom w:val="single" w:color="1A3A5C" w:sz="2"/>
              <w:right w:val="single" w:color="1A3A5C" w:sz="2"/>
            </w:tcBorders>
            <w:shd w:fill="1A3A5C" w:val="clear"/>
            <w:tcMar>
              <w:top w:type="dxa" w:w="100"/>
              <w:left w:type="dxa" w:w="180"/>
              <w:bottom w:type="dxa" w:w="100"/>
              <w:right w:type="dxa" w:w="160"/>
            </w:tcMar>
          </w:tcPr>
          <w:p>
            <w:pPr>
              <w:spacing w:before="0" w:after="0"/>
            </w:pPr>
            <w:r>
              <w:rPr>
                <w:rFonts w:ascii="Arial" w:cs="Arial" w:eastAsia="Arial" w:hAnsi="Arial"/>
                <w:b/>
                <w:bCs/>
                <w:color w:val="FFFFFF"/>
                <w:sz w:val="20"/>
                <w:szCs w:val="20"/>
              </w:rPr>
              <w:t xml:space="preserve">PROMPT 2.4 — Complete Database Schema</w:t>
            </w:r>
          </w:p>
        </w:tc>
      </w:tr>
      <w:tr>
        <w:tc>
          <w:tcPr>
            <w:tcW w:type="dxa" w:w="9026"/>
            <w:tcBorders>
              <w:top w:val="single" w:color="1A3A5C" w:sz="2"/>
              <w:left w:val="single" w:color="1A3A5C" w:sz="2"/>
              <w:bottom w:val="single" w:color="1A3A5C" w:sz="2"/>
              <w:right w:val="single" w:color="1A3A5C" w:sz="2"/>
            </w:tcBorders>
            <w:shd w:fill="F0F4FF" w:val="clear"/>
            <w:tcMar>
              <w:top w:type="dxa" w:w="140"/>
              <w:left w:type="dxa" w:w="180"/>
              <w:bottom w:type="dxa" w:w="140"/>
              <w:right w:type="dxa" w:w="160"/>
            </w:tcMar>
          </w:tcPr>
          <w:p>
            <w:pPr>
              <w:spacing w:before="0" w:after="0"/>
            </w:pPr>
            <w:r>
              <w:rPr>
                <w:rFonts w:ascii="Courier New" w:cs="Courier New" w:eastAsia="Courier New" w:hAnsi="Courier New"/>
                <w:i/>
                <w:iCs/>
                <w:color w:val="1A3A5C"/>
                <w:sz w:val="19"/>
                <w:szCs w:val="19"/>
              </w:rPr>
              <w:t xml:space="preserve">Design the complete PostgreSQL 15 database schema for MMS following Third Normal Form. For each table write the complete SQL CREATE TABLE statement. Include these tables: users (with role enum, 2fa_secret encrypted, failed_login_count, locked_until, password_changed_at), suppliers (with all fields encrypted where sensitive: bank_account_number, bank_account_name encrypted with pgcrypto), buyers (with credit_rating enum A/B/C/D, approved_limit, used_limit, payment_score), invoices (with status enum covering all lifecycle states, 72hr_sla_deadline computed column), invoice_documents (with file_hash for integrity, encrypted_path), risk_scores (with all 5 factor scores stored individually — never just the final score), approvals (with tier enum, mandatory comments column with NOT NULL), payments (with dual_auth_user_1, dual_auth_user_2, dual_auth_timestamp_1, dual_auth_timestamp_2 — payment cannot execute until both are set), collections (with overdue tracking and penalty calculation), bank_facilities (with utilisation_alert_threshold), collateral (with enforceability_status enum), audit_logs (immutable — no updated_at column, trigger that prevents UPDATE and DELETE). Also write: all foreign key constraints, all check constraints enforcing business rules, all indexes on foreign keys and search columns, row-level security policies so suppliers can only SELECT their own rows, and database roles (app_user with minimal permissions, readonly_user for reporting, admin_user for migrations only).</w:t>
            </w:r>
          </w:p>
        </w:tc>
      </w:tr>
    </w:tbl>
    <w:p>
      <w:pPr>
        <w:spacing w:before="0" w:after="160"/>
      </w:pPr>
      <w:r>
        <w:t xml:space="preserve"/>
      </w:r>
    </w:p>
    <w:p>
      <w:pPr>
        <w:pStyle w:val="Heading2"/>
        <w:pBdr>
          <w:bottom w:val="single" w:color="D1D5DB" w:sz="4" w:space="4"/>
        </w:pBdr>
        <w:spacing w:before="360" w:after="140"/>
      </w:pPr>
      <w:r>
        <w:rPr>
          <w:rFonts w:ascii="Arial" w:cs="Arial" w:eastAsia="Arial" w:hAnsi="Arial"/>
          <w:b/>
          <w:bCs/>
          <w:color w:val="1A3A5C"/>
          <w:sz w:val="30"/>
          <w:szCs w:val="30"/>
        </w:rPr>
        <w:t xml:space="preserve">Step 2.5 — Architecture Decision Records</w:t>
      </w:r>
    </w:p>
    <w:p>
      <w:pPr>
        <w:spacing w:before="60" w:after="100"/>
        <w:jc w:val="left"/>
      </w:pPr>
      <w:r>
        <w:rPr>
          <w:rFonts w:ascii="Arial" w:cs="Arial" w:eastAsia="Arial" w:hAnsi="Arial"/>
          <w:b w:val="false"/>
          <w:bCs w:val="false"/>
          <w:i w:val="false"/>
          <w:iCs w:val="false"/>
          <w:color w:val="374151"/>
          <w:sz w:val="22"/>
          <w:szCs w:val="22"/>
        </w:rPr>
        <w:t xml:space="preserve">Every major architecture decision must be documented in an Architecture Decision Record (ADR). This protects future developers from unknowingly reversing good decisions, and demonstrates due diligence to auditors and banks.</w:t>
      </w:r>
    </w:p>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5C" w:sz="2"/>
              <w:left w:val="single" w:color="1A3A5C" w:sz="2"/>
              <w:bottom w:val="single" w:color="1A3A5C" w:sz="2"/>
              <w:right w:val="single" w:color="1A3A5C" w:sz="2"/>
            </w:tcBorders>
            <w:shd w:fill="1A3A5C" w:val="clear"/>
            <w:tcMar>
              <w:top w:type="dxa" w:w="100"/>
              <w:left w:type="dxa" w:w="180"/>
              <w:bottom w:type="dxa" w:w="100"/>
              <w:right w:type="dxa" w:w="160"/>
            </w:tcMar>
          </w:tcPr>
          <w:p>
            <w:pPr>
              <w:spacing w:before="0" w:after="0"/>
            </w:pPr>
            <w:r>
              <w:rPr>
                <w:rFonts w:ascii="Arial" w:cs="Arial" w:eastAsia="Arial" w:hAnsi="Arial"/>
                <w:b/>
                <w:bCs/>
                <w:color w:val="FFFFFF"/>
                <w:sz w:val="20"/>
                <w:szCs w:val="20"/>
              </w:rPr>
              <w:t xml:space="preserve">PROMPT 2.5 — Architecture Decision Records</w:t>
            </w:r>
          </w:p>
        </w:tc>
      </w:tr>
      <w:tr>
        <w:tc>
          <w:tcPr>
            <w:tcW w:type="dxa" w:w="9026"/>
            <w:tcBorders>
              <w:top w:val="single" w:color="1A3A5C" w:sz="2"/>
              <w:left w:val="single" w:color="1A3A5C" w:sz="2"/>
              <w:bottom w:val="single" w:color="1A3A5C" w:sz="2"/>
              <w:right w:val="single" w:color="1A3A5C" w:sz="2"/>
            </w:tcBorders>
            <w:shd w:fill="F0F4FF" w:val="clear"/>
            <w:tcMar>
              <w:top w:type="dxa" w:w="140"/>
              <w:left w:type="dxa" w:w="180"/>
              <w:bottom w:type="dxa" w:w="140"/>
              <w:right w:type="dxa" w:w="160"/>
            </w:tcMar>
          </w:tcPr>
          <w:p>
            <w:pPr>
              <w:spacing w:before="0" w:after="0"/>
            </w:pPr>
            <w:r>
              <w:rPr>
                <w:rFonts w:ascii="Courier New" w:cs="Courier New" w:eastAsia="Courier New" w:hAnsi="Courier New"/>
                <w:i/>
                <w:iCs/>
                <w:color w:val="1A3A5C"/>
                <w:sz w:val="19"/>
                <w:szCs w:val="19"/>
              </w:rPr>
              <w:t xml:space="preserve">Write Architecture Decision Records (ADRs) for these 6 MMS design decisions. Format each ADR as: Title, Status (Accepted), Context (why this decision was needed), Decision (what was decided), Consequences (positive and negative results of this decision), Alternatives Considered (what else was evaluated and why rejected). Write ADRs for: (1) Why microservices rather than a monolith for MMS at this scale. (2) Why PostgreSQL rather than MongoDB for financial data. (3) Why dual authorisation is enforced at the database level (triggers) not just the application level. (4) Why the Payment Service is isolated in its own database schema with separate database credentials. (5) Why MTN Mobile Money is the primary payout rail rather than bank EFT for suppliers. (6) Why the audit log is append-only at the database level with a trigger preventing UPDATE and DELETE.</w:t>
            </w:r>
          </w:p>
        </w:tc>
      </w:tr>
    </w:tbl>
    <w:p>
      <w:pPr>
        <w:spacing w:before="0" w:after="160"/>
      </w:pPr>
      <w:r>
        <w:t xml:space="preserve"/>
      </w:r>
    </w:p>
    <w:p>
      <w:pPr>
        <w:pStyle w:val="Heading2"/>
        <w:pBdr>
          <w:bottom w:val="single" w:color="D1D5DB" w:sz="4" w:space="4"/>
        </w:pBdr>
        <w:spacing w:before="360" w:after="140"/>
      </w:pPr>
      <w:r>
        <w:rPr>
          <w:rFonts w:ascii="Arial" w:cs="Arial" w:eastAsia="Arial" w:hAnsi="Arial"/>
          <w:b/>
          <w:bCs/>
          <w:color w:val="1A3A5C"/>
          <w:sz w:val="30"/>
          <w:szCs w:val="30"/>
        </w:rPr>
        <w:t xml:space="preserve">Phase 2 Completion Gates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2826"/>
      </w:tblGrid>
      <w:tr>
        <w:tc>
          <w:tcPr>
            <w:tcW w:type="dxa" w:w="28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Gate</w:t>
            </w:r>
          </w:p>
        </w:tc>
        <w:tc>
          <w:tcPr>
            <w:tcW w:type="dxa" w:w="34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Requirement</w:t>
            </w:r>
          </w:p>
        </w:tc>
        <w:tc>
          <w:tcPr>
            <w:tcW w:type="dxa" w:w="2826"/>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Signed off by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STRIDE threat model complete</w:t>
            </w:r>
          </w:p>
        </w:tc>
        <w:tc>
          <w:tcPr>
            <w:tcW w:type="dxa" w:w="3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Formal threat register with mitigations</w:t>
            </w:r>
          </w:p>
        </w:tc>
        <w:tc>
          <w:tcPr>
            <w:tcW w:type="dxa" w:w="28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Security reviewer</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C4 Context diagram drawn</w:t>
            </w:r>
          </w:p>
        </w:tc>
        <w:tc>
          <w:tcPr>
            <w:tcW w:type="dxa" w:w="3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All external systems shown including Uganda payment rails</w:t>
            </w:r>
          </w:p>
        </w:tc>
        <w:tc>
          <w:tcPr>
            <w:tcW w:type="dxa" w:w="28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Technical lead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C4 Container diagram drawn</w:t>
            </w:r>
          </w:p>
        </w:tc>
        <w:tc>
          <w:tcPr>
            <w:tcW w:type="dxa" w:w="3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Security boundaries and network zones shown</w:t>
            </w:r>
          </w:p>
        </w:tc>
        <w:tc>
          <w:tcPr>
            <w:tcW w:type="dxa" w:w="28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Technical lead</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9 microservices designed</w:t>
            </w:r>
          </w:p>
        </w:tc>
        <w:tc>
          <w:tcPr>
            <w:tcW w:type="dxa" w:w="3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Data ownership boundaries explicit</w:t>
            </w:r>
          </w:p>
        </w:tc>
        <w:tc>
          <w:tcPr>
            <w:tcW w:type="dxa" w:w="28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Lead developer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SQL schema complete</w:t>
            </w:r>
          </w:p>
        </w:tc>
        <w:tc>
          <w:tcPr>
            <w:tcW w:type="dxa" w:w="3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All 13 tables with constraints, indexes, RLS policies</w:t>
            </w:r>
          </w:p>
        </w:tc>
        <w:tc>
          <w:tcPr>
            <w:tcW w:type="dxa" w:w="28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Lead developer</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ADRs written</w:t>
            </w:r>
          </w:p>
        </w:tc>
        <w:tc>
          <w:tcPr>
            <w:tcW w:type="dxa" w:w="3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6 architecture decisions documented</w:t>
            </w:r>
          </w:p>
        </w:tc>
        <w:tc>
          <w:tcPr>
            <w:tcW w:type="dxa" w:w="28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Technical lead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Schema reviewed by domain expert</w:t>
            </w:r>
          </w:p>
        </w:tc>
        <w:tc>
          <w:tcPr>
            <w:tcW w:type="dxa" w:w="3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Business rules correctly captured in constraints</w:t>
            </w:r>
          </w:p>
        </w:tc>
        <w:tc>
          <w:tcPr>
            <w:tcW w:type="dxa" w:w="28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Domain expert</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Architecture presented to bank</w:t>
            </w:r>
          </w:p>
        </w:tc>
        <w:tc>
          <w:tcPr>
            <w:tcW w:type="dxa" w:w="3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Trade finance team has seen the architecture</w:t>
            </w:r>
          </w:p>
        </w:tc>
        <w:tc>
          <w:tcPr>
            <w:tcW w:type="dxa" w:w="28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MD + Technical lead</w:t>
            </w:r>
          </w:p>
        </w:tc>
      </w:tr>
    </w:tbl>
    <w:p>
      <w:pPr>
        <w:spacing w:before="0" w:after="0"/>
      </w:pPr>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600"/>
        <w:gridCol w:w="1400"/>
        <w:gridCol w:w="1300"/>
        <w:gridCol w:w="726"/>
      </w:tblGrid>
      <w:tr>
        <w:tc>
          <w:tcPr>
            <w:tcW w:type="dxa" w:w="1000"/>
            <w:tcBorders>
              <w:top w:val="none" w:color="FFFFFF" w:sz="0"/>
              <w:left w:val="none" w:color="FFFFFF" w:sz="0"/>
              <w:bottom w:val="none" w:color="FFFFFF" w:sz="0"/>
              <w:right w:val="none" w:color="FFFFFF" w:sz="0"/>
            </w:tcBorders>
            <w:shd w:fill="1A3A5C" w:val="clear"/>
            <w:tcMar>
              <w:top w:type="dxa" w:w="140"/>
              <w:left w:type="dxa" w:w="120"/>
              <w:bottom w:type="dxa" w:w="140"/>
              <w:right w:type="dxa" w:w="100"/>
            </w:tcMar>
            <w:vAlign w:val="center"/>
          </w:tcPr>
          <w:p>
            <w:pPr>
              <w:spacing w:before="0" w:after="0"/>
              <w:jc w:val="center"/>
            </w:pPr>
            <w:r>
              <w:rPr>
                <w:rFonts w:ascii="Arial" w:cs="Arial" w:eastAsia="Arial" w:hAnsi="Arial"/>
                <w:b/>
                <w:bCs/>
                <w:color w:val="FFFFFF"/>
                <w:sz w:val="28"/>
                <w:szCs w:val="28"/>
              </w:rPr>
              <w:t xml:space="preserve">P3</w:t>
            </w:r>
          </w:p>
        </w:tc>
        <w:tc>
          <w:tcPr>
            <w:tcW w:type="dxa" w:w="4600"/>
            <w:tcBorders>
              <w:top w:val="none" w:color="FFFFFF" w:sz="0"/>
              <w:left w:val="none" w:color="FFFFFF" w:sz="0"/>
              <w:bottom w:val="none" w:color="FFFFFF" w:sz="0"/>
              <w:right w:val="none" w:color="FFFFFF" w:sz="0"/>
            </w:tcBorders>
            <w:shd w:fill="1D4ED8" w:val="clear"/>
            <w:tcMar>
              <w:top w:type="dxa" w:w="140"/>
              <w:left w:type="dxa" w:w="180"/>
              <w:bottom w:type="dxa" w:w="140"/>
              <w:right w:type="dxa" w:w="120"/>
            </w:tcMar>
            <w:vAlign w:val="center"/>
          </w:tcPr>
          <w:p>
            <w:pPr>
              <w:spacing w:before="0" w:after="0"/>
            </w:pPr>
            <w:r>
              <w:rPr>
                <w:rFonts w:ascii="Arial" w:cs="Arial" w:eastAsia="Arial" w:hAnsi="Arial"/>
                <w:b/>
                <w:bCs/>
                <w:color w:val="FFFFFF"/>
                <w:sz w:val="26"/>
                <w:szCs w:val="26"/>
              </w:rPr>
              <w:t xml:space="preserve">Detailed Design &amp; API Specification</w:t>
            </w:r>
          </w:p>
        </w:tc>
        <w:tc>
          <w:tcPr>
            <w:tcW w:type="dxa" w:w="1400"/>
            <w:tcBorders>
              <w:top w:val="none" w:color="FFFFFF" w:sz="0"/>
              <w:left w:val="none" w:color="FFFFFF" w:sz="0"/>
              <w:bottom w:val="none" w:color="FFFFFF" w:sz="0"/>
              <w:right w:val="none" w:color="FFFFFF" w:sz="0"/>
            </w:tcBorders>
            <w:shd w:fill="0F6E56" w:val="clear"/>
            <w:tcMar>
              <w:top w:type="dxa" w:w="140"/>
              <w:left w:type="dxa" w:w="120"/>
              <w:bottom w:type="dxa" w:w="140"/>
              <w:right w:type="dxa" w:w="100"/>
            </w:tcMar>
            <w:vAlign w:val="center"/>
          </w:tcPr>
          <w:p>
            <w:pPr>
              <w:spacing w:before="0" w:after="0"/>
              <w:jc w:val="center"/>
            </w:pPr>
            <w:r>
              <w:rPr>
                <w:rFonts w:ascii="Arial" w:cs="Arial" w:eastAsia="Arial" w:hAnsi="Arial"/>
                <w:color w:val="FFFFFF"/>
                <w:sz w:val="19"/>
                <w:szCs w:val="19"/>
              </w:rPr>
              <w:t xml:space="preserve">Week 5</w:t>
            </w:r>
          </w:p>
        </w:tc>
        <w:tc>
          <w:tcPr>
            <w:tcW w:type="dxa" w:w="1300"/>
            <w:tcBorders>
              <w:top w:val="none" w:color="FFFFFF" w:sz="0"/>
              <w:left w:val="none" w:color="FFFFFF" w:sz="0"/>
              <w:bottom w:val="none" w:color="FFFFFF" w:sz="0"/>
              <w:right w:val="none" w:color="FFFFFF" w:sz="0"/>
            </w:tcBorders>
            <w:shd w:fill="854F0B" w:val="clear"/>
            <w:tcMar>
              <w:top w:type="dxa" w:w="140"/>
              <w:left w:type="dxa" w:w="100"/>
              <w:bottom w:type="dxa" w:w="140"/>
              <w:right w:type="dxa" w:w="100"/>
            </w:tcMar>
            <w:vAlign w:val="center"/>
          </w:tcPr>
          <w:p>
            <w:pPr>
              <w:spacing w:before="0" w:after="0"/>
              <w:jc w:val="center"/>
            </w:pPr>
            <w:r>
              <w:rPr>
                <w:rFonts w:ascii="Arial" w:cs="Arial" w:eastAsia="Arial" w:hAnsi="Arial"/>
                <w:color w:val="FFFFFF"/>
                <w:sz w:val="17"/>
                <w:szCs w:val="17"/>
              </w:rPr>
              <w:t xml:space="preserve">OpenAPI 3.0 / SOLID</w:t>
            </w:r>
          </w:p>
        </w:tc>
        <w:tc>
          <w:tcPr>
            <w:tcW w:type="dxa" w:w="726"/>
            <w:tcBorders>
              <w:top w:val="none" w:color="FFFFFF" w:sz="0"/>
              <w:left w:val="none" w:color="FFFFFF" w:sz="0"/>
              <w:bottom w:val="none" w:color="FFFFFF" w:sz="0"/>
              <w:right w:val="none" w:color="FFFFFF" w:sz="0"/>
            </w:tcBorders>
            <w:shd w:fill="0F6E56" w:val="clear"/>
            <w:tcMar>
              <w:top w:type="dxa" w:w="140"/>
              <w:left w:type="dxa" w:w="80"/>
              <w:bottom w:type="dxa" w:w="140"/>
              <w:right w:type="dxa" w:w="80"/>
            </w:tcMar>
            <w:vAlign w:val="center"/>
          </w:tcPr>
          <w:p>
            <w:pPr>
              <w:spacing w:before="0" w:after="0"/>
              <w:jc w:val="center"/>
            </w:pPr>
            <w:r>
              <w:rPr>
                <w:rFonts w:ascii="Arial" w:cs="Arial" w:eastAsia="Arial" w:hAnsi="Arial"/>
                <w:b/>
                <w:bCs/>
                <w:color w:val="FFFFFF"/>
                <w:sz w:val="17"/>
                <w:szCs w:val="17"/>
              </w:rPr>
              <w:t xml:space="preserve">MEDIUM</w:t>
            </w:r>
          </w:p>
        </w:tc>
      </w:tr>
    </w:tbl>
    <w:p>
      <w:pPr>
        <w:spacing w:before="0"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4ED8" w:sz="6"/>
              <w:left w:val="single" w:color="1D4ED8" w:sz="16"/>
              <w:bottom w:val="single" w:color="1D4ED8" w:sz="2"/>
              <w:right w:val="single" w:color="1D4ED8" w:sz="2"/>
            </w:tcBorders>
            <w:shd w:fill="EFF6FF" w:val="clear"/>
            <w:tcMar>
              <w:top w:type="dxa" w:w="120"/>
              <w:left w:type="dxa" w:w="200"/>
              <w:bottom w:type="dxa" w:w="120"/>
              <w:right w:type="dxa" w:w="160"/>
            </w:tcMar>
          </w:tcPr>
          <w:p>
            <w:pPr>
              <w:spacing w:before="0" w:after="0"/>
            </w:pPr>
            <w:r>
              <w:rPr>
                <w:rFonts w:ascii="Arial" w:cs="Arial" w:eastAsia="Arial" w:hAnsi="Arial"/>
                <w:color w:val="1D4ED8"/>
                <w:sz w:val="21"/>
                <w:szCs w:val="21"/>
              </w:rPr>
              <w:t xml:space="preserve">PHASE DELIVERABLE: Complete OpenAPI 3.0 YAML specification imported and testable in Postman, SOLID principles applied with TypeScript examples, and design patterns selected for each module.</w:t>
            </w:r>
          </w:p>
        </w:tc>
      </w:tr>
    </w:tbl>
    <w:p>
      <w:pPr>
        <w:spacing w:before="0" w:after="160"/>
      </w:pPr>
      <w:r>
        <w:t xml:space="preserve"/>
      </w:r>
    </w:p>
    <w:p>
      <w:pPr>
        <w:pStyle w:val="Heading2"/>
        <w:pBdr>
          <w:bottom w:val="single" w:color="D1D5DB" w:sz="4" w:space="4"/>
        </w:pBdr>
        <w:spacing w:before="360" w:after="140"/>
      </w:pPr>
      <w:r>
        <w:rPr>
          <w:rFonts w:ascii="Arial" w:cs="Arial" w:eastAsia="Arial" w:hAnsi="Arial"/>
          <w:b/>
          <w:bCs/>
          <w:color w:val="1A3A5C"/>
          <w:sz w:val="30"/>
          <w:szCs w:val="30"/>
        </w:rPr>
        <w:t xml:space="preserve">Step 3.1 — API Design with Security Baked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5C" w:sz="2"/>
              <w:left w:val="single" w:color="1A3A5C" w:sz="2"/>
              <w:bottom w:val="single" w:color="1A3A5C" w:sz="2"/>
              <w:right w:val="single" w:color="1A3A5C" w:sz="2"/>
            </w:tcBorders>
            <w:shd w:fill="1A3A5C" w:val="clear"/>
            <w:tcMar>
              <w:top w:type="dxa" w:w="100"/>
              <w:left w:type="dxa" w:w="180"/>
              <w:bottom w:type="dxa" w:w="100"/>
              <w:right w:type="dxa" w:w="160"/>
            </w:tcMar>
          </w:tcPr>
          <w:p>
            <w:pPr>
              <w:spacing w:before="0" w:after="0"/>
            </w:pPr>
            <w:r>
              <w:rPr>
                <w:rFonts w:ascii="Arial" w:cs="Arial" w:eastAsia="Arial" w:hAnsi="Arial"/>
                <w:b/>
                <w:bCs/>
                <w:color w:val="FFFFFF"/>
                <w:sz w:val="20"/>
                <w:szCs w:val="20"/>
              </w:rPr>
              <w:t xml:space="preserve">PROMPT 3.1 — OpenAPI Specification</w:t>
            </w:r>
          </w:p>
        </w:tc>
      </w:tr>
      <w:tr>
        <w:tc>
          <w:tcPr>
            <w:tcW w:type="dxa" w:w="9026"/>
            <w:tcBorders>
              <w:top w:val="single" w:color="1A3A5C" w:sz="2"/>
              <w:left w:val="single" w:color="1A3A5C" w:sz="2"/>
              <w:bottom w:val="single" w:color="1A3A5C" w:sz="2"/>
              <w:right w:val="single" w:color="1A3A5C" w:sz="2"/>
            </w:tcBorders>
            <w:shd w:fill="F0F4FF" w:val="clear"/>
            <w:tcMar>
              <w:top w:type="dxa" w:w="140"/>
              <w:left w:type="dxa" w:w="180"/>
              <w:bottom w:type="dxa" w:w="140"/>
              <w:right w:type="dxa" w:w="160"/>
            </w:tcMar>
          </w:tcPr>
          <w:p>
            <w:pPr>
              <w:spacing w:before="0" w:after="0"/>
            </w:pPr>
            <w:r>
              <w:rPr>
                <w:rFonts w:ascii="Courier New" w:cs="Courier New" w:eastAsia="Courier New" w:hAnsi="Courier New"/>
                <w:i/>
                <w:iCs/>
                <w:color w:val="1A3A5C"/>
                <w:sz w:val="19"/>
                <w:szCs w:val="19"/>
              </w:rPr>
              <w:t xml:space="preserve">Design the complete REST API for MMS in OpenAPI 3.0 YAML format. Every endpoint must include: authentication requirement (Bearer JWT), required role (x-required-role extension), request body schema with Joi-equivalent validation rules, success response schema, and these error responses: 400 (validation failure with field-level error details), 401 (not authenticated), 403 (authenticated but wrong role OR accessing another user's resource), 404 (resource not found), 422 (business rule violation — e.g. buyer credit limit exceeded), 429 (rate limit exceeded), 500 (internal error — never expose stack trace). Endpoint groups: POST /auth/login (rate limited: 10/min per IP), POST /auth/2fa/verify, POST /auth/logout, POST /auth/refresh. POST /suppliers/register, GET /suppliers/:id (supplier sees own only), PUT /suppliers/:id/documents, GET /admin/suppliers (credit officer only). POST /invoices/submit (supplier role only, owns the invoice), GET /invoices/:id (supplier sees own, staff see all with role check), POST /invoices/:id/buyer-confirm (buyer confirmation token), POST /invoices/:id/approve (credit officer), POST /invoices/:id/reject (credit officer, comments required). GET /invoices/:id/risk-score (credit officer only). POST /payments/:id/authorise (finance manager, records user identity). GET /reports/portfolio (management/auditor). GET /admin/audit-log (auditor only, read-only).</w:t>
            </w:r>
          </w:p>
        </w:tc>
      </w:tr>
    </w:tbl>
    <w:p>
      <w:pPr>
        <w:spacing w:before="0" w:after="140"/>
      </w:pPr>
      <w:r>
        <w:t xml:space="preserve"/>
      </w:r>
    </w:p>
    <w:p>
      <w:pPr>
        <w:pStyle w:val="Heading2"/>
        <w:pBdr>
          <w:bottom w:val="single" w:color="D1D5DB" w:sz="4" w:space="4"/>
        </w:pBdr>
        <w:spacing w:before="360" w:after="140"/>
      </w:pPr>
      <w:r>
        <w:rPr>
          <w:rFonts w:ascii="Arial" w:cs="Arial" w:eastAsia="Arial" w:hAnsi="Arial"/>
          <w:b/>
          <w:bCs/>
          <w:color w:val="1A3A5C"/>
          <w:sz w:val="30"/>
          <w:szCs w:val="30"/>
        </w:rPr>
        <w:t xml:space="preserve">Step 3.2 — SOLID Principles with MMS Examples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5C" w:sz="2"/>
              <w:left w:val="single" w:color="1A3A5C" w:sz="2"/>
              <w:bottom w:val="single" w:color="1A3A5C" w:sz="2"/>
              <w:right w:val="single" w:color="1A3A5C" w:sz="2"/>
            </w:tcBorders>
            <w:shd w:fill="1A3A5C" w:val="clear"/>
            <w:tcMar>
              <w:top w:type="dxa" w:w="100"/>
              <w:left w:type="dxa" w:w="180"/>
              <w:bottom w:type="dxa" w:w="100"/>
              <w:right w:type="dxa" w:w="160"/>
            </w:tcMar>
          </w:tcPr>
          <w:p>
            <w:pPr>
              <w:spacing w:before="0" w:after="0"/>
            </w:pPr>
            <w:r>
              <w:rPr>
                <w:rFonts w:ascii="Arial" w:cs="Arial" w:eastAsia="Arial" w:hAnsi="Arial"/>
                <w:b/>
                <w:bCs/>
                <w:color w:val="FFFFFF"/>
                <w:sz w:val="20"/>
                <w:szCs w:val="20"/>
              </w:rPr>
              <w:t xml:space="preserve">PROMPT 3.2 — SOLID Design</w:t>
            </w:r>
          </w:p>
        </w:tc>
      </w:tr>
      <w:tr>
        <w:tc>
          <w:tcPr>
            <w:tcW w:type="dxa" w:w="9026"/>
            <w:tcBorders>
              <w:top w:val="single" w:color="1A3A5C" w:sz="2"/>
              <w:left w:val="single" w:color="1A3A5C" w:sz="2"/>
              <w:bottom w:val="single" w:color="1A3A5C" w:sz="2"/>
              <w:right w:val="single" w:color="1A3A5C" w:sz="2"/>
            </w:tcBorders>
            <w:shd w:fill="F0F4FF" w:val="clear"/>
            <w:tcMar>
              <w:top w:type="dxa" w:w="140"/>
              <w:left w:type="dxa" w:w="180"/>
              <w:bottom w:type="dxa" w:w="140"/>
              <w:right w:type="dxa" w:w="160"/>
            </w:tcMar>
          </w:tcPr>
          <w:p>
            <w:pPr>
              <w:spacing w:before="0" w:after="0"/>
            </w:pPr>
            <w:r>
              <w:rPr>
                <w:rFonts w:ascii="Courier New" w:cs="Courier New" w:eastAsia="Courier New" w:hAnsi="Courier New"/>
                <w:i/>
                <w:iCs/>
                <w:color w:val="1A3A5C"/>
                <w:sz w:val="19"/>
                <w:szCs w:val="19"/>
              </w:rPr>
              <w:t xml:space="preserve">Apply all 5 SOLID principles to MMS with complete TypeScript code examples from the actual system. S — Single Responsibility: show how the Risk Scoring Engine is split into: RiskScoringService (orchestrates), BuyerCreditScorer (one factor), TenorScorer, SupplierTrackRecordScorer, ConcentrationRiskScorer, CollateralScorer — each class has exactly one reason to change. O — Open/Closed: show how adding a new scoring factor (e.g. Invoice Currency Risk) requires only creating a new class implementing IScoringFactor interface — zero modification to existing classes. L — Liskov Substitution: show how MTNMoMoProvider, AirtelMoneyProvider, BankEFTProvider, and MockPaymentProvider all implement IPaymentProvider and are completely interchangeable in the PaymentService. I — Interface Segregation: show separate interfaces ISupplierActions, ICreditOfficerActions, IFinanceActions, IManagementActions — no role implements methods it does not use. D — Dependency Inversion: show PaymentService depending on IPaymentProvider and IPaymentRepository abstractions, with concrete implementations injected — enabling testing with MockPaymentProvider without any code change.</w:t>
            </w:r>
          </w:p>
        </w:tc>
      </w:tr>
    </w:tbl>
    <w:p>
      <w:pPr>
        <w:spacing w:before="0" w:after="140"/>
      </w:pPr>
      <w:r>
        <w:t xml:space="preserve"/>
      </w:r>
    </w:p>
    <w:p>
      <w:pPr>
        <w:pStyle w:val="Heading2"/>
        <w:pBdr>
          <w:bottom w:val="single" w:color="D1D5DB" w:sz="4" w:space="4"/>
        </w:pBdr>
        <w:spacing w:before="360" w:after="140"/>
      </w:pPr>
      <w:r>
        <w:rPr>
          <w:rFonts w:ascii="Arial" w:cs="Arial" w:eastAsia="Arial" w:hAnsi="Arial"/>
          <w:b/>
          <w:bCs/>
          <w:color w:val="1A3A5C"/>
          <w:sz w:val="30"/>
          <w:szCs w:val="30"/>
        </w:rPr>
        <w:t xml:space="preserve">Step 3.3 — Design Patterns for Financial Systems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5C" w:sz="2"/>
              <w:left w:val="single" w:color="1A3A5C" w:sz="2"/>
              <w:bottom w:val="single" w:color="1A3A5C" w:sz="2"/>
              <w:right w:val="single" w:color="1A3A5C" w:sz="2"/>
            </w:tcBorders>
            <w:shd w:fill="1A3A5C" w:val="clear"/>
            <w:tcMar>
              <w:top w:type="dxa" w:w="100"/>
              <w:left w:type="dxa" w:w="180"/>
              <w:bottom w:type="dxa" w:w="100"/>
              <w:right w:type="dxa" w:w="160"/>
            </w:tcMar>
          </w:tcPr>
          <w:p>
            <w:pPr>
              <w:spacing w:before="0" w:after="0"/>
            </w:pPr>
            <w:r>
              <w:rPr>
                <w:rFonts w:ascii="Arial" w:cs="Arial" w:eastAsia="Arial" w:hAnsi="Arial"/>
                <w:b/>
                <w:bCs/>
                <w:color w:val="FFFFFF"/>
                <w:sz w:val="20"/>
                <w:szCs w:val="20"/>
              </w:rPr>
              <w:t xml:space="preserve">PROMPT 3.3 — Design Patterns</w:t>
            </w:r>
          </w:p>
        </w:tc>
      </w:tr>
      <w:tr>
        <w:tc>
          <w:tcPr>
            <w:tcW w:type="dxa" w:w="9026"/>
            <w:tcBorders>
              <w:top w:val="single" w:color="1A3A5C" w:sz="2"/>
              <w:left w:val="single" w:color="1A3A5C" w:sz="2"/>
              <w:bottom w:val="single" w:color="1A3A5C" w:sz="2"/>
              <w:right w:val="single" w:color="1A3A5C" w:sz="2"/>
            </w:tcBorders>
            <w:shd w:fill="F0F4FF" w:val="clear"/>
            <w:tcMar>
              <w:top w:type="dxa" w:w="140"/>
              <w:left w:type="dxa" w:w="180"/>
              <w:bottom w:type="dxa" w:w="140"/>
              <w:right w:type="dxa" w:w="160"/>
            </w:tcMar>
          </w:tcPr>
          <w:p>
            <w:pPr>
              <w:spacing w:before="0" w:after="0"/>
            </w:pPr>
            <w:r>
              <w:rPr>
                <w:rFonts w:ascii="Courier New" w:cs="Courier New" w:eastAsia="Courier New" w:hAnsi="Courier New"/>
                <w:i/>
                <w:iCs/>
                <w:color w:val="1A3A5C"/>
                <w:sz w:val="19"/>
                <w:szCs w:val="19"/>
              </w:rPr>
              <w:t xml:space="preserve">Specify the design patterns to be used in MMS and show TypeScript implementations. Required patterns: Repository Pattern — all database access through repository classes, no SQL in controllers or services. Show InvoiceRepository with typed methods. Unit of Work Pattern — wrap multi-table operations (e.g. fund invoice + update buyer limit + write audit log) in a single transaction that rolls back completely on any failure. Command Pattern — every payment action is a Command object (InitiatePaymentCommand, AuthorisePaymentCommand, ExecutePaymentCommand) that can be logged, audited, and replayed. Observer Pattern — invoice status changes trigger observers (NotificationObserver sends SMS/email, AuditObserver writes to audit_log, RiskObserver recalculates portfolio concentration). Strategy Pattern — payment routing strategy selects MTN MoMo vs Airtel vs EFT based on supplier's registered payment method and amount thresholds. Show complete TypeScript implementation for each pattern as it applies to MMS.</w:t>
            </w:r>
          </w:p>
        </w:tc>
      </w:tr>
    </w:tbl>
    <w:p>
      <w:pPr>
        <w:spacing w:before="0" w:after="0"/>
      </w:pPr>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600"/>
        <w:gridCol w:w="1400"/>
        <w:gridCol w:w="1300"/>
        <w:gridCol w:w="726"/>
      </w:tblGrid>
      <w:tr>
        <w:tc>
          <w:tcPr>
            <w:tcW w:type="dxa" w:w="1000"/>
            <w:tcBorders>
              <w:top w:val="none" w:color="FFFFFF" w:sz="0"/>
              <w:left w:val="none" w:color="FFFFFF" w:sz="0"/>
              <w:bottom w:val="none" w:color="FFFFFF" w:sz="0"/>
              <w:right w:val="none" w:color="FFFFFF" w:sz="0"/>
            </w:tcBorders>
            <w:shd w:fill="1A3A5C" w:val="clear"/>
            <w:tcMar>
              <w:top w:type="dxa" w:w="140"/>
              <w:left w:type="dxa" w:w="120"/>
              <w:bottom w:type="dxa" w:w="140"/>
              <w:right w:type="dxa" w:w="100"/>
            </w:tcMar>
            <w:vAlign w:val="center"/>
          </w:tcPr>
          <w:p>
            <w:pPr>
              <w:spacing w:before="0" w:after="0"/>
              <w:jc w:val="center"/>
            </w:pPr>
            <w:r>
              <w:rPr>
                <w:rFonts w:ascii="Arial" w:cs="Arial" w:eastAsia="Arial" w:hAnsi="Arial"/>
                <w:b/>
                <w:bCs/>
                <w:color w:val="FFFFFF"/>
                <w:sz w:val="28"/>
                <w:szCs w:val="28"/>
              </w:rPr>
              <w:t xml:space="preserve">P4</w:t>
            </w:r>
          </w:p>
        </w:tc>
        <w:tc>
          <w:tcPr>
            <w:tcW w:type="dxa" w:w="4600"/>
            <w:tcBorders>
              <w:top w:val="none" w:color="FFFFFF" w:sz="0"/>
              <w:left w:val="none" w:color="FFFFFF" w:sz="0"/>
              <w:bottom w:val="none" w:color="FFFFFF" w:sz="0"/>
              <w:right w:val="none" w:color="FFFFFF" w:sz="0"/>
            </w:tcBorders>
            <w:shd w:fill="1D4ED8" w:val="clear"/>
            <w:tcMar>
              <w:top w:type="dxa" w:w="140"/>
              <w:left w:type="dxa" w:w="180"/>
              <w:bottom w:type="dxa" w:w="140"/>
              <w:right w:type="dxa" w:w="120"/>
            </w:tcMar>
            <w:vAlign w:val="center"/>
          </w:tcPr>
          <w:p>
            <w:pPr>
              <w:spacing w:before="0" w:after="0"/>
            </w:pPr>
            <w:r>
              <w:rPr>
                <w:rFonts w:ascii="Arial" w:cs="Arial" w:eastAsia="Arial" w:hAnsi="Arial"/>
                <w:b/>
                <w:bCs/>
                <w:color w:val="FFFFFF"/>
                <w:sz w:val="26"/>
                <w:szCs w:val="26"/>
              </w:rPr>
              <w:t xml:space="preserve">Project Scaffold &amp; Security Baseline</w:t>
            </w:r>
          </w:p>
        </w:tc>
        <w:tc>
          <w:tcPr>
            <w:tcW w:type="dxa" w:w="1400"/>
            <w:tcBorders>
              <w:top w:val="none" w:color="FFFFFF" w:sz="0"/>
              <w:left w:val="none" w:color="FFFFFF" w:sz="0"/>
              <w:bottom w:val="none" w:color="FFFFFF" w:sz="0"/>
              <w:right w:val="none" w:color="FFFFFF" w:sz="0"/>
            </w:tcBorders>
            <w:shd w:fill="0F6E56" w:val="clear"/>
            <w:tcMar>
              <w:top w:type="dxa" w:w="140"/>
              <w:left w:type="dxa" w:w="120"/>
              <w:bottom w:type="dxa" w:w="140"/>
              <w:right w:type="dxa" w:w="100"/>
            </w:tcMar>
            <w:vAlign w:val="center"/>
          </w:tcPr>
          <w:p>
            <w:pPr>
              <w:spacing w:before="0" w:after="0"/>
              <w:jc w:val="center"/>
            </w:pPr>
            <w:r>
              <w:rPr>
                <w:rFonts w:ascii="Arial" w:cs="Arial" w:eastAsia="Arial" w:hAnsi="Arial"/>
                <w:color w:val="FFFFFF"/>
                <w:sz w:val="19"/>
                <w:szCs w:val="19"/>
              </w:rPr>
              <w:t xml:space="preserve">Week 6</w:t>
            </w:r>
          </w:p>
        </w:tc>
        <w:tc>
          <w:tcPr>
            <w:tcW w:type="dxa" w:w="1300"/>
            <w:tcBorders>
              <w:top w:val="none" w:color="FFFFFF" w:sz="0"/>
              <w:left w:val="none" w:color="FFFFFF" w:sz="0"/>
              <w:bottom w:val="none" w:color="FFFFFF" w:sz="0"/>
              <w:right w:val="none" w:color="FFFFFF" w:sz="0"/>
            </w:tcBorders>
            <w:shd w:fill="854F0B" w:val="clear"/>
            <w:tcMar>
              <w:top w:type="dxa" w:w="140"/>
              <w:left w:type="dxa" w:w="100"/>
              <w:bottom w:type="dxa" w:w="140"/>
              <w:right w:type="dxa" w:w="100"/>
            </w:tcMar>
            <w:vAlign w:val="center"/>
          </w:tcPr>
          <w:p>
            <w:pPr>
              <w:spacing w:before="0" w:after="0"/>
              <w:jc w:val="center"/>
            </w:pPr>
            <w:r>
              <w:rPr>
                <w:rFonts w:ascii="Arial" w:cs="Arial" w:eastAsia="Arial" w:hAnsi="Arial"/>
                <w:color w:val="FFFFFF"/>
                <w:sz w:val="17"/>
                <w:szCs w:val="17"/>
              </w:rPr>
              <w:t xml:space="preserve">12-Factor / OWASP</w:t>
            </w:r>
          </w:p>
        </w:tc>
        <w:tc>
          <w:tcPr>
            <w:tcW w:type="dxa" w:w="726"/>
            <w:tcBorders>
              <w:top w:val="none" w:color="FFFFFF" w:sz="0"/>
              <w:left w:val="none" w:color="FFFFFF" w:sz="0"/>
              <w:bottom w:val="none" w:color="FFFFFF" w:sz="0"/>
              <w:right w:val="none" w:color="FFFFFF" w:sz="0"/>
            </w:tcBorders>
            <w:shd w:fill="991B1B" w:val="clear"/>
            <w:tcMar>
              <w:top w:type="dxa" w:w="140"/>
              <w:left w:type="dxa" w:w="80"/>
              <w:bottom w:type="dxa" w:w="140"/>
              <w:right w:type="dxa" w:w="80"/>
            </w:tcMar>
            <w:vAlign w:val="center"/>
          </w:tcPr>
          <w:p>
            <w:pPr>
              <w:spacing w:before="0" w:after="0"/>
              <w:jc w:val="center"/>
            </w:pPr>
            <w:r>
              <w:rPr>
                <w:rFonts w:ascii="Arial" w:cs="Arial" w:eastAsia="Arial" w:hAnsi="Arial"/>
                <w:b/>
                <w:bCs/>
                <w:color w:val="FFFFFF"/>
                <w:sz w:val="17"/>
                <w:szCs w:val="17"/>
              </w:rPr>
              <w:t xml:space="preserve">HIGH</w:t>
            </w:r>
          </w:p>
        </w:tc>
      </w:tr>
    </w:tbl>
    <w:p>
      <w:pPr>
        <w:spacing w:before="0"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4ED8" w:sz="6"/>
              <w:left w:val="single" w:color="1D4ED8" w:sz="16"/>
              <w:bottom w:val="single" w:color="1D4ED8" w:sz="2"/>
              <w:right w:val="single" w:color="1D4ED8" w:sz="2"/>
            </w:tcBorders>
            <w:shd w:fill="EFF6FF" w:val="clear"/>
            <w:tcMar>
              <w:top w:type="dxa" w:w="120"/>
              <w:left w:type="dxa" w:w="200"/>
              <w:bottom w:type="dxa" w:w="120"/>
              <w:right w:type="dxa" w:w="160"/>
            </w:tcMar>
          </w:tcPr>
          <w:p>
            <w:pPr>
              <w:spacing w:before="0" w:after="0"/>
            </w:pPr>
            <w:r>
              <w:rPr>
                <w:rFonts w:ascii="Arial" w:cs="Arial" w:eastAsia="Arial" w:hAnsi="Arial"/>
                <w:color w:val="1D4ED8"/>
                <w:sz w:val="21"/>
                <w:szCs w:val="21"/>
              </w:rPr>
              <w:t xml:space="preserve">PHASE DELIVERABLE: A running project scaffold with security controls active from the first line of code: parameterised queries enforced, rate limiting active, security headers set, audit logging wired. A health endpoint that responds. All containers running. Security baseline verified.</w:t>
            </w:r>
          </w:p>
        </w:tc>
      </w:tr>
    </w:tbl>
    <w:p>
      <w:pPr>
        <w:spacing w:before="0" w:after="160"/>
      </w:pPr>
      <w:r>
        <w:t xml:space="preserve"/>
      </w:r>
    </w:p>
    <w:p>
      <w:pPr>
        <w:pStyle w:val="Heading2"/>
        <w:pBdr>
          <w:bottom w:val="single" w:color="D1D5DB" w:sz="4" w:space="4"/>
        </w:pBdr>
        <w:spacing w:before="360" w:after="140"/>
      </w:pPr>
      <w:r>
        <w:rPr>
          <w:rFonts w:ascii="Arial" w:cs="Arial" w:eastAsia="Arial" w:hAnsi="Arial"/>
          <w:b/>
          <w:bCs/>
          <w:color w:val="1A3A5C"/>
          <w:sz w:val="30"/>
          <w:szCs w:val="30"/>
        </w:rPr>
        <w:t xml:space="preserve">Step 4.1 — Tool Installation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400"/>
        <w:gridCol w:w="3626"/>
      </w:tblGrid>
      <w:tr>
        <w:tc>
          <w:tcPr>
            <w:tcW w:type="dxa" w:w="18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Tool</w:t>
            </w:r>
          </w:p>
        </w:tc>
        <w:tc>
          <w:tcPr>
            <w:tcW w:type="dxa" w:w="12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Version</w:t>
            </w:r>
          </w:p>
        </w:tc>
        <w:tc>
          <w:tcPr>
            <w:tcW w:type="dxa" w:w="24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Purpose</w:t>
            </w:r>
          </w:p>
        </w:tc>
        <w:tc>
          <w:tcPr>
            <w:tcW w:type="dxa" w:w="3626"/>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Installation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Node.js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20 LTS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Application runtime</w:t>
            </w:r>
          </w:p>
        </w:tc>
        <w:tc>
          <w:tcPr>
            <w:tcW w:type="dxa" w:w="3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nodejs.org — use nvm for version management</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VS Code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Latest</w:t>
            </w:r>
          </w:p>
        </w:tc>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Code editor</w:t>
            </w:r>
          </w:p>
        </w:tc>
        <w:tc>
          <w:tcPr>
            <w:tcW w:type="dxa" w:w="36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code.visualstudio.com</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Docker Desktop</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Latest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Local containers (DB, Redis)</w:t>
            </w:r>
          </w:p>
        </w:tc>
        <w:tc>
          <w:tcPr>
            <w:tcW w:type="dxa" w:w="3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docker.com</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Postman</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Latest</w:t>
            </w:r>
          </w:p>
        </w:tc>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API testing</w:t>
            </w:r>
          </w:p>
        </w:tc>
        <w:tc>
          <w:tcPr>
            <w:tcW w:type="dxa" w:w="36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postman.com — import OpenAPI YAML from Phase 3</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Git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Latest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Version control</w:t>
            </w:r>
          </w:p>
        </w:tc>
        <w:tc>
          <w:tcPr>
            <w:tcW w:type="dxa" w:w="3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git-scm.com</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Claude Code CLI</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Latest</w:t>
            </w:r>
          </w:p>
        </w:tc>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Terminal AI assistant</w:t>
            </w:r>
          </w:p>
        </w:tc>
        <w:tc>
          <w:tcPr>
            <w:tcW w:type="dxa" w:w="36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npm install -g @anthropic-ai/claude-code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pgAdmin 4</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Latest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Database management</w:t>
            </w:r>
          </w:p>
        </w:tc>
        <w:tc>
          <w:tcPr>
            <w:tcW w:type="dxa" w:w="3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pgadmin.org</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OWASP ZAP</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Latest</w:t>
            </w:r>
          </w:p>
        </w:tc>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Security scanning</w:t>
            </w:r>
          </w:p>
        </w:tc>
        <w:tc>
          <w:tcPr>
            <w:tcW w:type="dxa" w:w="36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zaproxy.org — free web security scanner</w:t>
            </w:r>
          </w:p>
        </w:tc>
      </w:tr>
    </w:tbl>
    <w:p>
      <w:pPr>
        <w:spacing w:before="0" w:after="140"/>
      </w:pPr>
      <w:r>
        <w:t xml:space="preserve"/>
      </w:r>
    </w:p>
    <w:p>
      <w:pPr>
        <w:pStyle w:val="Heading2"/>
        <w:pBdr>
          <w:bottom w:val="single" w:color="D1D5DB" w:sz="4" w:space="4"/>
        </w:pBdr>
        <w:spacing w:before="360" w:after="140"/>
      </w:pPr>
      <w:r>
        <w:rPr>
          <w:rFonts w:ascii="Arial" w:cs="Arial" w:eastAsia="Arial" w:hAnsi="Arial"/>
          <w:b/>
          <w:bCs/>
          <w:color w:val="1A3A5C"/>
          <w:sz w:val="30"/>
          <w:szCs w:val="30"/>
        </w:rPr>
        <w:t xml:space="preserve">Step 4.2 — CLAUDE.md — Your Permanent Project Constitution</w:t>
      </w:r>
    </w:p>
    <w:p>
      <w:pPr>
        <w:spacing w:before="60" w:after="100"/>
        <w:jc w:val="left"/>
      </w:pPr>
      <w:r>
        <w:rPr>
          <w:rFonts w:ascii="Arial" w:cs="Arial" w:eastAsia="Arial" w:hAnsi="Arial"/>
          <w:b w:val="false"/>
          <w:bCs w:val="false"/>
          <w:i w:val="false"/>
          <w:iCs w:val="false"/>
          <w:color w:val="374151"/>
          <w:sz w:val="22"/>
          <w:szCs w:val="22"/>
        </w:rPr>
        <w:t xml:space="preserve">This file is read by Claude Code at the start of every terminal session. It is your project's law. Everything in it is enforced automatically.</w:t>
      </w:r>
    </w:p>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5C" w:sz="2"/>
              <w:left w:val="single" w:color="1A3A5C" w:sz="2"/>
              <w:bottom w:val="single" w:color="1A3A5C" w:sz="2"/>
              <w:right w:val="single" w:color="1A3A5C" w:sz="2"/>
            </w:tcBorders>
            <w:shd w:fill="1A3A5C" w:val="clear"/>
            <w:tcMar>
              <w:top w:type="dxa" w:w="100"/>
              <w:left w:type="dxa" w:w="180"/>
              <w:bottom w:type="dxa" w:w="100"/>
              <w:right w:type="dxa" w:w="160"/>
            </w:tcMar>
          </w:tcPr>
          <w:p>
            <w:pPr>
              <w:spacing w:before="0" w:after="0"/>
            </w:pPr>
            <w:r>
              <w:rPr>
                <w:rFonts w:ascii="Arial" w:cs="Arial" w:eastAsia="Arial" w:hAnsi="Arial"/>
                <w:b/>
                <w:bCs/>
                <w:color w:val="FFFFFF"/>
                <w:sz w:val="20"/>
                <w:szCs w:val="20"/>
              </w:rPr>
              <w:t xml:space="preserve">CLAUDE.md — Save as /CLAUDE.md in your project root. This is non-negotiable.</w:t>
            </w:r>
          </w:p>
        </w:tc>
      </w:tr>
      <w:tr>
        <w:tc>
          <w:tcPr>
            <w:tcW w:type="dxa" w:w="9026"/>
            <w:tcBorders>
              <w:top w:val="single" w:color="1A3A5C" w:sz="2"/>
              <w:left w:val="single" w:color="1A3A5C" w:sz="2"/>
              <w:bottom w:val="single" w:color="1A3A5C" w:sz="2"/>
              <w:right w:val="single" w:color="1A3A5C" w:sz="2"/>
            </w:tcBorders>
            <w:shd w:fill="F0F4FF" w:val="clear"/>
            <w:tcMar>
              <w:top w:type="dxa" w:w="140"/>
              <w:left w:type="dxa" w:w="180"/>
              <w:bottom w:type="dxa" w:w="140"/>
              <w:right w:type="dxa" w:w="160"/>
            </w:tcMar>
          </w:tcPr>
          <w:p>
            <w:pPr>
              <w:spacing w:before="0" w:after="0"/>
            </w:pPr>
            <w:r>
              <w:rPr>
                <w:rFonts w:ascii="Courier New" w:cs="Courier New" w:eastAsia="Courier New" w:hAnsi="Courier New"/>
                <w:i/>
                <w:iCs/>
                <w:color w:val="1A3A5C"/>
                <w:sz w:val="19"/>
                <w:szCs w:val="19"/>
              </w:rPr>
              <w:t xml:space="preserve"># MMS Platform — Engineering Constitution v1.0
## What we are building
MMS: Invoice Discounting and Early Payment Platform, Uganda.
Handles real money. Every decision is made with this in mind.
## Tech Stack
Node.js 20 LTS · TypeScript strict · Express · PostgreSQL 15 · Redis · Bull · React 18
Payment rails: MTN Mobile Money API · Airtel Money API · Uganda EFT/RTGS
## NON-NEGOTIABLE RULES — Violating these is a blocking issue
1. TypeScript strict mode — zero 'any' types — ZERO exceptions
2. Every SQL query parameterised — ZERO string concatenation in SQL — ZERO exceptions
3. No PII in logs — names, ID numbers, bank details, phone numbers are NEVER logged
4. Every action writes to audit_logs before the function returns
5. Every payment requires dual_auth_user_1 AND dual_auth_user_2 — single auth cannot execute payment
6. All financial documents encrypted with AES-256 before disk write
7. Every API endpoint validates the requester owns the resource (supplier cannot access other supplier data)
8. Validate all inputs with Joi before any business logic runs
9. Custom error classes — never throw new Error() directly
10. Functions max 25 lines — split if longer — no exceptions
## Code Quality
- Async/await only — no callbacks, no raw .then()
- Repository pattern — SQL lives in *Repository files only
- JSDoc on every exported function
- 80% test coverage minimum before any module is marked complete
- Run OWASP security check prompt after every module
## File Structure
/services/[name]/ — routes, controller, service, repository, types
/shared/database/ — connection pool, migrations, seeders
/shared/middleware/ — auth, validation, rate-limit, audit
/shared/errors/ — custom error classes
/tests/unit/ — Jest unit tests
/tests/integration/ — Supertest integration tests
/docs/ — all phase deliverables</w:t>
            </w:r>
          </w:p>
        </w:tc>
      </w:tr>
    </w:tbl>
    <w:p>
      <w:pPr>
        <w:spacing w:before="0" w:after="140"/>
      </w:pPr>
      <w:r>
        <w:t xml:space="preserve"/>
      </w:r>
    </w:p>
    <w:p>
      <w:pPr>
        <w:pStyle w:val="Heading2"/>
        <w:pBdr>
          <w:bottom w:val="single" w:color="D1D5DB" w:sz="4" w:space="4"/>
        </w:pBdr>
        <w:spacing w:before="360" w:after="140"/>
      </w:pPr>
      <w:r>
        <w:rPr>
          <w:rFonts w:ascii="Arial" w:cs="Arial" w:eastAsia="Arial" w:hAnsi="Arial"/>
          <w:b/>
          <w:bCs/>
          <w:color w:val="1A3A5C"/>
          <w:sz w:val="30"/>
          <w:szCs w:val="30"/>
        </w:rPr>
        <w:t xml:space="preserve">Step 4.3 — Scaffold with Security Baseline Active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5C" w:sz="2"/>
              <w:left w:val="single" w:color="1A3A5C" w:sz="2"/>
              <w:bottom w:val="single" w:color="1A3A5C" w:sz="2"/>
              <w:right w:val="single" w:color="1A3A5C" w:sz="2"/>
            </w:tcBorders>
            <w:shd w:fill="1A3A5C" w:val="clear"/>
            <w:tcMar>
              <w:top w:type="dxa" w:w="100"/>
              <w:left w:type="dxa" w:w="180"/>
              <w:bottom w:type="dxa" w:w="100"/>
              <w:right w:type="dxa" w:w="160"/>
            </w:tcMar>
          </w:tcPr>
          <w:p>
            <w:pPr>
              <w:spacing w:before="0" w:after="0"/>
            </w:pPr>
            <w:r>
              <w:rPr>
                <w:rFonts w:ascii="Arial" w:cs="Arial" w:eastAsia="Arial" w:hAnsi="Arial"/>
                <w:b/>
                <w:bCs/>
                <w:color w:val="FFFFFF"/>
                <w:sz w:val="20"/>
                <w:szCs w:val="20"/>
              </w:rPr>
              <w:t xml:space="preserve">PROMPT 4.1 — Security-First Scaffold</w:t>
            </w:r>
          </w:p>
        </w:tc>
      </w:tr>
      <w:tr>
        <w:tc>
          <w:tcPr>
            <w:tcW w:type="dxa" w:w="9026"/>
            <w:tcBorders>
              <w:top w:val="single" w:color="1A3A5C" w:sz="2"/>
              <w:left w:val="single" w:color="1A3A5C" w:sz="2"/>
              <w:bottom w:val="single" w:color="1A3A5C" w:sz="2"/>
              <w:right w:val="single" w:color="1A3A5C" w:sz="2"/>
            </w:tcBorders>
            <w:shd w:fill="F0F4FF" w:val="clear"/>
            <w:tcMar>
              <w:top w:type="dxa" w:w="140"/>
              <w:left w:type="dxa" w:w="180"/>
              <w:bottom w:type="dxa" w:w="140"/>
              <w:right w:type="dxa" w:w="160"/>
            </w:tcMar>
          </w:tcPr>
          <w:p>
            <w:pPr>
              <w:spacing w:before="0" w:after="0"/>
            </w:pPr>
            <w:r>
              <w:rPr>
                <w:rFonts w:ascii="Courier New" w:cs="Courier New" w:eastAsia="Courier New" w:hAnsi="Courier New"/>
                <w:i/>
                <w:iCs/>
                <w:color w:val="1A3A5C"/>
                <w:sz w:val="19"/>
                <w:szCs w:val="19"/>
              </w:rPr>
              <w:t xml:space="preserve">Set up the complete MMS Node.js TypeScript project with security baseline active from the first commit. Create every file completely. Include: (1) package.json with all dependencies including security packages: helmet (security headers), express-rate-limit, express-validator, joi, bcrypt, jsonwebtoken, crypto (AES-256 encryption), and pg with parameterised query helper. (2) tsconfig.json with strict:true, noImplicitAny:true, strictNullChecks:true. (3) src/shared/middleware/security.ts — helmet configuration with MMS-specific CSP, HSTS, X-Frame-Options, rate limiting middleware, CORS configuration (whitelist only MMS domains). (4) src/shared/middleware/audit.ts — middleware that writes every request to audit_logs (user_id, method, path, ip, timestamp, response_status). (5) src/shared/database/pool.ts — pg connection pool with parameterised query helper that CANNOT be called with a raw string query (TypeScript enforces parameterised queries at compile time). (6) src/shared/errors/ — custom error class hierarchy: MmsError, ValidationError, AuthError, ForbiddenError, BusinessRuleError, PaymentError. (7) src/shared/crypto.ts — AES-256-GCM encryption/decryption for documents and PII fields. (8) docker-compose.yml — postgres with pgcrypto extension enabled, redis, mms-api with health checks. (9) server.ts — Express app with all security middleware applied before any routes.</w:t>
            </w:r>
          </w:p>
        </w:tc>
      </w:tr>
    </w:tbl>
    <w:p>
      <w:pPr>
        <w:spacing w:before="0" w:after="140"/>
      </w:pPr>
      <w:r>
        <w:t xml:space="preserve"/>
      </w:r>
    </w:p>
    <w:p>
      <w:pPr>
        <w:pStyle w:val="Heading2"/>
        <w:pBdr>
          <w:bottom w:val="single" w:color="D1D5DB" w:sz="4" w:space="4"/>
        </w:pBdr>
        <w:spacing w:before="360" w:after="140"/>
      </w:pPr>
      <w:r>
        <w:rPr>
          <w:rFonts w:ascii="Arial" w:cs="Arial" w:eastAsia="Arial" w:hAnsi="Arial"/>
          <w:b/>
          <w:bCs/>
          <w:color w:val="1A3A5C"/>
          <w:sz w:val="30"/>
          <w:szCs w:val="30"/>
        </w:rPr>
        <w:t xml:space="preserve">Step 4.4 — Verify the Security Baseline Before Writing Any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626"/>
      </w:tblGrid>
      <w:tr>
        <w:tc>
          <w:tcPr>
            <w:tcW w:type="dxa" w:w="26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Verification check</w:t>
            </w:r>
          </w:p>
        </w:tc>
        <w:tc>
          <w:tcPr>
            <w:tcW w:type="dxa" w:w="28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How to verify</w:t>
            </w:r>
          </w:p>
        </w:tc>
        <w:tc>
          <w:tcPr>
            <w:tcW w:type="dxa" w:w="3626"/>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Expected result</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Security headers active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curl -I http://localhost:3000/health</w:t>
            </w:r>
          </w:p>
        </w:tc>
        <w:tc>
          <w:tcPr>
            <w:tcW w:type="dxa" w:w="3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Response includes X-Frame-Options, Strict-Transport-Security, X-Content-Type-Options</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Rate limiting active</w:t>
            </w:r>
          </w:p>
        </w:tc>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Send 11 POST requests to /auth/login in 1 minute</w:t>
            </w:r>
          </w:p>
        </w:tc>
        <w:tc>
          <w:tcPr>
            <w:tcW w:type="dxa" w:w="36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11th request returns 429 Too Many Requests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Parameterised query enforced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Try to call db.query() with a plain string</w:t>
            </w:r>
          </w:p>
        </w:tc>
        <w:tc>
          <w:tcPr>
            <w:tcW w:type="dxa" w:w="3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TypeScript compiler error at compile time</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Audit log writing</w:t>
            </w:r>
          </w:p>
        </w:tc>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Make any API call</w:t>
            </w:r>
          </w:p>
        </w:tc>
        <w:tc>
          <w:tcPr>
            <w:tcW w:type="dxa" w:w="36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Row appears in audit_logs table immediately</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No PII in logs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Submit supplier with real name</w:t>
            </w:r>
          </w:p>
        </w:tc>
        <w:tc>
          <w:tcPr>
            <w:tcW w:type="dxa" w:w="3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Application log shows request but NOT the supplier name</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Docker containers healthy</w:t>
            </w:r>
          </w:p>
        </w:tc>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docker ps</w:t>
            </w:r>
          </w:p>
        </w:tc>
        <w:tc>
          <w:tcPr>
            <w:tcW w:type="dxa" w:w="36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All containers show status: healthy</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Database migration complete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psql: SELECT COUNT(*) FROM information_schema.tables WHERE table_schema='public'</w:t>
            </w:r>
          </w:p>
        </w:tc>
        <w:tc>
          <w:tcPr>
            <w:tcW w:type="dxa" w:w="3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Returns 13 (all MMS tables)</w:t>
            </w:r>
          </w:p>
        </w:tc>
      </w:tr>
    </w:tbl>
    <w:p>
      <w:pPr>
        <w:spacing w:before="0" w:after="0"/>
      </w:pPr>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600"/>
        <w:gridCol w:w="1400"/>
        <w:gridCol w:w="1300"/>
        <w:gridCol w:w="726"/>
      </w:tblGrid>
      <w:tr>
        <w:tc>
          <w:tcPr>
            <w:tcW w:type="dxa" w:w="1000"/>
            <w:tcBorders>
              <w:top w:val="none" w:color="FFFFFF" w:sz="0"/>
              <w:left w:val="none" w:color="FFFFFF" w:sz="0"/>
              <w:bottom w:val="none" w:color="FFFFFF" w:sz="0"/>
              <w:right w:val="none" w:color="FFFFFF" w:sz="0"/>
            </w:tcBorders>
            <w:shd w:fill="1A3A5C" w:val="clear"/>
            <w:tcMar>
              <w:top w:type="dxa" w:w="140"/>
              <w:left w:type="dxa" w:w="120"/>
              <w:bottom w:type="dxa" w:w="140"/>
              <w:right w:type="dxa" w:w="100"/>
            </w:tcMar>
            <w:vAlign w:val="center"/>
          </w:tcPr>
          <w:p>
            <w:pPr>
              <w:spacing w:before="0" w:after="0"/>
              <w:jc w:val="center"/>
            </w:pPr>
            <w:r>
              <w:rPr>
                <w:rFonts w:ascii="Arial" w:cs="Arial" w:eastAsia="Arial" w:hAnsi="Arial"/>
                <w:b/>
                <w:bCs/>
                <w:color w:val="FFFFFF"/>
                <w:sz w:val="28"/>
                <w:szCs w:val="28"/>
              </w:rPr>
              <w:t xml:space="preserve">P5</w:t>
            </w:r>
          </w:p>
        </w:tc>
        <w:tc>
          <w:tcPr>
            <w:tcW w:type="dxa" w:w="4600"/>
            <w:tcBorders>
              <w:top w:val="none" w:color="FFFFFF" w:sz="0"/>
              <w:left w:val="none" w:color="FFFFFF" w:sz="0"/>
              <w:bottom w:val="none" w:color="FFFFFF" w:sz="0"/>
              <w:right w:val="none" w:color="FFFFFF" w:sz="0"/>
            </w:tcBorders>
            <w:shd w:fill="1D4ED8" w:val="clear"/>
            <w:tcMar>
              <w:top w:type="dxa" w:w="140"/>
              <w:left w:type="dxa" w:w="180"/>
              <w:bottom w:type="dxa" w:w="140"/>
              <w:right w:type="dxa" w:w="120"/>
            </w:tcMar>
            <w:vAlign w:val="center"/>
          </w:tcPr>
          <w:p>
            <w:pPr>
              <w:spacing w:before="0" w:after="0"/>
            </w:pPr>
            <w:r>
              <w:rPr>
                <w:rFonts w:ascii="Arial" w:cs="Arial" w:eastAsia="Arial" w:hAnsi="Arial"/>
                <w:b/>
                <w:bCs/>
                <w:color w:val="FFFFFF"/>
                <w:sz w:val="26"/>
                <w:szCs w:val="26"/>
              </w:rPr>
              <w:t xml:space="preserve">Module Implementation</w:t>
            </w:r>
          </w:p>
        </w:tc>
        <w:tc>
          <w:tcPr>
            <w:tcW w:type="dxa" w:w="1400"/>
            <w:tcBorders>
              <w:top w:val="none" w:color="FFFFFF" w:sz="0"/>
              <w:left w:val="none" w:color="FFFFFF" w:sz="0"/>
              <w:bottom w:val="none" w:color="FFFFFF" w:sz="0"/>
              <w:right w:val="none" w:color="FFFFFF" w:sz="0"/>
            </w:tcBorders>
            <w:shd w:fill="0F6E56" w:val="clear"/>
            <w:tcMar>
              <w:top w:type="dxa" w:w="140"/>
              <w:left w:type="dxa" w:w="120"/>
              <w:bottom w:type="dxa" w:w="140"/>
              <w:right w:type="dxa" w:w="100"/>
            </w:tcMar>
            <w:vAlign w:val="center"/>
          </w:tcPr>
          <w:p>
            <w:pPr>
              <w:spacing w:before="0" w:after="0"/>
              <w:jc w:val="center"/>
            </w:pPr>
            <w:r>
              <w:rPr>
                <w:rFonts w:ascii="Arial" w:cs="Arial" w:eastAsia="Arial" w:hAnsi="Arial"/>
                <w:color w:val="FFFFFF"/>
                <w:sz w:val="19"/>
                <w:szCs w:val="19"/>
              </w:rPr>
              <w:t xml:space="preserve">Weeks 7–12</w:t>
            </w:r>
          </w:p>
        </w:tc>
        <w:tc>
          <w:tcPr>
            <w:tcW w:type="dxa" w:w="1300"/>
            <w:tcBorders>
              <w:top w:val="none" w:color="FFFFFF" w:sz="0"/>
              <w:left w:val="none" w:color="FFFFFF" w:sz="0"/>
              <w:bottom w:val="none" w:color="FFFFFF" w:sz="0"/>
              <w:right w:val="none" w:color="FFFFFF" w:sz="0"/>
            </w:tcBorders>
            <w:shd w:fill="854F0B" w:val="clear"/>
            <w:tcMar>
              <w:top w:type="dxa" w:w="140"/>
              <w:left w:type="dxa" w:w="100"/>
              <w:bottom w:type="dxa" w:w="140"/>
              <w:right w:type="dxa" w:w="100"/>
            </w:tcMar>
            <w:vAlign w:val="center"/>
          </w:tcPr>
          <w:p>
            <w:pPr>
              <w:spacing w:before="0" w:after="0"/>
              <w:jc w:val="center"/>
            </w:pPr>
            <w:r>
              <w:rPr>
                <w:rFonts w:ascii="Arial" w:cs="Arial" w:eastAsia="Arial" w:hAnsi="Arial"/>
                <w:color w:val="FFFFFF"/>
                <w:sz w:val="17"/>
                <w:szCs w:val="17"/>
              </w:rPr>
              <w:t xml:space="preserve">SOLID / Clean Code / DRY</w:t>
            </w:r>
          </w:p>
        </w:tc>
        <w:tc>
          <w:tcPr>
            <w:tcW w:type="dxa" w:w="726"/>
            <w:tcBorders>
              <w:top w:val="none" w:color="FFFFFF" w:sz="0"/>
              <w:left w:val="none" w:color="FFFFFF" w:sz="0"/>
              <w:bottom w:val="none" w:color="FFFFFF" w:sz="0"/>
              <w:right w:val="none" w:color="FFFFFF" w:sz="0"/>
            </w:tcBorders>
            <w:shd w:fill="991B1B" w:val="clear"/>
            <w:tcMar>
              <w:top w:type="dxa" w:w="140"/>
              <w:left w:type="dxa" w:w="80"/>
              <w:bottom w:type="dxa" w:w="140"/>
              <w:right w:type="dxa" w:w="80"/>
            </w:tcMar>
            <w:vAlign w:val="center"/>
          </w:tcPr>
          <w:p>
            <w:pPr>
              <w:spacing w:before="0" w:after="0"/>
              <w:jc w:val="center"/>
            </w:pPr>
            <w:r>
              <w:rPr>
                <w:rFonts w:ascii="Arial" w:cs="Arial" w:eastAsia="Arial" w:hAnsi="Arial"/>
                <w:b/>
                <w:bCs/>
                <w:color w:val="FFFFFF"/>
                <w:sz w:val="17"/>
                <w:szCs w:val="17"/>
              </w:rPr>
              <w:t xml:space="preserve">HIGH</w:t>
            </w:r>
          </w:p>
        </w:tc>
      </w:tr>
    </w:tbl>
    <w:p>
      <w:pPr>
        <w:spacing w:before="0"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1B1B" w:sz="6"/>
              <w:left w:val="single" w:color="991B1B" w:sz="16"/>
              <w:bottom w:val="single" w:color="991B1B" w:sz="2"/>
              <w:right w:val="single" w:color="991B1B" w:sz="2"/>
            </w:tcBorders>
            <w:shd w:fill="FEF2F2" w:val="clear"/>
            <w:tcMar>
              <w:top w:type="dxa" w:w="120"/>
              <w:left w:type="dxa" w:w="200"/>
              <w:bottom w:type="dxa" w:w="120"/>
              <w:right w:type="dxa" w:w="160"/>
            </w:tcMar>
          </w:tcPr>
          <w:p>
            <w:pPr>
              <w:spacing w:before="0" w:after="0"/>
            </w:pPr>
            <w:r>
              <w:rPr>
                <w:rFonts w:ascii="Arial" w:cs="Arial" w:eastAsia="Arial" w:hAnsi="Arial"/>
                <w:color w:val="991B1B"/>
                <w:sz w:val="21"/>
                <w:szCs w:val="21"/>
              </w:rPr>
              <w:t xml:space="preserve">BUILD ORDER IS MANDATORY: Auth → Onboarding → Invoice Intake → Buyer Verification → Risk Scoring → Pricing → Approvals → Payment Engine → Collections → Bank Facilities → Reporting. Each module must pass its security review and reach 80% test coverage before the next begins. No exceptions.</w:t>
            </w:r>
          </w:p>
        </w:tc>
      </w:tr>
    </w:tbl>
    <w:p>
      <w:pPr>
        <w:spacing w:before="0" w:after="160"/>
      </w:pPr>
      <w:r>
        <w:t xml:space="preserve"/>
      </w:r>
    </w:p>
    <w:p>
      <w:pPr>
        <w:pStyle w:val="Heading2"/>
        <w:pBdr>
          <w:bottom w:val="single" w:color="D1D5DB" w:sz="4" w:space="4"/>
        </w:pBdr>
        <w:spacing w:before="360" w:after="140"/>
      </w:pPr>
      <w:r>
        <w:rPr>
          <w:rFonts w:ascii="Arial" w:cs="Arial" w:eastAsia="Arial" w:hAnsi="Arial"/>
          <w:b/>
          <w:bCs/>
          <w:color w:val="1A3A5C"/>
          <w:sz w:val="30"/>
          <w:szCs w:val="30"/>
        </w:rPr>
        <w:t xml:space="preserve">Module Implementation Protocol — Apply to Every Module</w:t>
      </w:r>
    </w:p>
    <w:p>
      <w:pPr>
        <w:spacing w:before="60" w:after="100"/>
        <w:jc w:val="left"/>
      </w:pPr>
      <w:r>
        <w:rPr>
          <w:rFonts w:ascii="Arial" w:cs="Arial" w:eastAsia="Arial" w:hAnsi="Arial"/>
          <w:b w:val="false"/>
          <w:bCs w:val="false"/>
          <w:i w:val="false"/>
          <w:iCs w:val="false"/>
          <w:color w:val="374151"/>
          <w:sz w:val="22"/>
          <w:szCs w:val="22"/>
        </w:rPr>
        <w:t xml:space="preserve">Use this exact sequence for every module. Never skip a step. The security review prompt is mandatory after every module.</w:t>
      </w:r>
    </w:p>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D4ED8" w:val="clear"/>
            <w:tcMar>
              <w:top w:type="dxa" w:w="120"/>
              <w:left w:type="dxa" w:w="80"/>
              <w:bottom w:type="dxa" w:w="120"/>
              <w:right w:type="dxa" w:w="80"/>
            </w:tcMar>
            <w:vAlign w:val="center"/>
          </w:tcPr>
          <w:p>
            <w:pPr>
              <w:spacing w:before="0" w:after="0"/>
              <w:jc w:val="center"/>
            </w:pPr>
            <w:r>
              <w:rPr>
                <w:rFonts w:ascii="Arial" w:cs="Arial" w:eastAsia="Arial" w:hAnsi="Arial"/>
                <w:b/>
                <w:bCs/>
                <w:color w:val="FFFFFF"/>
                <w:sz w:val="28"/>
                <w:szCs w:val="28"/>
              </w:rPr>
              <w:t xml:space="preserve">1</w:t>
            </w:r>
          </w:p>
        </w:tc>
        <w:tc>
          <w:tcPr>
            <w:tcW w:type="dxa" w:w="8426"/>
            <w:tcBorders>
              <w:top w:val="single" w:color="D1D5DB" w:sz="1"/>
              <w:left w:val="none" w:color="FFFFFF" w:sz="0"/>
              <w:bottom w:val="single" w:color="D1D5DB" w:sz="1"/>
              <w:right w:val="single" w:color="D1D5DB" w:sz="1"/>
            </w:tcBorders>
            <w:shd w:fill="FFFFFF" w:val="clear"/>
            <w:tcMar>
              <w:top w:type="dxa" w:w="120"/>
              <w:left w:type="dxa" w:w="180"/>
              <w:bottom w:type="dxa" w:w="120"/>
              <w:right w:type="dxa" w:w="140"/>
            </w:tcMar>
          </w:tcPr>
          <w:p>
            <w:pPr>
              <w:spacing w:before="0" w:after="60"/>
            </w:pPr>
            <w:r>
              <w:rPr>
                <w:rFonts w:ascii="Arial" w:cs="Arial" w:eastAsia="Arial" w:hAnsi="Arial"/>
                <w:b/>
                <w:bCs/>
                <w:color w:val="1A3A5C"/>
                <w:sz w:val="22"/>
                <w:szCs w:val="22"/>
              </w:rPr>
              <w:t xml:space="preserve">Write the module using the module prompt</w:t>
            </w:r>
          </w:p>
          <w:p>
            <w:pPr>
              <w:spacing w:before="0" w:after="0"/>
            </w:pPr>
            <w:r>
              <w:rPr>
                <w:rFonts w:ascii="Arial" w:cs="Arial" w:eastAsia="Arial" w:hAnsi="Arial"/>
                <w:color w:val="374151"/>
                <w:sz w:val="20"/>
                <w:szCs w:val="20"/>
              </w:rPr>
              <w:t xml:space="preserve">Copy the module-specific prompt into Claude Desktop after the Master Context. Review the output before copying to VS Code.</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D4ED8" w:val="clear"/>
            <w:tcMar>
              <w:top w:type="dxa" w:w="120"/>
              <w:left w:type="dxa" w:w="80"/>
              <w:bottom w:type="dxa" w:w="120"/>
              <w:right w:type="dxa" w:w="80"/>
            </w:tcMar>
            <w:vAlign w:val="center"/>
          </w:tcPr>
          <w:p>
            <w:pPr>
              <w:spacing w:before="0" w:after="0"/>
              <w:jc w:val="center"/>
            </w:pPr>
            <w:r>
              <w:rPr>
                <w:rFonts w:ascii="Arial" w:cs="Arial" w:eastAsia="Arial" w:hAnsi="Arial"/>
                <w:b/>
                <w:bCs/>
                <w:color w:val="FFFFFF"/>
                <w:sz w:val="28"/>
                <w:szCs w:val="28"/>
              </w:rPr>
              <w:t xml:space="preserve">2</w:t>
            </w:r>
          </w:p>
        </w:tc>
        <w:tc>
          <w:tcPr>
            <w:tcW w:type="dxa" w:w="8426"/>
            <w:tcBorders>
              <w:top w:val="single" w:color="D1D5DB" w:sz="1"/>
              <w:left w:val="none" w:color="FFFFFF" w:sz="0"/>
              <w:bottom w:val="single" w:color="D1D5DB" w:sz="1"/>
              <w:right w:val="single" w:color="D1D5DB" w:sz="1"/>
            </w:tcBorders>
            <w:shd w:fill="FFFFFF" w:val="clear"/>
            <w:tcMar>
              <w:top w:type="dxa" w:w="120"/>
              <w:left w:type="dxa" w:w="180"/>
              <w:bottom w:type="dxa" w:w="120"/>
              <w:right w:type="dxa" w:w="140"/>
            </w:tcMar>
          </w:tcPr>
          <w:p>
            <w:pPr>
              <w:spacing w:before="0" w:after="60"/>
            </w:pPr>
            <w:r>
              <w:rPr>
                <w:rFonts w:ascii="Arial" w:cs="Arial" w:eastAsia="Arial" w:hAnsi="Arial"/>
                <w:b/>
                <w:bCs/>
                <w:color w:val="1A3A5C"/>
                <w:sz w:val="22"/>
                <w:szCs w:val="22"/>
              </w:rPr>
              <w:t xml:space="preserve">Run the OWASP security review prompt</w:t>
            </w:r>
          </w:p>
          <w:p>
            <w:pPr>
              <w:spacing w:before="0" w:after="0"/>
            </w:pPr>
            <w:r>
              <w:rPr>
                <w:rFonts w:ascii="Arial" w:cs="Arial" w:eastAsia="Arial" w:hAnsi="Arial"/>
                <w:color w:val="374151"/>
                <w:sz w:val="20"/>
                <w:szCs w:val="20"/>
              </w:rPr>
              <w:t xml:space="preserve">Paste the complete module code into the security review prompt. Fix every issue before proceeding.</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D4ED8" w:val="clear"/>
            <w:tcMar>
              <w:top w:type="dxa" w:w="120"/>
              <w:left w:type="dxa" w:w="80"/>
              <w:bottom w:type="dxa" w:w="120"/>
              <w:right w:type="dxa" w:w="80"/>
            </w:tcMar>
            <w:vAlign w:val="center"/>
          </w:tcPr>
          <w:p>
            <w:pPr>
              <w:spacing w:before="0" w:after="0"/>
              <w:jc w:val="center"/>
            </w:pPr>
            <w:r>
              <w:rPr>
                <w:rFonts w:ascii="Arial" w:cs="Arial" w:eastAsia="Arial" w:hAnsi="Arial"/>
                <w:b/>
                <w:bCs/>
                <w:color w:val="FFFFFF"/>
                <w:sz w:val="28"/>
                <w:szCs w:val="28"/>
              </w:rPr>
              <w:t xml:space="preserve">3</w:t>
            </w:r>
          </w:p>
        </w:tc>
        <w:tc>
          <w:tcPr>
            <w:tcW w:type="dxa" w:w="8426"/>
            <w:tcBorders>
              <w:top w:val="single" w:color="D1D5DB" w:sz="1"/>
              <w:left w:val="none" w:color="FFFFFF" w:sz="0"/>
              <w:bottom w:val="single" w:color="D1D5DB" w:sz="1"/>
              <w:right w:val="single" w:color="D1D5DB" w:sz="1"/>
            </w:tcBorders>
            <w:shd w:fill="FFFFFF" w:val="clear"/>
            <w:tcMar>
              <w:top w:type="dxa" w:w="120"/>
              <w:left w:type="dxa" w:w="180"/>
              <w:bottom w:type="dxa" w:w="120"/>
              <w:right w:type="dxa" w:w="140"/>
            </w:tcMar>
          </w:tcPr>
          <w:p>
            <w:pPr>
              <w:spacing w:before="0" w:after="60"/>
            </w:pPr>
            <w:r>
              <w:rPr>
                <w:rFonts w:ascii="Arial" w:cs="Arial" w:eastAsia="Arial" w:hAnsi="Arial"/>
                <w:b/>
                <w:bCs/>
                <w:color w:val="1A3A5C"/>
                <w:sz w:val="22"/>
                <w:szCs w:val="22"/>
              </w:rPr>
              <w:t xml:space="preserve">Write unit tests</w:t>
            </w:r>
          </w:p>
          <w:p>
            <w:pPr>
              <w:spacing w:before="0" w:after="0"/>
            </w:pPr>
            <w:r>
              <w:rPr>
                <w:rFonts w:ascii="Arial" w:cs="Arial" w:eastAsia="Arial" w:hAnsi="Arial"/>
                <w:color w:val="374151"/>
                <w:sz w:val="20"/>
                <w:szCs w:val="20"/>
              </w:rPr>
              <w:t xml:space="preserve">Use Prompt 6.2 adapted for this module. Run Jest. Reach 80% coverage.</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D4ED8" w:val="clear"/>
            <w:tcMar>
              <w:top w:type="dxa" w:w="120"/>
              <w:left w:type="dxa" w:w="80"/>
              <w:bottom w:type="dxa" w:w="120"/>
              <w:right w:type="dxa" w:w="80"/>
            </w:tcMar>
            <w:vAlign w:val="center"/>
          </w:tcPr>
          <w:p>
            <w:pPr>
              <w:spacing w:before="0" w:after="0"/>
              <w:jc w:val="center"/>
            </w:pPr>
            <w:r>
              <w:rPr>
                <w:rFonts w:ascii="Arial" w:cs="Arial" w:eastAsia="Arial" w:hAnsi="Arial"/>
                <w:b/>
                <w:bCs/>
                <w:color w:val="FFFFFF"/>
                <w:sz w:val="28"/>
                <w:szCs w:val="28"/>
              </w:rPr>
              <w:t xml:space="preserve">4</w:t>
            </w:r>
          </w:p>
        </w:tc>
        <w:tc>
          <w:tcPr>
            <w:tcW w:type="dxa" w:w="8426"/>
            <w:tcBorders>
              <w:top w:val="single" w:color="D1D5DB" w:sz="1"/>
              <w:left w:val="none" w:color="FFFFFF" w:sz="0"/>
              <w:bottom w:val="single" w:color="D1D5DB" w:sz="1"/>
              <w:right w:val="single" w:color="D1D5DB" w:sz="1"/>
            </w:tcBorders>
            <w:shd w:fill="FFFFFF" w:val="clear"/>
            <w:tcMar>
              <w:top w:type="dxa" w:w="120"/>
              <w:left w:type="dxa" w:w="180"/>
              <w:bottom w:type="dxa" w:w="120"/>
              <w:right w:type="dxa" w:w="140"/>
            </w:tcMar>
          </w:tcPr>
          <w:p>
            <w:pPr>
              <w:spacing w:before="0" w:after="60"/>
            </w:pPr>
            <w:r>
              <w:rPr>
                <w:rFonts w:ascii="Arial" w:cs="Arial" w:eastAsia="Arial" w:hAnsi="Arial"/>
                <w:b/>
                <w:bCs/>
                <w:color w:val="1A3A5C"/>
                <w:sz w:val="22"/>
                <w:szCs w:val="22"/>
              </w:rPr>
              <w:t xml:space="preserve">Test all endpoints in Postman</w:t>
            </w:r>
          </w:p>
          <w:p>
            <w:pPr>
              <w:spacing w:before="0" w:after="0"/>
            </w:pPr>
            <w:r>
              <w:rPr>
                <w:rFonts w:ascii="Arial" w:cs="Arial" w:eastAsia="Arial" w:hAnsi="Arial"/>
                <w:color w:val="374151"/>
                <w:sz w:val="20"/>
                <w:szCs w:val="20"/>
              </w:rPr>
              <w:t xml:space="preserve">Test every success path and every error path. Verify error messages do not expose internals.</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D4ED8" w:val="clear"/>
            <w:tcMar>
              <w:top w:type="dxa" w:w="120"/>
              <w:left w:type="dxa" w:w="80"/>
              <w:bottom w:type="dxa" w:w="120"/>
              <w:right w:type="dxa" w:w="80"/>
            </w:tcMar>
            <w:vAlign w:val="center"/>
          </w:tcPr>
          <w:p>
            <w:pPr>
              <w:spacing w:before="0" w:after="0"/>
              <w:jc w:val="center"/>
            </w:pPr>
            <w:r>
              <w:rPr>
                <w:rFonts w:ascii="Arial" w:cs="Arial" w:eastAsia="Arial" w:hAnsi="Arial"/>
                <w:b/>
                <w:bCs/>
                <w:color w:val="FFFFFF"/>
                <w:sz w:val="28"/>
                <w:szCs w:val="28"/>
              </w:rPr>
              <w:t xml:space="preserve">5</w:t>
            </w:r>
          </w:p>
        </w:tc>
        <w:tc>
          <w:tcPr>
            <w:tcW w:type="dxa" w:w="8426"/>
            <w:tcBorders>
              <w:top w:val="single" w:color="D1D5DB" w:sz="1"/>
              <w:left w:val="none" w:color="FFFFFF" w:sz="0"/>
              <w:bottom w:val="single" w:color="D1D5DB" w:sz="1"/>
              <w:right w:val="single" w:color="D1D5DB" w:sz="1"/>
            </w:tcBorders>
            <w:shd w:fill="FFFFFF" w:val="clear"/>
            <w:tcMar>
              <w:top w:type="dxa" w:w="120"/>
              <w:left w:type="dxa" w:w="180"/>
              <w:bottom w:type="dxa" w:w="120"/>
              <w:right w:type="dxa" w:w="140"/>
            </w:tcMar>
          </w:tcPr>
          <w:p>
            <w:pPr>
              <w:spacing w:before="0" w:after="60"/>
            </w:pPr>
            <w:r>
              <w:rPr>
                <w:rFonts w:ascii="Arial" w:cs="Arial" w:eastAsia="Arial" w:hAnsi="Arial"/>
                <w:b/>
                <w:bCs/>
                <w:color w:val="1A3A5C"/>
                <w:sz w:val="22"/>
                <w:szCs w:val="22"/>
              </w:rPr>
              <w:t xml:space="preserve">Commit to GitHub</w:t>
            </w:r>
          </w:p>
          <w:p>
            <w:pPr>
              <w:spacing w:before="0" w:after="0"/>
            </w:pPr>
            <w:r>
              <w:rPr>
                <w:rFonts w:ascii="Arial" w:cs="Arial" w:eastAsia="Arial" w:hAnsi="Arial"/>
                <w:color w:val="374151"/>
                <w:sz w:val="20"/>
                <w:szCs w:val="20"/>
              </w:rPr>
              <w:t xml:space="preserve">git add . &amp;&amp; git commit -m 'Module [NAME]: implementation + tests + security review passed'</w:t>
            </w:r>
          </w:p>
        </w:tc>
      </w:tr>
    </w:tbl>
    <w:p>
      <w:pPr>
        <w:spacing w:before="0" w:after="160"/>
      </w:pPr>
      <w:r>
        <w:t xml:space="preserve"/>
      </w:r>
    </w:p>
    <w:p>
      <w:pPr>
        <w:pStyle w:val="Heading2"/>
        <w:pBdr>
          <w:bottom w:val="single" w:color="D1D5DB" w:sz="4" w:space="4"/>
        </w:pBdr>
        <w:spacing w:before="360" w:after="140"/>
      </w:pPr>
      <w:r>
        <w:rPr>
          <w:rFonts w:ascii="Arial" w:cs="Arial" w:eastAsia="Arial" w:hAnsi="Arial"/>
          <w:b/>
          <w:bCs/>
          <w:color w:val="1A3A5C"/>
          <w:sz w:val="30"/>
          <w:szCs w:val="30"/>
        </w:rPr>
        <w:t>Module 0 — Eligibility Check (Pre-Registration Gate)</w:t>
      </w:r>
    </w:p>
    <w:p>
      <w:pPr>
        <w:pStyle w:val="Heading2"/>
        <w:pBdr>
          <w:bottom w:val="single" w:color="D1D5DB" w:sz="4" w:space="4"/>
        </w:pBdr>
        <w:spacing w:before="360" w:after="140"/>
      </w:pPr>
      <w:r>
        <w:rPr>
          <w:rFonts w:ascii="Arial" w:cs="Arial" w:eastAsia="Arial" w:hAnsi="Arial"/>
          <w:b/>
          <w:bCs/>
          <w:color w:val="1A3A5C"/>
          <w:sz w:val="30"/>
          <w:szCs w:val="30"/>
        </w:rPr>
        <w:t xml:space="preserve">Module 1 — Authentication &amp; Session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5C" w:sz="2"/>
              <w:left w:val="single" w:color="1A3A5C" w:sz="2"/>
              <w:bottom w:val="single" w:color="1A3A5C" w:sz="2"/>
              <w:right w:val="single" w:color="1A3A5C" w:sz="2"/>
            </w:tcBorders>
            <w:shd w:fill="1A3A5C" w:val="clear"/>
            <w:tcMar>
              <w:top w:type="dxa" w:w="100"/>
              <w:left w:type="dxa" w:w="180"/>
              <w:bottom w:type="dxa" w:w="100"/>
              <w:right w:type="dxa" w:w="160"/>
            </w:tcMar>
          </w:tcPr>
          <w:p>
            <w:pPr>
              <w:spacing w:before="0" w:after="0"/>
            </w:pPr>
            <w:r>
              <w:rPr>
                <w:rFonts w:ascii="Arial" w:cs="Arial" w:eastAsia="Arial" w:hAnsi="Arial"/>
                <w:b/>
                <w:bCs/>
                <w:color w:val="FFFFFF"/>
                <w:sz w:val="20"/>
                <w:szCs w:val="20"/>
              </w:rPr>
              <w:t xml:space="preserve">PROMPT 5.1 — Auth Module</w:t>
            </w:r>
          </w:p>
        </w:tc>
      </w:tr>
      <w:tr>
        <w:tc>
          <w:tcPr>
            <w:tcW w:type="dxa" w:w="9026"/>
            <w:tcBorders>
              <w:top w:val="single" w:color="1A3A5C" w:sz="2"/>
              <w:left w:val="single" w:color="1A3A5C" w:sz="2"/>
              <w:bottom w:val="single" w:color="1A3A5C" w:sz="2"/>
              <w:right w:val="single" w:color="1A3A5C" w:sz="2"/>
            </w:tcBorders>
            <w:shd w:fill="F0F4FF" w:val="clear"/>
            <w:tcMar>
              <w:top w:type="dxa" w:w="140"/>
              <w:left w:type="dxa" w:w="180"/>
              <w:bottom w:type="dxa" w:w="140"/>
              <w:right w:type="dxa" w:w="160"/>
            </w:tcMar>
          </w:tcPr>
          <w:p>
            <w:pPr>
              <w:spacing w:before="0" w:after="0"/>
            </w:pPr>
            <w:r>
              <w:rPr>
                <w:rFonts w:ascii="Courier New" w:cs="Courier New" w:eastAsia="Courier New" w:hAnsi="Courier New"/>
                <w:i/>
                <w:iCs/>
                <w:color w:val="1A3A5C"/>
                <w:sz w:val="19"/>
                <w:szCs w:val="19"/>
              </w:rPr>
              <w:t xml:space="preserve">Build the complete Authentication Service for MMS. Security requirements are first-class. Implement: User login with email/password — bcrypt.compare with minimum 12 rounds. Return JWT access token (15 min expiry, contains: userId, role, sessionId) and httpOnly secure refresh token cookie (7 days). Two-factor authentication: after password success, if 2FA enabled, return partial_auth token — full access only after TOTP verification using speakeasy library. Account lockout: increment failed_login_count on each failure, lock account (set locked_until = now + 30 minutes) after 5 failures, clear count on successful login. Session management: store active sessions in Redis with userId as key — on logout, delete from Redis (token blacklisting). Rate limiting: 10 login attempts per IP per 15 minutes — return 429 with Retry-After header. JWT middleware: verify signature, check Redis blacklist, extract role — attach to req.user. Role guard middleware factory: createRoleGuard(['credit_officer','management']) returns middleware that returns 403 if role not in list. Security: never reveal whether email exists on failed login (always return 'Invalid credentials'). Log every auth event to audit_log: success, failure (with reason), lockout, 2FA failure. No PII in application logs.</w:t>
            </w:r>
          </w:p>
        </w:tc>
      </w:tr>
    </w:tbl>
    <w:p>
      <w:pPr>
        <w:spacing w:before="0" w:after="140"/>
      </w:pPr>
      <w:r>
        <w:t xml:space="preserve"/>
      </w:r>
    </w:p>
    <w:p>
      <w:pPr>
        <w:pStyle w:val="Heading2"/>
        <w:pBdr>
          <w:bottom w:val="single" w:color="D1D5DB" w:sz="4" w:space="4"/>
        </w:pBdr>
        <w:spacing w:before="360" w:after="140"/>
      </w:pPr>
      <w:r>
        <w:rPr>
          <w:rFonts w:ascii="Arial" w:cs="Arial" w:eastAsia="Arial" w:hAnsi="Arial"/>
          <w:b/>
          <w:bCs/>
          <w:color w:val="1A3A5C"/>
          <w:sz w:val="30"/>
          <w:szCs w:val="30"/>
        </w:rPr>
        <w:t xml:space="preserve">Module 2 — Supplier &amp; Buyer Onboarding (KYC/KYB)</w:t>
      </w:r>
    </w:p>
    <w:p>
      <w:r>
        <w:rPr>
          <w:sz w:val="22"/>
        </w:rPr>
        <w:t xml:space="preserve"/>
      </w:r>
    </w:p>
    <w:p>
      <w:r>
        <w:rPr>
          <w:sz w:val="22"/>
          <w:color w:val="780000"/>
        </w:rPr>
        <w:t xml:space="preserve">Security: no PII logged during eligibility. Audit entries: ELIGIBILITY_PASSED, ELIGIBILITY_BLOCKED — timestamp and IP only.</w:t>
      </w:r>
    </w:p>
    <w:p>
      <w:r>
        <w:rPr>
          <w:sz w:val="22"/>
        </w:rPr>
        <w:t xml:space="preserve">(5) Registration gate: POST /suppliers/register validates eligibility session_token presence and expiry. Returns 403 ELIGIBILITY_NOT_VERIFIED if missing or expired. This prevents bypassing the gate via direct API call.</w:t>
      </w:r>
    </w:p>
    <w:p>
      <w:r>
        <w:rPr>
          <w:sz w:val="22"/>
        </w:rPr>
        <w:t xml:space="preserve">(4) API: POST /eligibility/check — {answers} → {eligible: boolean, reason?: string, session_token?: string}. Rate limited 20 requests per IP per hour. No authentication required.</w:t>
      </w:r>
    </w:p>
    <w:p>
      <w:r>
        <w:rPr>
          <w:sz w:val="22"/>
        </w:rPr>
        <w:t xml:space="preserve">(3) On pass: issue eligibility session_token (30-minute expiry), redirect to registration form. Token expires — re-run eligibility if registration not completed in time.</w:t>
      </w:r>
    </w:p>
    <w:p>
      <w:r>
        <w:rPr>
          <w:sz w:val="22"/>
        </w:rPr>
        <w:t xml:space="preserve">(2) On block: display specific ineligibility reason, write ELIGIBILITY_BLOCKED to audit_logs with ip_address and timestamp only (zero PII collected), prevent access to registration form entirely.</w:t>
      </w:r>
    </w:p>
    <w:p>
      <w:r>
        <w:rPr>
          <w:sz w:val="22"/>
        </w:rPr>
        <w:t xml:space="preserve">(1) Four eligibility questions on one screen before registration form loads: Is your entity a registered company? (No = blocked). Are you an authorized signatory or director? (No = blocked). How many years has the company been in business? (below configurable minimum = blocked). What approximate funding amount do you need? (logged only — not a blocker).</w:t>
      </w:r>
    </w:p>
    <w:p>
      <w:r>
        <w:rPr>
          <w:sz w:val="22"/>
        </w:rPr>
        <w:t xml:space="preserve">Build the Eligibility Check gate that runs BEFORE any registration form is shown. This is Stage 1 of the workflow document — a hard gate that blocks ineligible entities before any account data is collected.</w:t>
      </w:r>
    </w:p>
    <w:p>
      <w:r>
        <w:rPr>
          <w:b/>
          <w:sz w:val="24"/>
          <w:color w:val="000000"/>
        </w:rPr>
        <w:t xml:space="preserve">PROMPT 5.0 — Eligibility Check (Pre-Registration Gate)</w:t>
      </w:r>
    </w:p>
    <w:p>
      <w:r>
        <w:rPr>
          <w:b/>
          <w:sz w:val="24"/>
          <w:color w:val="1F3864"/>
        </w:rPr>
        <w:t xml:space="preserve">WORKFLOW ALIGNMENT — Gap 1 Added</w:t>
      </w:r>
    </w:p>
    <w:p>
      <w:r>
        <w:rPr>
          <w:sz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5C" w:sz="2"/>
              <w:left w:val="single" w:color="1A3A5C" w:sz="2"/>
              <w:bottom w:val="single" w:color="1A3A5C" w:sz="2"/>
              <w:right w:val="single" w:color="1A3A5C" w:sz="2"/>
            </w:tcBorders>
            <w:shd w:fill="1A3A5C" w:val="clear"/>
            <w:tcMar>
              <w:top w:type="dxa" w:w="100"/>
              <w:left w:type="dxa" w:w="180"/>
              <w:bottom w:type="dxa" w:w="100"/>
              <w:right w:type="dxa" w:w="160"/>
            </w:tcMar>
          </w:tcPr>
          <w:p>
            <w:pPr>
              <w:spacing w:before="0" w:after="0"/>
            </w:pPr>
            <w:r>
              <w:rPr>
                <w:rFonts w:ascii="Arial" w:cs="Arial" w:eastAsia="Arial" w:hAnsi="Arial"/>
                <w:b/>
                <w:bCs/>
                <w:color w:val="FFFFFF"/>
                <w:sz w:val="20"/>
                <w:szCs w:val="20"/>
              </w:rPr>
              <w:t xml:space="preserve">PROMPT 5.2 — Onboarding Module</w:t>
            </w:r>
          </w:p>
        </w:tc>
      </w:tr>
      <w:tr>
        <w:tc>
          <w:tcPr>
            <w:tcW w:type="dxa" w:w="9026"/>
            <w:tcBorders>
              <w:top w:val="single" w:color="1A3A5C" w:sz="2"/>
              <w:left w:val="single" w:color="1A3A5C" w:sz="2"/>
              <w:bottom w:val="single" w:color="1A3A5C" w:sz="2"/>
              <w:right w:val="single" w:color="1A3A5C" w:sz="2"/>
            </w:tcBorders>
            <w:shd w:fill="F0F4FF" w:val="clear"/>
            <w:tcMar>
              <w:top w:type="dxa" w:w="140"/>
              <w:left w:type="dxa" w:w="180"/>
              <w:bottom w:type="dxa" w:w="140"/>
              <w:right w:type="dxa" w:w="160"/>
            </w:tcMar>
          </w:tcPr>
          <w:p>
            <w:pPr>
              <w:spacing w:before="0" w:after="0"/>
            </w:pPr>
            <w:r>
              <w:rPr>
                <w:rFonts w:ascii="Courier New" w:cs="Courier New" w:eastAsia="Courier New" w:hAnsi="Courier New"/>
                <w:i/>
                <w:iCs/>
                <w:color w:val="1A3A5C"/>
                <w:sz w:val="19"/>
                <w:szCs w:val="19"/>
              </w:rPr>
              <w:t xml:space="preserve">Build the Onboarding module with full KYC/KYB compliance for Uganda. Supplier registration: accept company name, registration number, tax ID, director details. Encrypt bank_account_number and bank_account_name using AES-256-GCM from crypto.ts before storage. Document upload: accept files via multer, validate file type (PDF/JPEG/PNG only, max 10MB), compute SHA-256 hash of file content, encrypt file content before writing to disk, store only encrypted path and hash in database — never plaintext path. Document checklist validator: check all required documents present (certificate of incorporation, tax registration, minimum one director ID, signed MMS supplier agreement) before KYC status can advance. Sanctions screening: on every supplier and buyer record creation, check name and registration number against a configurable sanctions list (JSON file, updatable without redeploy). Flag any match for manual review — do NOT automatically approve or reject. AML transaction monitoring hook: register supplier in the monitoring system with their risk tier (Low/Medium/High based on business type). Buyer profile creation (credit officer only): company name, credit_rating enum, approved_limit, payment_score. Every action writes to audit_logs.</w:t>
            </w:r>
          </w:p>
        </w:tc>
      </w:tr>
    </w:tbl>
    <w:p>
      <w:pPr>
        <w:spacing w:before="0" w:after="140"/>
      </w:pPr>
      <w:r>
        <w:t xml:space="preserve"/>
      </w:r>
    </w:p>
    <w:p>
      <w:pPr>
        <w:pStyle w:val="Heading2"/>
        <w:pBdr>
          <w:bottom w:val="single" w:color="D1D5DB" w:sz="4" w:space="4"/>
        </w:pBdr>
        <w:spacing w:before="360" w:after="140"/>
      </w:pPr>
      <w:r>
        <w:rPr>
          <w:rFonts w:ascii="Arial" w:cs="Arial" w:eastAsia="Arial" w:hAnsi="Arial"/>
          <w:b/>
          <w:bCs/>
          <w:color w:val="1A3A5C"/>
          <w:sz w:val="30"/>
          <w:szCs w:val="30"/>
        </w:rPr>
        <w:t xml:space="preserve">Module 3 — Invoice Intake with Validation Chain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5C" w:sz="2"/>
              <w:left w:val="single" w:color="1A3A5C" w:sz="2"/>
              <w:bottom w:val="single" w:color="1A3A5C" w:sz="2"/>
              <w:right w:val="single" w:color="1A3A5C" w:sz="2"/>
            </w:tcBorders>
            <w:shd w:fill="1A3A5C" w:val="clear"/>
            <w:tcMar>
              <w:top w:type="dxa" w:w="100"/>
              <w:left w:type="dxa" w:w="180"/>
              <w:bottom w:type="dxa" w:w="100"/>
              <w:right w:type="dxa" w:w="160"/>
            </w:tcMar>
          </w:tcPr>
          <w:p>
            <w:pPr>
              <w:spacing w:before="0" w:after="0"/>
            </w:pPr>
            <w:r>
              <w:rPr>
                <w:rFonts w:ascii="Arial" w:cs="Arial" w:eastAsia="Arial" w:hAnsi="Arial"/>
                <w:b/>
                <w:bCs/>
                <w:color w:val="FFFFFF"/>
                <w:sz w:val="20"/>
                <w:szCs w:val="20"/>
              </w:rPr>
              <w:t xml:space="preserve">PROMPT 5.3 — Invoice Intake</w:t>
            </w:r>
          </w:p>
        </w:tc>
      </w:tr>
      <w:tr>
        <w:tc>
          <w:tcPr>
            <w:tcW w:type="dxa" w:w="9026"/>
            <w:tcBorders>
              <w:top w:val="single" w:color="1A3A5C" w:sz="2"/>
              <w:left w:val="single" w:color="1A3A5C" w:sz="2"/>
              <w:bottom w:val="single" w:color="1A3A5C" w:sz="2"/>
              <w:right w:val="single" w:color="1A3A5C" w:sz="2"/>
            </w:tcBorders>
            <w:shd w:fill="F0F4FF" w:val="clear"/>
            <w:tcMar>
              <w:top w:type="dxa" w:w="140"/>
              <w:left w:type="dxa" w:w="180"/>
              <w:bottom w:type="dxa" w:w="140"/>
              <w:right w:type="dxa" w:w="160"/>
            </w:tcMar>
          </w:tcPr>
          <w:p>
            <w:pPr>
              <w:spacing w:before="0" w:after="0"/>
            </w:pPr>
            <w:r>
              <w:rPr>
                <w:rFonts w:ascii="Courier New" w:cs="Courier New" w:eastAsia="Courier New" w:hAnsi="Courier New"/>
                <w:i/>
                <w:iCs/>
                <w:color w:val="1A3A5C"/>
                <w:sz w:val="19"/>
                <w:szCs w:val="19"/>
              </w:rPr>
              <w:t xml:space="preserve">Build the Invoice Intake module. Invoice submission runs a validation chain — ALL checks must pass or the invoice is rejected with a specific reason code. Validation chain in order: (1) Supplier active check: supplier.kyc_status must be 'approved' — reject with SUPPLIER_NOT_APPROVED. (2) Duplicate check: invoice_number + supplier_id combination must not exist — reject with DUPLICATE_INVOICE. (3) Buyer eligibility: buyer must be in approved buyers list, buyer.is_active must be true — reject with BUYER_NOT_APPROVED. (4) Tenor check: due_date must be between 7 and 90 days from today — reject with TENOR_OUT_OF_RANGE with exact days shown. (5) Credit limit check: invoice face_value + buyer.used_limit must not exceed buyer.approved_limit — reject with CREDIT_LIMIT_EXCEEDED showing remaining availability. (6) AML threshold check: if face_value exceeds 100,000,000 UGX (configurable), create AML_FLAG record and notify compliance officer — invoice can still proceed but is flagged. On all checks passing: create invoice record (status='submitted'), attach documents, compute 72hr_sla_deadline (now + 72 hours), send Notice of Assignment email to buyer via Notification Service, log every validation step result in audit_logs individually.</w:t>
            </w:r>
          </w:p>
        </w:tc>
      </w:tr>
    </w:tbl>
    <w:p>
      <w:pPr>
        <w:spacing w:before="0" w:after="140"/>
      </w:pPr>
      <w:r>
        <w:t xml:space="preserve"/>
      </w:r>
    </w:p>
    <w:p>
      <w:pPr>
        <w:pStyle w:val="Heading2"/>
        <w:pBdr>
          <w:bottom w:val="single" w:color="D1D5DB" w:sz="4" w:space="4"/>
        </w:pBdr>
        <w:spacing w:before="360" w:after="140"/>
      </w:pPr>
      <w:r>
        <w:rPr>
          <w:rFonts w:ascii="Arial" w:cs="Arial" w:eastAsia="Arial" w:hAnsi="Arial"/>
          <w:b/>
          <w:bCs/>
          <w:color w:val="1A3A5C"/>
          <w:sz w:val="30"/>
          <w:szCs w:val="30"/>
        </w:rPr>
        <w:t xml:space="preserve">Module 4 — Buyer Verification &amp; Legal Assignment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5C" w:sz="2"/>
              <w:left w:val="single" w:color="1A3A5C" w:sz="2"/>
              <w:bottom w:val="single" w:color="1A3A5C" w:sz="2"/>
              <w:right w:val="single" w:color="1A3A5C" w:sz="2"/>
            </w:tcBorders>
            <w:shd w:fill="1A3A5C" w:val="clear"/>
            <w:tcMar>
              <w:top w:type="dxa" w:w="100"/>
              <w:left w:type="dxa" w:w="180"/>
              <w:bottom w:type="dxa" w:w="100"/>
              <w:right w:type="dxa" w:w="160"/>
            </w:tcMar>
          </w:tcPr>
          <w:p>
            <w:pPr>
              <w:spacing w:before="0" w:after="0"/>
            </w:pPr>
            <w:r>
              <w:rPr>
                <w:rFonts w:ascii="Arial" w:cs="Arial" w:eastAsia="Arial" w:hAnsi="Arial"/>
                <w:b/>
                <w:bCs/>
                <w:color w:val="FFFFFF"/>
                <w:sz w:val="20"/>
                <w:szCs w:val="20"/>
              </w:rPr>
              <w:t xml:space="preserve">PROMPT 5.4 — Buyer Verification</w:t>
            </w:r>
          </w:p>
        </w:tc>
      </w:tr>
      <w:tr>
        <w:tc>
          <w:tcPr>
            <w:tcW w:type="dxa" w:w="9026"/>
            <w:tcBorders>
              <w:top w:val="single" w:color="1A3A5C" w:sz="2"/>
              <w:left w:val="single" w:color="1A3A5C" w:sz="2"/>
              <w:bottom w:val="single" w:color="1A3A5C" w:sz="2"/>
              <w:right w:val="single" w:color="1A3A5C" w:sz="2"/>
            </w:tcBorders>
            <w:shd w:fill="F0F4FF" w:val="clear"/>
            <w:tcMar>
              <w:top w:type="dxa" w:w="140"/>
              <w:left w:type="dxa" w:w="180"/>
              <w:bottom w:type="dxa" w:w="140"/>
              <w:right w:type="dxa" w:w="160"/>
            </w:tcMar>
          </w:tcPr>
          <w:p>
            <w:pPr>
              <w:spacing w:before="0" w:after="0"/>
            </w:pPr>
            <w:r>
              <w:rPr>
                <w:rFonts w:ascii="Courier New" w:cs="Courier New" w:eastAsia="Courier New" w:hAnsi="Courier New"/>
                <w:i/>
                <w:iCs/>
                <w:color w:val="1A3A5C"/>
                <w:sz w:val="19"/>
                <w:szCs w:val="19"/>
              </w:rPr>
              <w:t xml:space="preserve">Build the Buyer Verification module — the most legally critical module. No funding happens without documented buyer confirmation. Workflow: (1) When invoice status becomes 'submitted', generate a secure confirmation token (crypto.randomBytes(32).toString('hex')), store token hash (not token itself) in database with 48-hour expiry. (2) Send Notice of Assignment email to buyer's registered email with: invoice details, amount, due date, your MMS bank account for payment, and a unique confirmation link containing the token. (3) When buyer clicks link: validate token (not expired, not used), require buyer to confirm: invoice is valid (checkbox), amount is correct (display amount), due date is correct (display date), agrees to pay MMS directly (checkbox with legal text). On confirmation: record buyer_confirmed_at, buyer_ip_address, token_used — update invoice status to 'verified' — trigger Risk Scoring Engine asynchronously via Bull queue. (4) Automated reminders: Bull job checks every hour for invoices in 'submitted' status with no confirmation — send reminder at 24 hours, 36 hours. At 48 hours with no confirmation: create CONFIRMATION_OVERDUE alert, notify credit officer. Business rule enforced at database level: invoice cannot enter 'scored' status unless buyer_confirmed_at is populated.</w:t>
            </w:r>
          </w:p>
        </w:tc>
      </w:tr>
    </w:tbl>
    <w:p>
      <w:pPr>
        <w:spacing w:before="0" w:after="140"/>
      </w:pPr>
      <w:r>
        <w:t xml:space="preserve"/>
      </w:r>
    </w:p>
    <w:p>
      <w:pPr>
        <w:pStyle w:val="Heading2"/>
        <w:pBdr>
          <w:bottom w:val="single" w:color="D1D5DB" w:sz="4" w:space="4"/>
        </w:pBdr>
        <w:spacing w:before="360" w:after="140"/>
      </w:pPr>
      <w:r>
        <w:rPr>
          <w:rFonts w:ascii="Arial" w:cs="Arial" w:eastAsia="Arial" w:hAnsi="Arial"/>
          <w:b/>
          <w:bCs/>
          <w:color w:val="1A3A5C"/>
          <w:sz w:val="30"/>
          <w:szCs w:val="30"/>
        </w:rPr>
        <w:t xml:space="preserve">Module 5 — Risk &amp; Credit Scoring Engine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5C" w:sz="2"/>
              <w:left w:val="single" w:color="1A3A5C" w:sz="2"/>
              <w:bottom w:val="single" w:color="1A3A5C" w:sz="2"/>
              <w:right w:val="single" w:color="1A3A5C" w:sz="2"/>
            </w:tcBorders>
            <w:shd w:fill="1A3A5C" w:val="clear"/>
            <w:tcMar>
              <w:top w:type="dxa" w:w="100"/>
              <w:left w:type="dxa" w:w="180"/>
              <w:bottom w:type="dxa" w:w="100"/>
              <w:right w:type="dxa" w:w="160"/>
            </w:tcMar>
          </w:tcPr>
          <w:p>
            <w:pPr>
              <w:spacing w:before="0" w:after="0"/>
            </w:pPr>
            <w:r>
              <w:rPr>
                <w:rFonts w:ascii="Arial" w:cs="Arial" w:eastAsia="Arial" w:hAnsi="Arial"/>
                <w:b/>
                <w:bCs/>
                <w:color w:val="FFFFFF"/>
                <w:sz w:val="20"/>
                <w:szCs w:val="20"/>
              </w:rPr>
              <w:t xml:space="preserve">PROMPT 5.5 — Risk Scoring Engine</w:t>
            </w:r>
          </w:p>
        </w:tc>
      </w:tr>
      <w:tr>
        <w:tc>
          <w:tcPr>
            <w:tcW w:type="dxa" w:w="9026"/>
            <w:tcBorders>
              <w:top w:val="single" w:color="1A3A5C" w:sz="2"/>
              <w:left w:val="single" w:color="1A3A5C" w:sz="2"/>
              <w:bottom w:val="single" w:color="1A3A5C" w:sz="2"/>
              <w:right w:val="single" w:color="1A3A5C" w:sz="2"/>
            </w:tcBorders>
            <w:shd w:fill="F0F4FF" w:val="clear"/>
            <w:tcMar>
              <w:top w:type="dxa" w:w="140"/>
              <w:left w:type="dxa" w:w="180"/>
              <w:bottom w:type="dxa" w:w="140"/>
              <w:right w:type="dxa" w:w="160"/>
            </w:tcMar>
          </w:tcPr>
          <w:p>
            <w:pPr>
              <w:spacing w:before="0" w:after="0"/>
            </w:pPr>
            <w:r>
              <w:rPr>
                <w:rFonts w:ascii="Courier New" w:cs="Courier New" w:eastAsia="Courier New" w:hAnsi="Courier New"/>
                <w:i/>
                <w:iCs/>
                <w:color w:val="1A3A5C"/>
                <w:sz w:val="19"/>
                <w:szCs w:val="19"/>
              </w:rPr>
              <w:t xml:space="preserve">Build the Risk and Credit Scoring Engine using the Strategy and Single Responsibility patterns. Five scoring factors each implemented as a separate class implementing IScoringFactor interface. Factor 1 — Buyer Credit Rating (30% weight): Grade A=100, B=75, C=50, D=25. Factor 2 — Invoice Tenor (20% weight): 1-30 days=100, 31-60 days=75, 61-90 days=50, outside range=0 (should have been caught by intake, but defend in depth). Factor 3 — Supplier Track Record (20% weight): first invoice=50, 1-3 invoices all on time=70, 4-10 invoices over 90% on time=85, 11+ invoices over 95% on time=100, any default=25. Factor 4 — Buyer Concentration Risk (15% weight): buyer's used_limit/approved_limit after this invoice — under 40%=100, 41-60%=75, 61-75%=50, 76-90%=25, above 90%=0. Factor 5 — Collateral Provided (15% weight): bank guarantee=100, fixed deposit lien=85, post-dated cheques (full value)=60, corporate guarantee=40, none=0. Final score = sum of (factor_score * weight). Store ALL 5 individual factor scores in risk_scores table — the final score alone is not auditable. Output: score, recommendation (75+=AutoApprove, 50-74=ReferToManager, below 50=Reject), max_advance_pct (75+=95%, 60-74=90%, 50-59=85%, below 50=0%), discount_rate (use pricing formula from Prompt 5.6). If recommendation=Reject: update invoice status immediately, notify supplier with reason.</w:t>
            </w:r>
          </w:p>
        </w:tc>
      </w:tr>
    </w:tbl>
    <w:p>
      <w:pPr>
        <w:spacing w:before="0" w:after="140"/>
      </w:pPr>
      <w:r>
        <w:t xml:space="preserve"/>
      </w:r>
    </w:p>
    <w:p>
      <w:pPr>
        <w:pStyle w:val="Heading2"/>
        <w:pBdr>
          <w:bottom w:val="single" w:color="D1D5DB" w:sz="4" w:space="4"/>
        </w:pBdr>
        <w:spacing w:before="360" w:after="140"/>
      </w:pPr>
      <w:r>
        <w:rPr>
          <w:rFonts w:ascii="Arial" w:cs="Arial" w:eastAsia="Arial" w:hAnsi="Arial"/>
          <w:b/>
          <w:bCs/>
          <w:color w:val="1A3A5C"/>
          <w:sz w:val="30"/>
          <w:szCs w:val="30"/>
        </w:rPr>
        <w:t xml:space="preserve">Module 6 — Pricing Engine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5C" w:sz="2"/>
              <w:left w:val="single" w:color="1A3A5C" w:sz="2"/>
              <w:bottom w:val="single" w:color="1A3A5C" w:sz="2"/>
              <w:right w:val="single" w:color="1A3A5C" w:sz="2"/>
            </w:tcBorders>
            <w:shd w:fill="1A3A5C" w:val="clear"/>
            <w:tcMar>
              <w:top w:type="dxa" w:w="100"/>
              <w:left w:type="dxa" w:w="180"/>
              <w:bottom w:type="dxa" w:w="100"/>
              <w:right w:type="dxa" w:w="160"/>
            </w:tcMar>
          </w:tcPr>
          <w:p>
            <w:pPr>
              <w:spacing w:before="0" w:after="0"/>
            </w:pPr>
            <w:r>
              <w:rPr>
                <w:rFonts w:ascii="Arial" w:cs="Arial" w:eastAsia="Arial" w:hAnsi="Arial"/>
                <w:b/>
                <w:bCs/>
                <w:color w:val="FFFFFF"/>
                <w:sz w:val="20"/>
                <w:szCs w:val="20"/>
              </w:rPr>
              <w:t xml:space="preserve">PROMPT 5.6 — Pricing Engine</w:t>
            </w:r>
          </w:p>
        </w:tc>
      </w:tr>
      <w:tr>
        <w:tc>
          <w:tcPr>
            <w:tcW w:type="dxa" w:w="9026"/>
            <w:tcBorders>
              <w:top w:val="single" w:color="1A3A5C" w:sz="2"/>
              <w:left w:val="single" w:color="1A3A5C" w:sz="2"/>
              <w:bottom w:val="single" w:color="1A3A5C" w:sz="2"/>
              <w:right w:val="single" w:color="1A3A5C" w:sz="2"/>
            </w:tcBorders>
            <w:shd w:fill="F0F4FF" w:val="clear"/>
            <w:tcMar>
              <w:top w:type="dxa" w:w="140"/>
              <w:left w:type="dxa" w:w="180"/>
              <w:bottom w:type="dxa" w:w="140"/>
              <w:right w:type="dxa" w:w="160"/>
            </w:tcMar>
          </w:tcPr>
          <w:p>
            <w:pPr>
              <w:spacing w:before="0" w:after="0"/>
            </w:pPr>
            <w:r>
              <w:rPr>
                <w:rFonts w:ascii="Courier New" w:cs="Courier New" w:eastAsia="Courier New" w:hAnsi="Courier New"/>
                <w:i/>
                <w:iCs/>
                <w:color w:val="1A3A5C"/>
                <w:sz w:val="19"/>
                <w:szCs w:val="19"/>
              </w:rPr>
              <w:t xml:space="preserve">Build the Pricing Engine that calculates the exact discount applied to each invoice. Pricing formula: Total Discount Rate = (Bank Cost of Funds % + Risk Premium % + MMS Margin %) * (Tenor Days / 365). Variables: Bank Cost of Funds — fetched from bank_facilities table for the facility being drawn down (actual interest rate, not estimated). Risk Premium — derived from risk score: score 75+=0%, 65-74=0.5%, 55-64=1%, 50-54=1.5%. MMS Margin — configurable per-buyer rate stored in buyer table (default 3% annually). Tenor Days — exact calendar days from today to invoice due date. Example for a 60-day invoice: Bank rate=18%, Risk premium=0.5%, MMS margin=3%, Tenor=60 days. Discount rate = (18+0.5+3) * (60/365) = 3.507%. Advance amount = face_value * max_advance_pct. Discount amount = face_value * discount_rate. Net payment to supplier = advance_amount - discount_amount. Show supplier a transparent fee breakdown: face value, advance percentage, discount percentage, discount amount, net payment, expected collection date. Store all components in risk_scores table for full audit trail. Pricing must be computed and shown to the credit officer during review — never hidden.</w:t>
            </w:r>
          </w:p>
        </w:tc>
      </w:tr>
    </w:tbl>
    <w:p>
      <w:pPr>
        <w:spacing w:before="0" w:after="140"/>
      </w:pPr>
      <w:r>
        <w:t xml:space="preserve"/>
      </w:r>
    </w:p>
    <w:p>
      <w:pPr>
        <w:pStyle w:val="Heading2"/>
        <w:pBdr>
          <w:bottom w:val="single" w:color="D1D5DB" w:sz="4" w:space="4"/>
        </w:pBdr>
        <w:spacing w:before="360" w:after="140"/>
      </w:pPr>
      <w:r>
        <w:rPr>
          <w:rFonts w:ascii="Arial" w:cs="Arial" w:eastAsia="Arial" w:hAnsi="Arial"/>
          <w:b/>
          <w:bCs/>
          <w:color w:val="1A3A5C"/>
          <w:sz w:val="30"/>
          <w:szCs w:val="30"/>
        </w:rPr>
        <w:t xml:space="preserve">Module 7 — Approval Workflow Engine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5C" w:sz="2"/>
              <w:left w:val="single" w:color="1A3A5C" w:sz="2"/>
              <w:bottom w:val="single" w:color="1A3A5C" w:sz="2"/>
              <w:right w:val="single" w:color="1A3A5C" w:sz="2"/>
            </w:tcBorders>
            <w:shd w:fill="1A3A5C" w:val="clear"/>
            <w:tcMar>
              <w:top w:type="dxa" w:w="100"/>
              <w:left w:type="dxa" w:w="180"/>
              <w:bottom w:type="dxa" w:w="100"/>
              <w:right w:type="dxa" w:w="160"/>
            </w:tcMar>
          </w:tcPr>
          <w:p>
            <w:pPr>
              <w:spacing w:before="0" w:after="0"/>
            </w:pPr>
            <w:r>
              <w:rPr>
                <w:rFonts w:ascii="Arial" w:cs="Arial" w:eastAsia="Arial" w:hAnsi="Arial"/>
                <w:b/>
                <w:bCs/>
                <w:color w:val="FFFFFF"/>
                <w:sz w:val="20"/>
                <w:szCs w:val="20"/>
              </w:rPr>
              <w:t xml:space="preserve">PROMPT 5.7 — Approval Workflow</w:t>
            </w:r>
          </w:p>
        </w:tc>
      </w:tr>
      <w:tr>
        <w:tc>
          <w:tcPr>
            <w:tcW w:type="dxa" w:w="9026"/>
            <w:tcBorders>
              <w:top w:val="single" w:color="1A3A5C" w:sz="2"/>
              <w:left w:val="single" w:color="1A3A5C" w:sz="2"/>
              <w:bottom w:val="single" w:color="1A3A5C" w:sz="2"/>
              <w:right w:val="single" w:color="1A3A5C" w:sz="2"/>
            </w:tcBorders>
            <w:shd w:fill="F0F4FF" w:val="clear"/>
            <w:tcMar>
              <w:top w:type="dxa" w:w="140"/>
              <w:left w:type="dxa" w:w="180"/>
              <w:bottom w:type="dxa" w:w="140"/>
              <w:right w:type="dxa" w:w="160"/>
            </w:tcMar>
          </w:tcPr>
          <w:p>
            <w:pPr>
              <w:spacing w:before="0" w:after="0"/>
            </w:pPr>
            <w:r>
              <w:rPr>
                <w:rFonts w:ascii="Courier New" w:cs="Courier New" w:eastAsia="Courier New" w:hAnsi="Courier New"/>
                <w:i/>
                <w:iCs/>
                <w:color w:val="1A3A5C"/>
                <w:sz w:val="19"/>
                <w:szCs w:val="19"/>
              </w:rPr>
              <w:t xml:space="preserve">Build the 3-tier Approval Workflow Engine. Tier 1 — Auto-approval: face_value under 10,000,000 UGX AND risk score 75 or above AND no AML flags. System auto-approves: create approval record with approver_id='SYSTEM', comments='Auto-approved: score [X], value [Y]', trigger Payment Engine. This is the only case where a human approval is not required. Tier 2 — Credit Manager: face_value 10M-50M UGX OR score 50-74 OR has AML flag. Notify all credit officers with approved invoices in queue. First credit officer to open the invoice locks it (concurrent approval prevention using SELECT FOR UPDATE). Must provide written comments minimum 20 characters — enforced at API validation level. On approval: trigger Payment Engine. On rejection: notify supplier with reason, release buyer credit limit. Tier 3 — Credit Committee: face_value above 50M UGX OR score below 50 OR any manual escalation. Requires minimum 2 separate credit officers — each records independent decision and comments. System only approves when quorum (2 approvals) reached. One rejection from any committee member does not automatically reject — MD can override with documented reason. All decisions: immutable, timestamped, attributed to named individual, stored in approvals table with full audit trail. SLA monitoring: if invoice sits in approval queue for more than 24 hours, send escalation alert to management.</w:t>
            </w:r>
          </w:p>
        </w:tc>
      </w:tr>
    </w:tbl>
    <w:p>
      <w:pPr>
        <w:spacing w:before="0" w:after="140"/>
      </w:pPr>
      <w:r>
        <w:t xml:space="preserve"/>
      </w:r>
    </w:p>
    <w:p>
      <w:pPr>
        <w:pStyle w:val="Heading2"/>
        <w:pBdr>
          <w:bottom w:val="single" w:color="D1D5DB" w:sz="4" w:space="4"/>
        </w:pBdr>
        <w:spacing w:before="360" w:after="140"/>
      </w:pPr>
      <w:r>
        <w:rPr>
          <w:rFonts w:ascii="Arial" w:cs="Arial" w:eastAsia="Arial" w:hAnsi="Arial"/>
          <w:b/>
          <w:bCs/>
          <w:color w:val="1A3A5C"/>
          <w:sz w:val="30"/>
          <w:szCs w:val="30"/>
        </w:rPr>
        <w:t xml:space="preserve">Module 8 — Payment Engine (Highest Risk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5C" w:sz="2"/>
              <w:left w:val="single" w:color="1A3A5C" w:sz="2"/>
              <w:bottom w:val="single" w:color="1A3A5C" w:sz="2"/>
              <w:right w:val="single" w:color="1A3A5C" w:sz="2"/>
            </w:tcBorders>
            <w:shd w:fill="1A3A5C" w:val="clear"/>
            <w:tcMar>
              <w:top w:type="dxa" w:w="100"/>
              <w:left w:type="dxa" w:w="180"/>
              <w:bottom w:type="dxa" w:w="100"/>
              <w:right w:type="dxa" w:w="160"/>
            </w:tcMar>
          </w:tcPr>
          <w:p>
            <w:pPr>
              <w:spacing w:before="0" w:after="0"/>
            </w:pPr>
            <w:r>
              <w:rPr>
                <w:rFonts w:ascii="Arial" w:cs="Arial" w:eastAsia="Arial" w:hAnsi="Arial"/>
                <w:b/>
                <w:bCs/>
                <w:color w:val="FFFFFF"/>
                <w:sz w:val="20"/>
                <w:szCs w:val="20"/>
              </w:rPr>
              <w:t xml:space="preserve">PROMPT 5.8 — Payment Engine</w:t>
            </w:r>
          </w:p>
        </w:tc>
      </w:tr>
      <w:tr>
        <w:tc>
          <w:tcPr>
            <w:tcW w:type="dxa" w:w="9026"/>
            <w:tcBorders>
              <w:top w:val="single" w:color="1A3A5C" w:sz="2"/>
              <w:left w:val="single" w:color="1A3A5C" w:sz="2"/>
              <w:bottom w:val="single" w:color="1A3A5C" w:sz="2"/>
              <w:right w:val="single" w:color="1A3A5C" w:sz="2"/>
            </w:tcBorders>
            <w:shd w:fill="F0F4FF" w:val="clear"/>
            <w:tcMar>
              <w:top w:type="dxa" w:w="140"/>
              <w:left w:type="dxa" w:w="180"/>
              <w:bottom w:type="dxa" w:w="140"/>
              <w:right w:type="dxa" w:w="160"/>
            </w:tcMar>
          </w:tcPr>
          <w:p>
            <w:pPr>
              <w:spacing w:before="0" w:after="0"/>
            </w:pPr>
            <w:r>
              <w:rPr>
                <w:rFonts w:ascii="Courier New" w:cs="Courier New" w:eastAsia="Courier New" w:hAnsi="Courier New"/>
                <w:i/>
                <w:iCs/>
                <w:color w:val="1A3A5C"/>
                <w:sz w:val="19"/>
                <w:szCs w:val="19"/>
              </w:rPr>
              <w:t xml:space="preserve">Build the Payment Engine. This is the most critical module — errors here involve real money. DUAL AUTHORISATION IS ENFORCED AT THREE LEVELS: application logic, database trigger, and payment provider API. Step 1 — Payment instruction creation: on approval, create payment record with status='pending_first_auth', amount=net_payment_to_supplier, provider selected by supplier's preferred_payment_method (MTN_MOMO/AIRTEL/EFT), dual_auth_user_1=null, dual_auth_user_2=null. Step 2 — First authorisation (Finance Manager role only): Finance Manager sees pending payment, reviews all details, clicks Authorise. System records dual_auth_user_1=userId, dual_auth_timestamp_1=now, status='pending_second_auth'. Critical: dual_auth_user_1 and dual_auth_user_2 CANNOT be the same person — enforced at application and database level. Step 3 — Second authorisation (different Finance Manager): second Finance Manager authorises. System records dual_auth_user_2=userId, dual_auth_timestamp_2=now, status='executing'. Step 4 — Execution: call IPaymentProvider.execute(). On MTN MoMo/Airtel: use sandbox API in staging, live API in production — store transaction_reference. On EFT: generate payment instruction file in Uganda ACH format. Record bank_reference, update status='funded', record funded_at timestamp. Step 5 — Notifications: SMS and email to supplier instantly with amount, reference, expected arrival time. Step 6 — SLA monitoring: Bull job checks every 30 minutes — if 72hr_sla_deadline is within 6 hours and status not 'funded', send urgent escalation to MD. Log every single sub-step to audit_logs. Database trigger: payment cannot have status='funded' if dual_auth_user_1 is null or dual_auth_user_2 is null or dual_auth_user_1 = dual_auth_user_2.</w:t>
            </w:r>
          </w:p>
        </w:tc>
      </w:tr>
    </w:tbl>
    <w:p>
      <w:pPr>
        <w:spacing w:before="0" w:after="140"/>
      </w:pPr>
      <w:r>
        <w:t xml:space="preserve"/>
      </w:r>
    </w:p>
    <w:p>
      <w:pPr>
        <w:pStyle w:val="Heading2"/>
        <w:pBdr>
          <w:bottom w:val="single" w:color="D1D5DB" w:sz="4" w:space="4"/>
        </w:pBdr>
        <w:spacing w:before="360" w:after="140"/>
      </w:pPr>
      <w:r>
        <w:rPr>
          <w:rFonts w:ascii="Arial" w:cs="Arial" w:eastAsia="Arial" w:hAnsi="Arial"/>
          <w:b/>
          <w:bCs/>
          <w:color w:val="1A3A5C"/>
          <w:sz w:val="30"/>
          <w:szCs w:val="30"/>
        </w:rPr>
        <w:t xml:space="preserve">Module 9 — Collections Tracking &amp; Overdue Management</w:t>
      </w:r>
    </w:p>
    <w:p>
      <w:r>
        <w:rPr>
          <w:sz w:val="22"/>
        </w:rPr>
        <w:t xml:space="preserve"/>
      </w:r>
    </w:p>
    <w:p>
      <w:r>
        <w:rPr>
          <w:sz w:val="22"/>
          <w:color w:val="780000"/>
        </w:rPr>
        <w:t xml:space="preserve">Audit log entries: COLLATERAL_RECORDED, COLLATERAL_VERIFIED, COLLATERAL_EXPIRED, COLLATERAL_ALERT. Collateral value encrypted at rest.</w:t>
      </w:r>
    </w:p>
    <w:p>
      <w:r>
        <w:rPr>
          <w:sz w:val="22"/>
        </w:rPr>
        <w:t xml:space="preserve">(5) API endpoints: POST /collateral/record (Credit Officer), PUT /collateral/:id/verify (Credit Officer), GET /collateral/invoice/:invoiceId, GET /collateral/dashboard (Credit Officer, Management). All write to audit_logs.</w:t>
      </w:r>
    </w:p>
    <w:p>
      <w:r>
        <w:rPr>
          <w:sz w:val="22"/>
        </w:rPr>
        <w:t xml:space="preserve">(4) Collateral Dashboard for Credit Officers: type, value, coverage ratio %, expiry date, days to expiry, status. Amber highlight within 30 days, red within 7 days.</w:t>
      </w:r>
    </w:p>
    <w:p>
      <w:r>
        <w:rPr>
          <w:sz w:val="22"/>
        </w:rPr>
        <w:t xml:space="preserve">(3) Alerts via Bull cron at 7am Uganda time daily: alert Credit Officer 30 days before expiry, escalate to Credit Manager and MD at 7 days, mark EXPIRED at expiry and suspend new supplier drawdowns until renewed.</w:t>
      </w:r>
    </w:p>
    <w:p>
      <w:r>
        <w:rPr>
          <w:sz w:val="22"/>
        </w:rPr>
        <w:t xml:space="preserve">(2) Pre-Disbursement Gate: Payment Engine checks collateral before creating payment instruction. Block codes: COLLATERAL_NOT_VERIFIED (no record exists), COLLATERAL_INSUFFICIENT (value below minimum), COLLATERAL_EXPIRED (expiry before due_date). Database trigger: payment status cannot advance to pending_first_auth unless valid collateral record exists for that invoice.</w:t>
      </w:r>
    </w:p>
    <w:p>
      <w:r>
        <w:rPr>
          <w:sz w:val="22"/>
        </w:rPr>
        <w:t xml:space="preserve">(1) Collateral Record linked to invoice before payment instruction is created. Fields: collateral_type enum (POST_DATED_CHEQUE / BANK_GUARANTEE / FIXED_DEPOSIT_LIEN / CORPORATE_GUARANTEE / ASSIGNMENT_OF_RECEIVABLES / PERFORMANCE_BOND), collateral_value (&gt;= face_value * coverage_ratio), expiry_date (&gt;= invoice due_date), enforceability_status enum (VERIFIED / PENDING / INSUFFICIENT / EXPIRED), verified_by, verified_at.</w:t>
      </w:r>
    </w:p>
    <w:p>
      <w:r>
        <w:rPr>
          <w:sz w:val="22"/>
        </w:rPr>
        <w:t xml:space="preserve">Build the Collateral Management module. The workflow document (Stage 10) defines collateral recording as a hard gate before disbursement. Payment cannot release until collateral is recorded, verified, and confirmed sufficient. This module was missing from the original guide.</w:t>
      </w:r>
    </w:p>
    <w:p>
      <w:r>
        <w:rPr>
          <w:b/>
          <w:sz w:val="24"/>
          <w:color w:val="000000"/>
        </w:rPr>
        <w:t xml:space="preserve">PROMPT 5.8b — Collateral Management Module (Pre-Disbursement Gate)</w:t>
      </w:r>
    </w:p>
    <w:p>
      <w:r>
        <w:rPr>
          <w:b/>
          <w:sz w:val="24"/>
          <w:color w:val="1F3864"/>
        </w:rPr>
        <w:t xml:space="preserve">WORKFLOW ALIGNMENT — Gap 2 Added</w:t>
      </w:r>
    </w:p>
    <w:p>
      <w:r>
        <w:rPr>
          <w:sz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5C" w:sz="2"/>
              <w:left w:val="single" w:color="1A3A5C" w:sz="2"/>
              <w:bottom w:val="single" w:color="1A3A5C" w:sz="2"/>
              <w:right w:val="single" w:color="1A3A5C" w:sz="2"/>
            </w:tcBorders>
            <w:shd w:fill="1A3A5C" w:val="clear"/>
            <w:tcMar>
              <w:top w:type="dxa" w:w="100"/>
              <w:left w:type="dxa" w:w="180"/>
              <w:bottom w:type="dxa" w:w="100"/>
              <w:right w:type="dxa" w:w="160"/>
            </w:tcMar>
          </w:tcPr>
          <w:p>
            <w:pPr>
              <w:spacing w:before="0" w:after="0"/>
            </w:pPr>
            <w:r>
              <w:rPr>
                <w:rFonts w:ascii="Arial" w:cs="Arial" w:eastAsia="Arial" w:hAnsi="Arial"/>
                <w:b/>
                <w:bCs/>
                <w:color w:val="FFFFFF"/>
                <w:sz w:val="20"/>
                <w:szCs w:val="20"/>
              </w:rPr>
              <w:t xml:space="preserve">PROMPT 5.9 — Collections Module</w:t>
            </w:r>
          </w:p>
        </w:tc>
      </w:tr>
      <w:tr>
        <w:tc>
          <w:tcPr>
            <w:tcW w:type="dxa" w:w="9026"/>
            <w:tcBorders>
              <w:top w:val="single" w:color="1A3A5C" w:sz="2"/>
              <w:left w:val="single" w:color="1A3A5C" w:sz="2"/>
              <w:bottom w:val="single" w:color="1A3A5C" w:sz="2"/>
              <w:right w:val="single" w:color="1A3A5C" w:sz="2"/>
            </w:tcBorders>
            <w:shd w:fill="F0F4FF" w:val="clear"/>
            <w:tcMar>
              <w:top w:type="dxa" w:w="140"/>
              <w:left w:type="dxa" w:w="180"/>
              <w:bottom w:type="dxa" w:w="140"/>
              <w:right w:type="dxa" w:w="160"/>
            </w:tcMar>
          </w:tcPr>
          <w:p>
            <w:pPr>
              <w:spacing w:before="0" w:after="0"/>
            </w:pPr>
            <w:r>
              <w:rPr>
                <w:rFonts w:ascii="Courier New" w:cs="Courier New" w:eastAsia="Courier New" w:hAnsi="Courier New"/>
                <w:i/>
                <w:iCs/>
                <w:color w:val="1A3A5C"/>
                <w:sz w:val="19"/>
                <w:szCs w:val="19"/>
              </w:rPr>
              <w:t xml:space="preserve">Build the Collections Tracking module. Automated reminder schedule using Bull cron jobs: At T-7 days: send email and SMS to buyer's registered contact: invoice reference, amount due, MMS bank account details, MTN/Airtel payment option. At T-3 days: send second reminder, add WhatsApp message if Africa's Talking WhatsApp is configured. On T=due date: final reminder at 8am Uganda time. At T+1 day (overdue): mark invoice status='overdue', create overdue record in collections table with days_overdue=1, calculate penalty at daily rate (configurable, default 0.1% per day), notify Credit Officer by email and in-app alert. At T+3 days overdue: escalate to Credit Manager, send formal demand notice to buyer by email, log as potential bad debt. At T+7 days overdue: escalate to MD, initiate legal notice process (generate formal demand letter template), flag for SAR review if amount exceeds threshold. On payment received: record in collections table (received_date, amount_received), update buyer.used_limit (reduce by face_value), update invoice status='collected', trigger bank facility repayment calculation, send confirmation to supplier that buyer has paid. Penalty calculation: penalty = face_value * daily_penalty_rate * days_overdue — stored in collections table, charged to buyer not deducted from supplier.</w:t>
            </w:r>
          </w:p>
        </w:tc>
      </w:tr>
    </w:tbl>
    <w:p>
      <w:pPr>
        <w:spacing w:before="0" w:after="140"/>
      </w:pPr>
      <w:r>
        <w:t xml:space="preserve"/>
      </w:r>
    </w:p>
    <w:p>
      <w:pPr>
        <w:pStyle w:val="Heading2"/>
        <w:pBdr>
          <w:bottom w:val="single" w:color="D1D5DB" w:sz="4" w:space="4"/>
        </w:pBdr>
        <w:spacing w:before="360" w:after="140"/>
      </w:pPr>
      <w:r>
        <w:rPr>
          <w:rFonts w:ascii="Arial" w:cs="Arial" w:eastAsia="Arial" w:hAnsi="Arial"/>
          <w:b/>
          <w:bCs/>
          <w:color w:val="1A3A5C"/>
          <w:sz w:val="30"/>
          <w:szCs w:val="30"/>
        </w:rPr>
        <w:t xml:space="preserve">Module 10 — Bank Facility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5C" w:sz="2"/>
              <w:left w:val="single" w:color="1A3A5C" w:sz="2"/>
              <w:bottom w:val="single" w:color="1A3A5C" w:sz="2"/>
              <w:right w:val="single" w:color="1A3A5C" w:sz="2"/>
            </w:tcBorders>
            <w:shd w:fill="1A3A5C" w:val="clear"/>
            <w:tcMar>
              <w:top w:type="dxa" w:w="100"/>
              <w:left w:type="dxa" w:w="180"/>
              <w:bottom w:type="dxa" w:w="100"/>
              <w:right w:type="dxa" w:w="160"/>
            </w:tcMar>
          </w:tcPr>
          <w:p>
            <w:pPr>
              <w:spacing w:before="0" w:after="0"/>
            </w:pPr>
            <w:r>
              <w:rPr>
                <w:rFonts w:ascii="Arial" w:cs="Arial" w:eastAsia="Arial" w:hAnsi="Arial"/>
                <w:b/>
                <w:bCs/>
                <w:color w:val="FFFFFF"/>
                <w:sz w:val="20"/>
                <w:szCs w:val="20"/>
              </w:rPr>
              <w:t xml:space="preserve">PROMPT 5.10 — Bank Facility Management</w:t>
            </w:r>
          </w:p>
        </w:tc>
      </w:tr>
      <w:tr>
        <w:tc>
          <w:tcPr>
            <w:tcW w:type="dxa" w:w="9026"/>
            <w:tcBorders>
              <w:top w:val="single" w:color="1A3A5C" w:sz="2"/>
              <w:left w:val="single" w:color="1A3A5C" w:sz="2"/>
              <w:bottom w:val="single" w:color="1A3A5C" w:sz="2"/>
              <w:right w:val="single" w:color="1A3A5C" w:sz="2"/>
            </w:tcBorders>
            <w:shd w:fill="F0F4FF" w:val="clear"/>
            <w:tcMar>
              <w:top w:type="dxa" w:w="140"/>
              <w:left w:type="dxa" w:w="180"/>
              <w:bottom w:type="dxa" w:w="140"/>
              <w:right w:type="dxa" w:w="160"/>
            </w:tcMar>
          </w:tcPr>
          <w:p>
            <w:pPr>
              <w:spacing w:before="0" w:after="0"/>
            </w:pPr>
            <w:r>
              <w:rPr>
                <w:rFonts w:ascii="Courier New" w:cs="Courier New" w:eastAsia="Courier New" w:hAnsi="Courier New"/>
                <w:i/>
                <w:iCs/>
                <w:color w:val="1A3A5C"/>
                <w:sz w:val="19"/>
                <w:szCs w:val="19"/>
              </w:rPr>
              <w:t xml:space="preserve">Build the Bank Facility Management module. Track every bank credit facility MMS uses: facility name, bank name, total limit, drawn amount, available amount (computed), interest rate (annual), drawdown date, maturity date, repayment schedule. On invoice funding: automatically create a drawdown record against the appropriate facility (match maturity to invoice tenor), update drawn_amount, recalculate available_amount. Daily interest accrual: Bull cron job runs at midnight Uganda time — for each active drawdown, compute daily_interest = principal * (annual_rate/365), accumulate to accrued_interest. Maturity matching: enforce that the facility maturity is always equal to or later than the invoice due date — prevent tenor mismatch that creates liquidity risk. Alerts: when any facility reaches 80% utilisation — notify Finance Manager. At 90% — notify MD and suspend new funding from that facility until it reduces. At maturity minus 5 days — remind Finance Manager to arrange repayment or renewal. Repayment on collection: when buyer pays, automatically calculate repayment: principal + accrued_interest + bank_fees, update drawn_amount, log repayment in facility record. Facility dashboard: show all facilities with utilisation percentage, days to maturity, total interest accrued, available capacity.</w:t>
            </w:r>
          </w:p>
        </w:tc>
      </w:tr>
    </w:tbl>
    <w:p>
      <w:pPr>
        <w:spacing w:before="0" w:after="140"/>
      </w:pPr>
      <w:r>
        <w:t xml:space="preserve"/>
      </w:r>
    </w:p>
    <w:p>
      <w:pPr>
        <w:pStyle w:val="Heading2"/>
        <w:pBdr>
          <w:bottom w:val="single" w:color="D1D5DB" w:sz="4" w:space="4"/>
        </w:pBdr>
        <w:spacing w:before="360" w:after="140"/>
      </w:pPr>
      <w:r>
        <w:rPr>
          <w:rFonts w:ascii="Arial" w:cs="Arial" w:eastAsia="Arial" w:hAnsi="Arial"/>
          <w:b/>
          <w:bCs/>
          <w:color w:val="1A3A5C"/>
          <w:sz w:val="30"/>
          <w:szCs w:val="30"/>
        </w:rPr>
        <w:t xml:space="preserve">Module 11 — Reporting &amp; Audit Export</w:t>
      </w:r>
    </w:p>
    <w:p>
      <w:pPr>
        <w:pStyle w:val="Heading2"/>
        <w:pBdr>
          <w:bottom w:val="single" w:color="D1D5DB" w:sz="4" w:space="4"/>
        </w:pBdr>
        <w:spacing w:before="360" w:after="140"/>
      </w:pPr>
      <w:r>
        <w:rPr>
          <w:rFonts w:ascii="Arial" w:cs="Arial" w:eastAsia="Arial" w:hAnsi="Arial"/>
          <w:b/>
          <w:bCs/>
          <w:color w:val="1A3A5C"/>
          <w:sz w:val="30"/>
          <w:szCs w:val="30"/>
        </w:rPr>
        <w:t>Module 8b — Collateral Management (Pre-Disbursement Gate)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5C" w:sz="2"/>
              <w:left w:val="single" w:color="1A3A5C" w:sz="2"/>
              <w:bottom w:val="single" w:color="1A3A5C" w:sz="2"/>
              <w:right w:val="single" w:color="1A3A5C" w:sz="2"/>
            </w:tcBorders>
            <w:shd w:fill="1A3A5C" w:val="clear"/>
            <w:tcMar>
              <w:top w:type="dxa" w:w="100"/>
              <w:left w:type="dxa" w:w="180"/>
              <w:bottom w:type="dxa" w:w="100"/>
              <w:right w:type="dxa" w:w="160"/>
            </w:tcMar>
          </w:tcPr>
          <w:p>
            <w:pPr>
              <w:spacing w:before="0" w:after="0"/>
            </w:pPr>
            <w:r>
              <w:rPr>
                <w:rFonts w:ascii="Arial" w:cs="Arial" w:eastAsia="Arial" w:hAnsi="Arial"/>
                <w:b/>
                <w:bCs/>
                <w:color w:val="FFFFFF"/>
                <w:sz w:val="20"/>
                <w:szCs w:val="20"/>
              </w:rPr>
              <w:t xml:space="preserve">PROMPT 5.11 — Reporting Module</w:t>
            </w:r>
          </w:p>
        </w:tc>
      </w:tr>
      <w:tr>
        <w:tc>
          <w:tcPr>
            <w:tcW w:type="dxa" w:w="9026"/>
            <w:tcBorders>
              <w:top w:val="single" w:color="1A3A5C" w:sz="2"/>
              <w:left w:val="single" w:color="1A3A5C" w:sz="2"/>
              <w:bottom w:val="single" w:color="1A3A5C" w:sz="2"/>
              <w:right w:val="single" w:color="1A3A5C" w:sz="2"/>
            </w:tcBorders>
            <w:shd w:fill="F0F4FF" w:val="clear"/>
            <w:tcMar>
              <w:top w:type="dxa" w:w="140"/>
              <w:left w:type="dxa" w:w="180"/>
              <w:bottom w:type="dxa" w:w="140"/>
              <w:right w:type="dxa" w:w="160"/>
            </w:tcMar>
          </w:tcPr>
          <w:p>
            <w:pPr>
              <w:spacing w:before="0" w:after="0"/>
            </w:pPr>
            <w:r>
              <w:rPr>
                <w:rFonts w:ascii="Courier New" w:cs="Courier New" w:eastAsia="Courier New" w:hAnsi="Courier New"/>
                <w:i/>
                <w:iCs/>
                <w:color w:val="1A3A5C"/>
                <w:sz w:val="19"/>
                <w:szCs w:val="19"/>
              </w:rPr>
              <w:t xml:space="preserve">Build the Reporting module with role-based data access enforced at query level — not just at route level. Reports: (1) Portfolio Summary (Management, Auditor): total funded amount, total collected, total outstanding, total overdue, portfolio yield annualised, number of invoices by status, top 5 buyers by exposure. (2) Aging Analysis (Credit Officer, Management, Auditor): invoices grouped by days to maturity: Current (31+ days), Watch (8-30 days), Critical (1-7 days), Due Today, Overdue 1-7 days, Overdue 7+ days. (3) Buyer Exposure Report (Credit Officer, Management): each buyer's used_limit, approved_limit, utilisation %, average days to pay historically, number of overdue incidents. (4) Profit Per Invoice (Finance, Management): face_value, discount_amount, bank_interest_cost, net_MMS_profit, profit_margin_pct — per invoice and aggregated. (5) Bank Facility Report (Finance, Management): facility utilisation, interest accrued, upcoming maturities, repayment schedule. (6) Audit Trail Export (Auditor only): all audit_log entries with filters by date range, user, action type — exportable to CSV. Query must use audit_log read-only database role. (7) Regulatory Report (Compliance, MD): summary of AML flags raised, SARs filed, transactions above threshold, KYC approvals and rejections. All reports: data filtered by role at SQL level using row-level security, never filtered in application code after a full-data query.</w:t>
            </w:r>
          </w:p>
        </w:tc>
      </w:tr>
    </w:tbl>
    <w:p>
      <w:pPr>
        <w:spacing w:before="0" w:after="0"/>
      </w:pPr>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600"/>
        <w:gridCol w:w="1400"/>
        <w:gridCol w:w="1300"/>
        <w:gridCol w:w="726"/>
      </w:tblGrid>
      <w:tr>
        <w:tc>
          <w:tcPr>
            <w:tcW w:type="dxa" w:w="1000"/>
            <w:tcBorders>
              <w:top w:val="none" w:color="FFFFFF" w:sz="0"/>
              <w:left w:val="none" w:color="FFFFFF" w:sz="0"/>
              <w:bottom w:val="none" w:color="FFFFFF" w:sz="0"/>
              <w:right w:val="none" w:color="FFFFFF" w:sz="0"/>
            </w:tcBorders>
            <w:shd w:fill="1A3A5C" w:val="clear"/>
            <w:tcMar>
              <w:top w:type="dxa" w:w="140"/>
              <w:left w:type="dxa" w:w="120"/>
              <w:bottom w:type="dxa" w:w="140"/>
              <w:right w:type="dxa" w:w="100"/>
            </w:tcMar>
            <w:vAlign w:val="center"/>
          </w:tcPr>
          <w:p>
            <w:pPr>
              <w:spacing w:before="0" w:after="0"/>
              <w:jc w:val="center"/>
            </w:pPr>
            <w:r>
              <w:rPr>
                <w:rFonts w:ascii="Arial" w:cs="Arial" w:eastAsia="Arial" w:hAnsi="Arial"/>
                <w:b/>
                <w:bCs/>
                <w:color w:val="FFFFFF"/>
                <w:sz w:val="28"/>
                <w:szCs w:val="28"/>
              </w:rPr>
              <w:t xml:space="preserve">P6</w:t>
            </w:r>
          </w:p>
        </w:tc>
        <w:tc>
          <w:tcPr>
            <w:tcW w:type="dxa" w:w="4600"/>
            <w:tcBorders>
              <w:top w:val="none" w:color="FFFFFF" w:sz="0"/>
              <w:left w:val="none" w:color="FFFFFF" w:sz="0"/>
              <w:bottom w:val="none" w:color="FFFFFF" w:sz="0"/>
              <w:right w:val="none" w:color="FFFFFF" w:sz="0"/>
            </w:tcBorders>
            <w:shd w:fill="1D4ED8" w:val="clear"/>
            <w:tcMar>
              <w:top w:type="dxa" w:w="140"/>
              <w:left w:type="dxa" w:w="180"/>
              <w:bottom w:type="dxa" w:w="140"/>
              <w:right w:type="dxa" w:w="120"/>
            </w:tcMar>
            <w:vAlign w:val="center"/>
          </w:tcPr>
          <w:p>
            <w:pPr>
              <w:spacing w:before="0" w:after="0"/>
            </w:pPr>
            <w:r>
              <w:rPr>
                <w:rFonts w:ascii="Arial" w:cs="Arial" w:eastAsia="Arial" w:hAnsi="Arial"/>
                <w:b/>
                <w:bCs/>
                <w:color w:val="FFFFFF"/>
                <w:sz w:val="26"/>
                <w:szCs w:val="26"/>
              </w:rPr>
              <w:t xml:space="preserve">Testing, QA &amp; Performance</w:t>
            </w:r>
          </w:p>
        </w:tc>
        <w:tc>
          <w:tcPr>
            <w:tcW w:type="dxa" w:w="1400"/>
            <w:tcBorders>
              <w:top w:val="none" w:color="FFFFFF" w:sz="0"/>
              <w:left w:val="none" w:color="FFFFFF" w:sz="0"/>
              <w:bottom w:val="none" w:color="FFFFFF" w:sz="0"/>
              <w:right w:val="none" w:color="FFFFFF" w:sz="0"/>
            </w:tcBorders>
            <w:shd w:fill="0F6E56" w:val="clear"/>
            <w:tcMar>
              <w:top w:type="dxa" w:w="140"/>
              <w:left w:type="dxa" w:w="120"/>
              <w:bottom w:type="dxa" w:w="140"/>
              <w:right w:type="dxa" w:w="100"/>
            </w:tcMar>
            <w:vAlign w:val="center"/>
          </w:tcPr>
          <w:p>
            <w:pPr>
              <w:spacing w:before="0" w:after="0"/>
              <w:jc w:val="center"/>
            </w:pPr>
            <w:r>
              <w:rPr>
                <w:rFonts w:ascii="Arial" w:cs="Arial" w:eastAsia="Arial" w:hAnsi="Arial"/>
                <w:color w:val="FFFFFF"/>
                <w:sz w:val="19"/>
                <w:szCs w:val="19"/>
              </w:rPr>
              <w:t xml:space="preserve">Weeks 13–14</w:t>
            </w:r>
          </w:p>
        </w:tc>
        <w:tc>
          <w:tcPr>
            <w:tcW w:type="dxa" w:w="1300"/>
            <w:tcBorders>
              <w:top w:val="none" w:color="FFFFFF" w:sz="0"/>
              <w:left w:val="none" w:color="FFFFFF" w:sz="0"/>
              <w:bottom w:val="none" w:color="FFFFFF" w:sz="0"/>
              <w:right w:val="none" w:color="FFFFFF" w:sz="0"/>
            </w:tcBorders>
            <w:shd w:fill="854F0B" w:val="clear"/>
            <w:tcMar>
              <w:top w:type="dxa" w:w="140"/>
              <w:left w:type="dxa" w:w="100"/>
              <w:bottom w:type="dxa" w:w="140"/>
              <w:right w:type="dxa" w:w="100"/>
            </w:tcMar>
            <w:vAlign w:val="center"/>
          </w:tcPr>
          <w:p>
            <w:pPr>
              <w:spacing w:before="0" w:after="0"/>
              <w:jc w:val="center"/>
            </w:pPr>
            <w:r>
              <w:rPr>
                <w:rFonts w:ascii="Arial" w:cs="Arial" w:eastAsia="Arial" w:hAnsi="Arial"/>
                <w:color w:val="FFFFFF"/>
                <w:sz w:val="17"/>
                <w:szCs w:val="17"/>
              </w:rPr>
              <w:t xml:space="preserve">IEEE 829 / ISO 25010</w:t>
            </w:r>
          </w:p>
        </w:tc>
        <w:tc>
          <w:tcPr>
            <w:tcW w:type="dxa" w:w="726"/>
            <w:tcBorders>
              <w:top w:val="none" w:color="FFFFFF" w:sz="0"/>
              <w:left w:val="none" w:color="FFFFFF" w:sz="0"/>
              <w:bottom w:val="none" w:color="FFFFFF" w:sz="0"/>
              <w:right w:val="none" w:color="FFFFFF" w:sz="0"/>
            </w:tcBorders>
            <w:shd w:fill="991B1B" w:val="clear"/>
            <w:tcMar>
              <w:top w:type="dxa" w:w="140"/>
              <w:left w:type="dxa" w:w="80"/>
              <w:bottom w:type="dxa" w:w="140"/>
              <w:right w:type="dxa" w:w="80"/>
            </w:tcMar>
            <w:vAlign w:val="center"/>
          </w:tcPr>
          <w:p>
            <w:pPr>
              <w:spacing w:before="0" w:after="0"/>
              <w:jc w:val="center"/>
            </w:pPr>
            <w:r>
              <w:rPr>
                <w:rFonts w:ascii="Arial" w:cs="Arial" w:eastAsia="Arial" w:hAnsi="Arial"/>
                <w:b/>
                <w:bCs/>
                <w:color w:val="FFFFFF"/>
                <w:sz w:val="17"/>
                <w:szCs w:val="17"/>
              </w:rPr>
              <w:t xml:space="preserve">HIGH</w:t>
            </w:r>
          </w:p>
        </w:tc>
      </w:tr>
    </w:tbl>
    <w:p>
      <w:pPr>
        <w:spacing w:before="0"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1B1B" w:sz="6"/>
              <w:left w:val="single" w:color="991B1B" w:sz="16"/>
              <w:bottom w:val="single" w:color="991B1B" w:sz="2"/>
              <w:right w:val="single" w:color="991B1B" w:sz="2"/>
            </w:tcBorders>
            <w:shd w:fill="FEF2F2" w:val="clear"/>
            <w:tcMar>
              <w:top w:type="dxa" w:w="120"/>
              <w:left w:type="dxa" w:w="200"/>
              <w:bottom w:type="dxa" w:w="120"/>
              <w:right w:type="dxa" w:w="160"/>
            </w:tcMar>
          </w:tcPr>
          <w:p>
            <w:pPr>
              <w:spacing w:before="0" w:after="0"/>
            </w:pPr>
            <w:r>
              <w:rPr>
                <w:rFonts w:ascii="Arial" w:cs="Arial" w:eastAsia="Arial" w:hAnsi="Arial"/>
                <w:color w:val="991B1B"/>
                <w:sz w:val="21"/>
                <w:szCs w:val="21"/>
              </w:rPr>
              <w:t xml:space="preserve">A financial system that has not been load-tested is an untested financial system. Unit tests verify individual functions. Integration tests verify module interactions. Performance tests verify the system works under real-world load. Penetration testing verifies a skilled attacker cannot compromise it. All four are required before go-live.</w:t>
            </w:r>
          </w:p>
        </w:tc>
      </w:tr>
    </w:tbl>
    <w:p>
      <w:pPr>
        <w:spacing w:before="0" w:after="160"/>
      </w:pPr>
      <w:r>
        <w:t xml:space="preserve"/>
      </w:r>
    </w:p>
    <w:p>
      <w:r>
        <w:rPr>
          <w:b w:val="0"/>
          <w:color w:val="780000"/>
          <w:sz w:val="22"/>
        </w:rPr>
        <w:t>Audit log entries: SETTLEMENT_TRIGGERED, FACILITY_REPAID, PROFIT_BOOKED, SUPPLIER_NOTIFIED, SETTLEMENT_COMPLETE.</w:t>
      </w:r>
    </w:p>
    <w:p>
      <w:r>
        <w:rPr>
          <w:b w:val="0"/>
          <w:sz w:val="22"/>
        </w:rPr>
        <w:t>(7) API endpoints: GET /reports/settlement (Finance, Management — full settlement ledger), GET /reports/settlement/:invoiceId (Finance, Management — single invoice P&amp;L), GET /reports/portfolio-yield (Management — annualised portfolio yield summary). All queries use row-level security — no cross-role data leakage.</w:t>
      </w:r>
    </w:p>
    <w:p>
      <w:r>
        <w:rPr>
          <w:b w:val="0"/>
          <w:sz w:val="22"/>
        </w:rPr>
        <w:t>(6) Audit Trail Closure: write final audit_log entry: SETTLEMENT_COMPLETE with face_value, net_mms_profit, settled_at. This entry formally closes the invoice lifecycle. All 14+ audit entries for the invoice are now complete and the trail is locked.</w:t>
      </w:r>
    </w:p>
    <w:p>
      <w:r>
        <w:rPr>
          <w:b w:val="0"/>
          <w:sz w:val="22"/>
        </w:rPr>
        <w:t>(5) Supplier Settlement Notification: on settlement, send supplier email and SMS: "Your invoice [ref] has been fully collected. Your early payment cycle is complete. Thank you for using MMS." Do not include MMS profit figures in supplier notification.</w:t>
      </w:r>
    </w:p>
    <w:p>
      <w:r>
        <w:rPr>
          <w:b w:val="0"/>
          <w:sz w:val="22"/>
        </w:rPr>
        <w:t>(4) Profit Per Invoice Report (Finance, Management roles): list all settled invoices with full P&amp;L breakdown. Columns: invoice_id, supplier_name, buyer_name, face_value, discount_earned, bank_cost, net_profit, margin_pct, settled_at. Aggregate row at bottom: total portfolio P&amp;L, average margin, annualised yield. Exportable to CSV. SQL must use read-only database role.</w:t>
      </w:r>
    </w:p>
    <w:p>
      <w:r>
        <w:rPr>
          <w:b w:val="0"/>
          <w:sz w:val="22"/>
        </w:rPr>
        <w:t>(3) Sample economics stored per invoice: face_value=100,000,000 UGX, advance_paid=95,000,000 UGX, discount_earned=5,000,000 UGX, bank_interest_cost=1,200,000 UGX, net_mms_profit=3,800,000 UGX, profit_margin_pct=3.8%. Every figure stored individually — never just the net.</w:t>
      </w:r>
    </w:p>
    <w:p>
      <w:r>
        <w:rPr>
          <w:b w:val="0"/>
          <w:sz w:val="22"/>
        </w:rPr>
        <w:t>(2) Settlement Ledger Record: create settlement_ledger table with: invoice_id (FK), face_value, advance_paid_to_supplier, discount_amount_earned, bank_interest_cost (from bank_facility drawdown record), net_mms_profit (discount_amount - bank_interest_cost), profit_margin_pct (net_mms_profit / face_value * 100), settled_at (timestamp), facility_repaid_at (timestamp), supplier_notified_at (timestamp). This record is immutable once created — no UPDATE, no DELETE.</w:t>
      </w:r>
    </w:p>
    <w:p>
      <w:r>
        <w:rPr>
          <w:b w:val="0"/>
          <w:sz w:val="22"/>
        </w:rPr>
        <w:t>(1) Settlement Trigger: when invoice status transitions to COLLECTED (buyer payment received), automatically fire a settlement job via Bull queue. The job: calculates final P&amp;L for the invoice, creates a settlement_ledger record, notifies the supplier, and closes the audit trail.</w:t>
      </w:r>
    </w:p>
    <w:p>
      <w:r>
        <w:rPr>
          <w:b/>
          <w:sz w:val="22"/>
        </w:rPr>
        <w:t>What to build:</w:t>
      </w:r>
    </w:p>
    <w:p>
      <w:r>
        <w:rPr>
          <w:b w:val="0"/>
          <w:sz w:val="22"/>
        </w:rPr>
        <w:t>Add the Settlement Ledger to the Reporting module. The workflow document (Stage 13) defines settlement as a complete closing stage — buyer pays, facility is repaid, profit is booked per invoice, supplier is notified, and the audit trail is formally closed. This was split across Collections and Bank Facilities in the original guide without a dedicated settlement record. Add the following to the Reporting module:</w:t>
      </w:r>
    </w:p>
    <w:p>
      <w:r>
        <w:rPr>
          <w:b/>
          <w:color w:val="000000"/>
          <w:sz w:val="24"/>
        </w:rPr>
        <w:t>PROMPT 5.11b — Settlement Ledger &amp; Profit Booking</w:t>
      </w:r>
    </w:p>
    <w:p>
      <w:r>
        <w:rPr>
          <w:b/>
          <w:color w:val="1F3864"/>
          <w:sz w:val="26"/>
        </w:rPr>
        <w:t>WORKFLOW ALIGNMENT — Gap 4 Added</w:t>
      </w:r>
    </w:p>
    <w:p>
      <w:pPr>
        <w:pStyle w:val="Heading2"/>
        <w:pBdr>
          <w:bottom w:val="single" w:color="D1D5DB" w:sz="4" w:space="4"/>
        </w:pBdr>
        <w:spacing w:before="360" w:after="140"/>
      </w:pPr>
      <w:r>
        <w:rPr>
          <w:rFonts w:ascii="Arial" w:cs="Arial" w:eastAsia="Arial" w:hAnsi="Arial"/>
          <w:b/>
          <w:bCs/>
          <w:color w:val="1A3A5C"/>
          <w:sz w:val="30"/>
          <w:szCs w:val="30"/>
        </w:rPr>
        <w:t xml:space="preserve">Step 6.1 — Unit Testing (80% Coverage Minimum)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5C" w:sz="2"/>
              <w:left w:val="single" w:color="1A3A5C" w:sz="2"/>
              <w:bottom w:val="single" w:color="1A3A5C" w:sz="2"/>
              <w:right w:val="single" w:color="1A3A5C" w:sz="2"/>
            </w:tcBorders>
            <w:shd w:fill="1A3A5C" w:val="clear"/>
            <w:tcMar>
              <w:top w:type="dxa" w:w="100"/>
              <w:left w:type="dxa" w:w="180"/>
              <w:bottom w:type="dxa" w:w="100"/>
              <w:right w:type="dxa" w:w="160"/>
            </w:tcMar>
          </w:tcPr>
          <w:p>
            <w:pPr>
              <w:spacing w:before="0" w:after="0"/>
            </w:pPr>
            <w:r>
              <w:rPr>
                <w:rFonts w:ascii="Arial" w:cs="Arial" w:eastAsia="Arial" w:hAnsi="Arial"/>
                <w:b/>
                <w:bCs/>
                <w:color w:val="FFFFFF"/>
                <w:sz w:val="20"/>
                <w:szCs w:val="20"/>
              </w:rPr>
              <w:t xml:space="preserve">PROMPT 6.1 — Unit Tests</w:t>
            </w:r>
          </w:p>
        </w:tc>
      </w:tr>
      <w:tr>
        <w:tc>
          <w:tcPr>
            <w:tcW w:type="dxa" w:w="9026"/>
            <w:tcBorders>
              <w:top w:val="single" w:color="1A3A5C" w:sz="2"/>
              <w:left w:val="single" w:color="1A3A5C" w:sz="2"/>
              <w:bottom w:val="single" w:color="1A3A5C" w:sz="2"/>
              <w:right w:val="single" w:color="1A3A5C" w:sz="2"/>
            </w:tcBorders>
            <w:shd w:fill="F0F4FF" w:val="clear"/>
            <w:tcMar>
              <w:top w:type="dxa" w:w="140"/>
              <w:left w:type="dxa" w:w="180"/>
              <w:bottom w:type="dxa" w:w="140"/>
              <w:right w:type="dxa" w:w="160"/>
            </w:tcMar>
          </w:tcPr>
          <w:p>
            <w:pPr>
              <w:spacing w:before="0" w:after="0"/>
            </w:pPr>
            <w:r>
              <w:rPr>
                <w:rFonts w:ascii="Courier New" w:cs="Courier New" w:eastAsia="Courier New" w:hAnsi="Courier New"/>
                <w:i/>
                <w:iCs/>
                <w:color w:val="1A3A5C"/>
                <w:sz w:val="19"/>
                <w:szCs w:val="19"/>
              </w:rPr>
              <w:t xml:space="preserve">Write comprehensive unit tests for the MMS Risk Scoring Engine using Jest and TypeScript. All external dependencies (database, external APIs) must be mocked using jest.mock(). Test every scoring factor class individually with: happy path (expected input, expected score), boundary values (exactly at each threshold — e.g. exactly 30 days, exactly 31 days), edge cases (null collateral, first-ever invoice, buyer at exactly 100% utilisation), and invalid inputs (negative values, missing required fields). Test the weighted combination: verify weights sum to exactly 100%, verify final score is always 0-100, verify all 5 factor scores are stored individually in the output. Test all 3 recommendation outputs: score 75 gives AutoApprove, score 74 gives ReferToManager, score 49 gives Reject. Test the pricing formula: verify discount calculation matches the formula for multiple input combinations. Test dual authorisation enforcement: verify PaymentService.execute() throws PaymentError if dual_auth_user_1 is null, if dual_auth_user_2 is null, if both are the same user. Follow AAA (Arrange-Act-Assert) pattern. Target 100% coverage for the Risk Engine and Payment Engine — these two modules have zero tolerance for untested paths.</w:t>
            </w:r>
          </w:p>
        </w:tc>
      </w:tr>
    </w:tbl>
    <w:p>
      <w:pPr>
        <w:spacing w:before="0" w:after="140"/>
      </w:pPr>
      <w:r>
        <w:t xml:space="preserve"/>
      </w:r>
    </w:p>
    <w:p>
      <w:pPr>
        <w:pStyle w:val="Heading2"/>
        <w:pBdr>
          <w:bottom w:val="single" w:color="D1D5DB" w:sz="4" w:space="4"/>
        </w:pBdr>
        <w:spacing w:before="360" w:after="140"/>
      </w:pPr>
      <w:r>
        <w:rPr>
          <w:rFonts w:ascii="Arial" w:cs="Arial" w:eastAsia="Arial" w:hAnsi="Arial"/>
          <w:b/>
          <w:bCs/>
          <w:color w:val="1A3A5C"/>
          <w:sz w:val="30"/>
          <w:szCs w:val="30"/>
        </w:rPr>
        <w:t xml:space="preserve">Step 6.2 — Integration Testing (Full Lifecycle)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5C" w:sz="2"/>
              <w:left w:val="single" w:color="1A3A5C" w:sz="2"/>
              <w:bottom w:val="single" w:color="1A3A5C" w:sz="2"/>
              <w:right w:val="single" w:color="1A3A5C" w:sz="2"/>
            </w:tcBorders>
            <w:shd w:fill="1A3A5C" w:val="clear"/>
            <w:tcMar>
              <w:top w:type="dxa" w:w="100"/>
              <w:left w:type="dxa" w:w="180"/>
              <w:bottom w:type="dxa" w:w="100"/>
              <w:right w:type="dxa" w:w="160"/>
            </w:tcMar>
          </w:tcPr>
          <w:p>
            <w:pPr>
              <w:spacing w:before="0" w:after="0"/>
            </w:pPr>
            <w:r>
              <w:rPr>
                <w:rFonts w:ascii="Arial" w:cs="Arial" w:eastAsia="Arial" w:hAnsi="Arial"/>
                <w:b/>
                <w:bCs/>
                <w:color w:val="FFFFFF"/>
                <w:sz w:val="20"/>
                <w:szCs w:val="20"/>
              </w:rPr>
              <w:t xml:space="preserve">PROMPT 6.2 — Integration Tests</w:t>
            </w:r>
          </w:p>
        </w:tc>
      </w:tr>
      <w:tr>
        <w:tc>
          <w:tcPr>
            <w:tcW w:type="dxa" w:w="9026"/>
            <w:tcBorders>
              <w:top w:val="single" w:color="1A3A5C" w:sz="2"/>
              <w:left w:val="single" w:color="1A3A5C" w:sz="2"/>
              <w:bottom w:val="single" w:color="1A3A5C" w:sz="2"/>
              <w:right w:val="single" w:color="1A3A5C" w:sz="2"/>
            </w:tcBorders>
            <w:shd w:fill="F0F4FF" w:val="clear"/>
            <w:tcMar>
              <w:top w:type="dxa" w:w="140"/>
              <w:left w:type="dxa" w:w="180"/>
              <w:bottom w:type="dxa" w:w="140"/>
              <w:right w:type="dxa" w:w="160"/>
            </w:tcMar>
          </w:tcPr>
          <w:p>
            <w:pPr>
              <w:spacing w:before="0" w:after="0"/>
            </w:pPr>
            <w:r>
              <w:rPr>
                <w:rFonts w:ascii="Courier New" w:cs="Courier New" w:eastAsia="Courier New" w:hAnsi="Courier New"/>
                <w:i/>
                <w:iCs/>
                <w:color w:val="1A3A5C"/>
                <w:sz w:val="19"/>
                <w:szCs w:val="19"/>
              </w:rPr>
              <w:t xml:space="preserve">Write integration tests using Supertest against a real test database (separate from development). Test the complete invoice lifecycle end-to-end in sequence, and all critical failure paths. Success path: supplier registers, submits documents, credit officer approves KYC, supplier submits invoice, all 5 validations pass, buyer confirmation email sent, buyer confirms via token, risk engine scores invoice, auto-approval fires (small invoice, high score), payment instruction created, first finance user authorises, second finance user authorises, payment executes via MockPaymentProvider, supplier receives notification, invoice status = funded, collection reminder sent at T-7, buyer pays, invoice status = collected, buyer used_limit reduced. Failure paths to test: (1) Duplicate invoice rejected with correct error code. (2) Invoice rejected when buyer credit limit would be exceeded. (3) Invoice in submitted status cannot be paid — business rule enforced. (4) Single finance user cannot authorise both dual auth fields. (5) Same finance user authorising twice returns 403. (6) Payment cannot execute without buyer confirmation — database constraint tested directly. (7) Audit log entry created for every state transition — verify count and content. (8) Supplier cannot access another supplier's invoice — returns 403. (9) Unconfirmed buyer token returns 401. (10) Expired buyer token returns 401.</w:t>
            </w:r>
          </w:p>
        </w:tc>
      </w:tr>
    </w:tbl>
    <w:p>
      <w:pPr>
        <w:spacing w:before="0" w:after="140"/>
      </w:pPr>
      <w:r>
        <w:t xml:space="preserve"/>
      </w:r>
    </w:p>
    <w:p>
      <w:pPr>
        <w:pStyle w:val="Heading2"/>
        <w:pBdr>
          <w:bottom w:val="single" w:color="D1D5DB" w:sz="4" w:space="4"/>
        </w:pBdr>
        <w:spacing w:before="360" w:after="140"/>
      </w:pPr>
      <w:r>
        <w:rPr>
          <w:rFonts w:ascii="Arial" w:cs="Arial" w:eastAsia="Arial" w:hAnsi="Arial"/>
          <w:b/>
          <w:bCs/>
          <w:color w:val="1A3A5C"/>
          <w:sz w:val="30"/>
          <w:szCs w:val="30"/>
        </w:rPr>
        <w:t xml:space="preserve">Step 6.3 — Performance &amp; Load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5C" w:sz="2"/>
              <w:left w:val="single" w:color="1A3A5C" w:sz="2"/>
              <w:bottom w:val="single" w:color="1A3A5C" w:sz="2"/>
              <w:right w:val="single" w:color="1A3A5C" w:sz="2"/>
            </w:tcBorders>
            <w:shd w:fill="1A3A5C" w:val="clear"/>
            <w:tcMar>
              <w:top w:type="dxa" w:w="100"/>
              <w:left w:type="dxa" w:w="180"/>
              <w:bottom w:type="dxa" w:w="100"/>
              <w:right w:type="dxa" w:w="160"/>
            </w:tcMar>
          </w:tcPr>
          <w:p>
            <w:pPr>
              <w:spacing w:before="0" w:after="0"/>
            </w:pPr>
            <w:r>
              <w:rPr>
                <w:rFonts w:ascii="Arial" w:cs="Arial" w:eastAsia="Arial" w:hAnsi="Arial"/>
                <w:b/>
                <w:bCs/>
                <w:color w:val="FFFFFF"/>
                <w:sz w:val="20"/>
                <w:szCs w:val="20"/>
              </w:rPr>
              <w:t xml:space="preserve">PROMPT 6.3 — Performance Testing</w:t>
            </w:r>
          </w:p>
        </w:tc>
      </w:tr>
      <w:tr>
        <w:tc>
          <w:tcPr>
            <w:tcW w:type="dxa" w:w="9026"/>
            <w:tcBorders>
              <w:top w:val="single" w:color="1A3A5C" w:sz="2"/>
              <w:left w:val="single" w:color="1A3A5C" w:sz="2"/>
              <w:bottom w:val="single" w:color="1A3A5C" w:sz="2"/>
              <w:right w:val="single" w:color="1A3A5C" w:sz="2"/>
            </w:tcBorders>
            <w:shd w:fill="F0F4FF" w:val="clear"/>
            <w:tcMar>
              <w:top w:type="dxa" w:w="140"/>
              <w:left w:type="dxa" w:w="180"/>
              <w:bottom w:type="dxa" w:w="140"/>
              <w:right w:type="dxa" w:w="160"/>
            </w:tcMar>
          </w:tcPr>
          <w:p>
            <w:pPr>
              <w:spacing w:before="0" w:after="0"/>
            </w:pPr>
            <w:r>
              <w:rPr>
                <w:rFonts w:ascii="Courier New" w:cs="Courier New" w:eastAsia="Courier New" w:hAnsi="Courier New"/>
                <w:i/>
                <w:iCs/>
                <w:color w:val="1A3A5C"/>
                <w:sz w:val="19"/>
                <w:szCs w:val="19"/>
              </w:rPr>
              <w:t xml:space="preserve">Design and write a performance test plan for MMS using k6 (free open source load testing tool). Test scenarios: (1) Invoice Submission Load: 50 concurrent suppliers submitting invoices simultaneously — verify all 5 validations complete and API responds within 2 seconds at 95th percentile. (2) Risk Scoring Engine throughput: 100 risk scoring jobs queued simultaneously via Bull — verify all complete within 30 seconds, no jobs lost, all factor scores stored correctly. (3) Payment Authorisation concurrency: 10 concurrent authorisation requests — verify no race conditions in dual auth logic (no two users can be assigned as dual_auth_user_1 simultaneously). (4) Reporting query performance: management dashboard loaded by 20 concurrent users — verify response within 5 seconds. (5) Audit log write performance: 1,000 concurrent API requests — verify audit log keeps up with no dropped entries. Write the k6 test scripts for each scenario. Define pass/fail thresholds. Specify which scenarios require a separate performance environment (not production database).</w:t>
            </w:r>
          </w:p>
        </w:tc>
      </w:tr>
    </w:tbl>
    <w:p>
      <w:pPr>
        <w:spacing w:before="0" w:after="140"/>
      </w:pPr>
      <w:r>
        <w:t xml:space="preserve"/>
      </w:r>
    </w:p>
    <w:p>
      <w:pPr>
        <w:pStyle w:val="Heading2"/>
        <w:pBdr>
          <w:bottom w:val="single" w:color="D1D5DB" w:sz="4" w:space="4"/>
        </w:pBdr>
        <w:spacing w:before="360" w:after="140"/>
      </w:pPr>
      <w:r>
        <w:rPr>
          <w:rFonts w:ascii="Arial" w:cs="Arial" w:eastAsia="Arial" w:hAnsi="Arial"/>
          <w:b/>
          <w:bCs/>
          <w:color w:val="1A3A5C"/>
          <w:sz w:val="30"/>
          <w:szCs w:val="30"/>
        </w:rPr>
        <w:t xml:space="preserve">Step 6.4 — Penetration Testing (External, Not Self-Review)</w:t>
      </w:r>
    </w:p>
    <w:p>
      <w:pPr>
        <w:spacing w:before="60" w:after="100"/>
        <w:jc w:val="left"/>
      </w:pPr>
      <w:r>
        <w:rPr>
          <w:rFonts w:ascii="Arial" w:cs="Arial" w:eastAsia="Arial" w:hAnsi="Arial"/>
          <w:b w:val="false"/>
          <w:bCs w:val="false"/>
          <w:i w:val="false"/>
          <w:iCs w:val="false"/>
          <w:color w:val="374151"/>
          <w:sz w:val="22"/>
          <w:szCs w:val="22"/>
        </w:rPr>
        <w:t xml:space="preserve">Self-administered OWASP checklists are necessary but not sufficient for a financial system. A professional penetration test by an external security firm is required before handling real client money. This is what banks and regulators will ask for.</w:t>
      </w:r>
    </w:p>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600"/>
        <w:gridCol w:w="1826"/>
      </w:tblGrid>
      <w:tr>
        <w:tc>
          <w:tcPr>
            <w:tcW w:type="dxa" w:w="22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Test type</w:t>
            </w:r>
          </w:p>
        </w:tc>
        <w:tc>
          <w:tcPr>
            <w:tcW w:type="dxa" w:w="24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Who performs it</w:t>
            </w:r>
          </w:p>
        </w:tc>
        <w:tc>
          <w:tcPr>
            <w:tcW w:type="dxa" w:w="26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What they test</w:t>
            </w:r>
          </w:p>
        </w:tc>
        <w:tc>
          <w:tcPr>
            <w:tcW w:type="dxa" w:w="1826"/>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When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OWASP ZAP automated scan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Developer (you)</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Common web vulnerabilities, insecure headers, injection points</w:t>
            </w:r>
          </w:p>
        </w:tc>
        <w:tc>
          <w:tcPr>
            <w:tcW w:type="dxa" w:w="18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After every module is built</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Internal security review</w:t>
            </w:r>
          </w:p>
        </w:tc>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Using Claude Desktop security prompt</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Code-level security analysis per module</w:t>
            </w:r>
          </w:p>
        </w:tc>
        <w:tc>
          <w:tcPr>
            <w:tcW w:type="dxa" w:w="18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After every module is built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External penetration test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Hired security firm (CISA, CEH certified)</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Full attack simulation — attempts to breach the system</w:t>
            </w:r>
          </w:p>
        </w:tc>
        <w:tc>
          <w:tcPr>
            <w:tcW w:type="dxa" w:w="18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Before pilot launch</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Social engineering test</w:t>
            </w:r>
          </w:p>
        </w:tc>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Security firm</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Phishing simulation against MMS staff</w:t>
            </w:r>
          </w:p>
        </w:tc>
        <w:tc>
          <w:tcPr>
            <w:tcW w:type="dxa" w:w="18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Before pilot launch</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Third-party audit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Independent auditor</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Controls, processes, documentation</w:t>
            </w:r>
          </w:p>
        </w:tc>
        <w:tc>
          <w:tcPr>
            <w:tcW w:type="dxa" w:w="18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Before full public launch</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5C" w:sz="2"/>
              <w:left w:val="single" w:color="1A3A5C" w:sz="2"/>
              <w:bottom w:val="single" w:color="1A3A5C" w:sz="2"/>
              <w:right w:val="single" w:color="1A3A5C" w:sz="2"/>
            </w:tcBorders>
            <w:shd w:fill="1A3A5C" w:val="clear"/>
            <w:tcMar>
              <w:top w:type="dxa" w:w="100"/>
              <w:left w:type="dxa" w:w="180"/>
              <w:bottom w:type="dxa" w:w="100"/>
              <w:right w:type="dxa" w:w="160"/>
            </w:tcMar>
          </w:tcPr>
          <w:p>
            <w:pPr>
              <w:spacing w:before="0" w:after="0"/>
            </w:pPr>
            <w:r>
              <w:rPr>
                <w:rFonts w:ascii="Arial" w:cs="Arial" w:eastAsia="Arial" w:hAnsi="Arial"/>
                <w:b/>
                <w:bCs/>
                <w:color w:val="FFFFFF"/>
                <w:sz w:val="20"/>
                <w:szCs w:val="20"/>
              </w:rPr>
              <w:t xml:space="preserve">OWASP ZAP SCAN — Run this after every module is complete</w:t>
            </w:r>
          </w:p>
        </w:tc>
      </w:tr>
      <w:tr>
        <w:tc>
          <w:tcPr>
            <w:tcW w:type="dxa" w:w="9026"/>
            <w:tcBorders>
              <w:top w:val="single" w:color="1A3A5C" w:sz="2"/>
              <w:left w:val="single" w:color="1A3A5C" w:sz="2"/>
              <w:bottom w:val="single" w:color="1A3A5C" w:sz="2"/>
              <w:right w:val="single" w:color="1A3A5C" w:sz="2"/>
            </w:tcBorders>
            <w:shd w:fill="F0F4FF" w:val="clear"/>
            <w:tcMar>
              <w:top w:type="dxa" w:w="140"/>
              <w:left w:type="dxa" w:w="180"/>
              <w:bottom w:type="dxa" w:w="140"/>
              <w:right w:type="dxa" w:w="160"/>
            </w:tcMar>
          </w:tcPr>
          <w:p>
            <w:pPr>
              <w:spacing w:before="0" w:after="0"/>
            </w:pPr>
            <w:r>
              <w:rPr>
                <w:rFonts w:ascii="Courier New" w:cs="Courier New" w:eastAsia="Courier New" w:hAnsi="Courier New"/>
                <w:i/>
                <w:iCs/>
                <w:color w:val="1A3A5C"/>
                <w:sz w:val="19"/>
                <w:szCs w:val="19"/>
              </w:rPr>
              <w:t xml:space="preserve">I have completed the [MODULE NAME] module. Help me run an OWASP ZAP security scan against it. Provide: (1) The ZAP Spider command to map all endpoints in this module. (2) The ZAP Active Scan command targeting the module endpoints. (3) How to interpret the ZAP HTML report — what constitutes a blocking finding (High risk) vs non-blocking (Medium/Low). (4) For any High risk findings ZAP reports, the exact code change needed to fix it in our TypeScript/Express codebase. (5) A checklist of manual tests ZAP cannot detect that I should verify manually for this specific module.</w:t>
            </w:r>
          </w:p>
        </w:tc>
      </w:tr>
    </w:tbl>
    <w:p>
      <w:pPr>
        <w:spacing w:before="0" w:after="0"/>
      </w:pPr>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600"/>
        <w:gridCol w:w="1400"/>
        <w:gridCol w:w="1300"/>
        <w:gridCol w:w="726"/>
      </w:tblGrid>
      <w:tr>
        <w:tc>
          <w:tcPr>
            <w:tcW w:type="dxa" w:w="1000"/>
            <w:tcBorders>
              <w:top w:val="none" w:color="FFFFFF" w:sz="0"/>
              <w:left w:val="none" w:color="FFFFFF" w:sz="0"/>
              <w:bottom w:val="none" w:color="FFFFFF" w:sz="0"/>
              <w:right w:val="none" w:color="FFFFFF" w:sz="0"/>
            </w:tcBorders>
            <w:shd w:fill="1A3A5C" w:val="clear"/>
            <w:tcMar>
              <w:top w:type="dxa" w:w="140"/>
              <w:left w:type="dxa" w:w="120"/>
              <w:bottom w:type="dxa" w:w="140"/>
              <w:right w:type="dxa" w:w="100"/>
            </w:tcMar>
            <w:vAlign w:val="center"/>
          </w:tcPr>
          <w:p>
            <w:pPr>
              <w:spacing w:before="0" w:after="0"/>
              <w:jc w:val="center"/>
            </w:pPr>
            <w:r>
              <w:rPr>
                <w:rFonts w:ascii="Arial" w:cs="Arial" w:eastAsia="Arial" w:hAnsi="Arial"/>
                <w:b/>
                <w:bCs/>
                <w:color w:val="FFFFFF"/>
                <w:sz w:val="28"/>
                <w:szCs w:val="28"/>
              </w:rPr>
              <w:t xml:space="preserve">P7</w:t>
            </w:r>
          </w:p>
        </w:tc>
        <w:tc>
          <w:tcPr>
            <w:tcW w:type="dxa" w:w="4600"/>
            <w:tcBorders>
              <w:top w:val="none" w:color="FFFFFF" w:sz="0"/>
              <w:left w:val="none" w:color="FFFFFF" w:sz="0"/>
              <w:bottom w:val="none" w:color="FFFFFF" w:sz="0"/>
              <w:right w:val="none" w:color="FFFFFF" w:sz="0"/>
            </w:tcBorders>
            <w:shd w:fill="1D4ED8" w:val="clear"/>
            <w:tcMar>
              <w:top w:type="dxa" w:w="140"/>
              <w:left w:type="dxa" w:w="180"/>
              <w:bottom w:type="dxa" w:w="140"/>
              <w:right w:type="dxa" w:w="120"/>
            </w:tcMar>
            <w:vAlign w:val="center"/>
          </w:tcPr>
          <w:p>
            <w:pPr>
              <w:spacing w:before="0" w:after="0"/>
            </w:pPr>
            <w:r>
              <w:rPr>
                <w:rFonts w:ascii="Arial" w:cs="Arial" w:eastAsia="Arial" w:hAnsi="Arial"/>
                <w:b/>
                <w:bCs/>
                <w:color w:val="FFFFFF"/>
                <w:sz w:val="26"/>
                <w:szCs w:val="26"/>
              </w:rPr>
              <w:t xml:space="preserve">Formal Security Audit &amp; Compliance Certification</w:t>
            </w:r>
          </w:p>
        </w:tc>
        <w:tc>
          <w:tcPr>
            <w:tcW w:type="dxa" w:w="1400"/>
            <w:tcBorders>
              <w:top w:val="none" w:color="FFFFFF" w:sz="0"/>
              <w:left w:val="none" w:color="FFFFFF" w:sz="0"/>
              <w:bottom w:val="none" w:color="FFFFFF" w:sz="0"/>
              <w:right w:val="none" w:color="FFFFFF" w:sz="0"/>
            </w:tcBorders>
            <w:shd w:fill="0F6E56" w:val="clear"/>
            <w:tcMar>
              <w:top w:type="dxa" w:w="140"/>
              <w:left w:type="dxa" w:w="120"/>
              <w:bottom w:type="dxa" w:w="140"/>
              <w:right w:type="dxa" w:w="100"/>
            </w:tcMar>
            <w:vAlign w:val="center"/>
          </w:tcPr>
          <w:p>
            <w:pPr>
              <w:spacing w:before="0" w:after="0"/>
              <w:jc w:val="center"/>
            </w:pPr>
            <w:r>
              <w:rPr>
                <w:rFonts w:ascii="Arial" w:cs="Arial" w:eastAsia="Arial" w:hAnsi="Arial"/>
                <w:color w:val="FFFFFF"/>
                <w:sz w:val="19"/>
                <w:szCs w:val="19"/>
              </w:rPr>
              <w:t xml:space="preserve">Week 14</w:t>
            </w:r>
          </w:p>
        </w:tc>
        <w:tc>
          <w:tcPr>
            <w:tcW w:type="dxa" w:w="1300"/>
            <w:tcBorders>
              <w:top w:val="none" w:color="FFFFFF" w:sz="0"/>
              <w:left w:val="none" w:color="FFFFFF" w:sz="0"/>
              <w:bottom w:val="none" w:color="FFFFFF" w:sz="0"/>
              <w:right w:val="none" w:color="FFFFFF" w:sz="0"/>
            </w:tcBorders>
            <w:shd w:fill="854F0B" w:val="clear"/>
            <w:tcMar>
              <w:top w:type="dxa" w:w="140"/>
              <w:left w:type="dxa" w:w="100"/>
              <w:bottom w:type="dxa" w:w="140"/>
              <w:right w:type="dxa" w:w="100"/>
            </w:tcMar>
            <w:vAlign w:val="center"/>
          </w:tcPr>
          <w:p>
            <w:pPr>
              <w:spacing w:before="0" w:after="0"/>
              <w:jc w:val="center"/>
            </w:pPr>
            <w:r>
              <w:rPr>
                <w:rFonts w:ascii="Arial" w:cs="Arial" w:eastAsia="Arial" w:hAnsi="Arial"/>
                <w:color w:val="FFFFFF"/>
                <w:sz w:val="17"/>
                <w:szCs w:val="17"/>
              </w:rPr>
              <w:t xml:space="preserve">OWASP / ISO 27001 / AML</w:t>
            </w:r>
          </w:p>
        </w:tc>
        <w:tc>
          <w:tcPr>
            <w:tcW w:type="dxa" w:w="726"/>
            <w:tcBorders>
              <w:top w:val="none" w:color="FFFFFF" w:sz="0"/>
              <w:left w:val="none" w:color="FFFFFF" w:sz="0"/>
              <w:bottom w:val="none" w:color="FFFFFF" w:sz="0"/>
              <w:right w:val="none" w:color="FFFFFF" w:sz="0"/>
            </w:tcBorders>
            <w:shd w:fill="9A3412" w:val="clear"/>
            <w:tcMar>
              <w:top w:type="dxa" w:w="140"/>
              <w:left w:type="dxa" w:w="80"/>
              <w:bottom w:type="dxa" w:w="140"/>
              <w:right w:type="dxa" w:w="80"/>
            </w:tcMar>
            <w:vAlign w:val="center"/>
          </w:tcPr>
          <w:p>
            <w:pPr>
              <w:spacing w:before="0" w:after="0"/>
              <w:jc w:val="center"/>
            </w:pPr>
            <w:r>
              <w:rPr>
                <w:rFonts w:ascii="Arial" w:cs="Arial" w:eastAsia="Arial" w:hAnsi="Arial"/>
                <w:b/>
                <w:bCs/>
                <w:color w:val="FFFFFF"/>
                <w:sz w:val="17"/>
                <w:szCs w:val="17"/>
              </w:rPr>
              <w:t xml:space="preserve">CRITICAL</w:t>
            </w:r>
          </w:p>
        </w:tc>
      </w:tr>
    </w:tbl>
    <w:p>
      <w:pPr>
        <w:spacing w:before="0"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1B1B" w:sz="6"/>
              <w:left w:val="single" w:color="991B1B" w:sz="16"/>
              <w:bottom w:val="single" w:color="991B1B" w:sz="2"/>
              <w:right w:val="single" w:color="991B1B" w:sz="2"/>
            </w:tcBorders>
            <w:shd w:fill="FEF2F2" w:val="clear"/>
            <w:tcMar>
              <w:top w:type="dxa" w:w="120"/>
              <w:left w:type="dxa" w:w="200"/>
              <w:bottom w:type="dxa" w:w="120"/>
              <w:right w:type="dxa" w:w="160"/>
            </w:tcMar>
          </w:tcPr>
          <w:p>
            <w:pPr>
              <w:spacing w:before="0" w:after="0"/>
            </w:pPr>
            <w:r>
              <w:rPr>
                <w:rFonts w:ascii="Arial" w:cs="Arial" w:eastAsia="Arial" w:hAnsi="Arial"/>
                <w:color w:val="991B1B"/>
                <w:sz w:val="21"/>
                <w:szCs w:val="21"/>
              </w:rPr>
              <w:t xml:space="preserve">This phase is a formal audit, not a development sprint. It produces signed, dated documents that can be presented to Bank of Uganda, to your banking partners, and to large corporate buyers who conduct vendor due diligence before using MMS.</w:t>
            </w:r>
          </w:p>
        </w:tc>
      </w:tr>
    </w:tbl>
    <w:p>
      <w:pPr>
        <w:spacing w:before="0" w:after="160"/>
      </w:pPr>
      <w:r>
        <w:t xml:space="preserve"/>
      </w:r>
    </w:p>
    <w:p>
      <w:pPr>
        <w:pStyle w:val="Heading2"/>
        <w:pBdr>
          <w:bottom w:val="single" w:color="D1D5DB" w:sz="4" w:space="4"/>
        </w:pBdr>
        <w:spacing w:before="360" w:after="140"/>
      </w:pPr>
      <w:r>
        <w:rPr>
          <w:rFonts w:ascii="Arial" w:cs="Arial" w:eastAsia="Arial" w:hAnsi="Arial"/>
          <w:b/>
          <w:bCs/>
          <w:color w:val="1A3A5C"/>
          <w:sz w:val="30"/>
          <w:szCs w:val="30"/>
        </w:rPr>
        <w:t xml:space="preserve">Step 7.1 — OWASP Top 10 Final Audit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5C" w:sz="2"/>
              <w:left w:val="single" w:color="1A3A5C" w:sz="2"/>
              <w:bottom w:val="single" w:color="1A3A5C" w:sz="2"/>
              <w:right w:val="single" w:color="1A3A5C" w:sz="2"/>
            </w:tcBorders>
            <w:shd w:fill="1A3A5C" w:val="clear"/>
            <w:tcMar>
              <w:top w:type="dxa" w:w="100"/>
              <w:left w:type="dxa" w:w="180"/>
              <w:bottom w:type="dxa" w:w="100"/>
              <w:right w:type="dxa" w:w="160"/>
            </w:tcMar>
          </w:tcPr>
          <w:p>
            <w:pPr>
              <w:spacing w:before="0" w:after="0"/>
            </w:pPr>
            <w:r>
              <w:rPr>
                <w:rFonts w:ascii="Arial" w:cs="Arial" w:eastAsia="Arial" w:hAnsi="Arial"/>
                <w:b/>
                <w:bCs/>
                <w:color w:val="FFFFFF"/>
                <w:sz w:val="20"/>
                <w:szCs w:val="20"/>
              </w:rPr>
              <w:t xml:space="preserve">PROMPT 7.1 — Final OWASP Audit</w:t>
            </w:r>
          </w:p>
        </w:tc>
      </w:tr>
      <w:tr>
        <w:tc>
          <w:tcPr>
            <w:tcW w:type="dxa" w:w="9026"/>
            <w:tcBorders>
              <w:top w:val="single" w:color="1A3A5C" w:sz="2"/>
              <w:left w:val="single" w:color="1A3A5C" w:sz="2"/>
              <w:bottom w:val="single" w:color="1A3A5C" w:sz="2"/>
              <w:right w:val="single" w:color="1A3A5C" w:sz="2"/>
            </w:tcBorders>
            <w:shd w:fill="F0F4FF" w:val="clear"/>
            <w:tcMar>
              <w:top w:type="dxa" w:w="140"/>
              <w:left w:type="dxa" w:w="180"/>
              <w:bottom w:type="dxa" w:w="140"/>
              <w:right w:type="dxa" w:w="160"/>
            </w:tcMar>
          </w:tcPr>
          <w:p>
            <w:pPr>
              <w:spacing w:before="0" w:after="0"/>
            </w:pPr>
            <w:r>
              <w:rPr>
                <w:rFonts w:ascii="Courier New" w:cs="Courier New" w:eastAsia="Courier New" w:hAnsi="Courier New"/>
                <w:i/>
                <w:iCs/>
                <w:color w:val="1A3A5C"/>
                <w:sz w:val="19"/>
                <w:szCs w:val="19"/>
              </w:rPr>
              <w:t xml:space="preserve">Conduct a final comprehensive OWASP Top 10 (2021) security audit of the complete MMS codebase. For each of the 10 categories, review every module and produce a formal finding: A01 Broken Access Control — test that suppliers, buyers, credit officers, finance managers, and auditors can only access data their role permits. Specifically: can a supplier's JWT be used to access another supplier's invoices? Can a supplier JWT access any admin endpoint? A02 Cryptographic Failures — verify AES-256-GCM is used for all document storage, all PII fields. Verify TLS 1.3 is enforced. Verify no secrets in environment variables are logged. Verify JWT secret is minimum 256 bits. A03 Injection — review every repository file. Confirm zero raw string SQL. Test parameterisation by attempting a SQL injection through the invoice submission endpoint. A05 Security Misconfiguration — verify Helmet headers in production config, verify CORS whitelist, verify database user has minimum required permissions (not superuser). A07 Auth Failures — verify rate limiting on login, verify account lockout, verify 2FA is enforced for finance roles, verify refresh token rotation. A09 Logging and Monitoring — verify audit_log captures all required events, verify no PII in application logs, verify monitoring alerts are configured and fire on test event. Produce a signed security audit report with finding status: PASS, FAIL, or MITIGATED.</w:t>
            </w:r>
          </w:p>
        </w:tc>
      </w:tr>
    </w:tbl>
    <w:p>
      <w:pPr>
        <w:spacing w:before="0" w:after="140"/>
      </w:pPr>
      <w:r>
        <w:t xml:space="preserve"/>
      </w:r>
    </w:p>
    <w:p>
      <w:pPr>
        <w:pStyle w:val="Heading2"/>
        <w:pBdr>
          <w:bottom w:val="single" w:color="D1D5DB" w:sz="4" w:space="4"/>
        </w:pBdr>
        <w:spacing w:before="360" w:after="140"/>
      </w:pPr>
      <w:r>
        <w:rPr>
          <w:rFonts w:ascii="Arial" w:cs="Arial" w:eastAsia="Arial" w:hAnsi="Arial"/>
          <w:b/>
          <w:bCs/>
          <w:color w:val="1A3A5C"/>
          <w:sz w:val="30"/>
          <w:szCs w:val="30"/>
        </w:rPr>
        <w:t xml:space="preserve">Step 7.2 — AML/KYC Compliance Certification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5C" w:sz="2"/>
              <w:left w:val="single" w:color="1A3A5C" w:sz="2"/>
              <w:bottom w:val="single" w:color="1A3A5C" w:sz="2"/>
              <w:right w:val="single" w:color="1A3A5C" w:sz="2"/>
            </w:tcBorders>
            <w:shd w:fill="1A3A5C" w:val="clear"/>
            <w:tcMar>
              <w:top w:type="dxa" w:w="100"/>
              <w:left w:type="dxa" w:w="180"/>
              <w:bottom w:type="dxa" w:w="100"/>
              <w:right w:type="dxa" w:w="160"/>
            </w:tcMar>
          </w:tcPr>
          <w:p>
            <w:pPr>
              <w:spacing w:before="0" w:after="0"/>
            </w:pPr>
            <w:r>
              <w:rPr>
                <w:rFonts w:ascii="Arial" w:cs="Arial" w:eastAsia="Arial" w:hAnsi="Arial"/>
                <w:b/>
                <w:bCs/>
                <w:color w:val="FFFFFF"/>
                <w:sz w:val="20"/>
                <w:szCs w:val="20"/>
              </w:rPr>
              <w:t xml:space="preserve">PROMPT 7.2 — AML Compliance Audit</w:t>
            </w:r>
          </w:p>
        </w:tc>
      </w:tr>
      <w:tr>
        <w:tc>
          <w:tcPr>
            <w:tcW w:type="dxa" w:w="9026"/>
            <w:tcBorders>
              <w:top w:val="single" w:color="1A3A5C" w:sz="2"/>
              <w:left w:val="single" w:color="1A3A5C" w:sz="2"/>
              <w:bottom w:val="single" w:color="1A3A5C" w:sz="2"/>
              <w:right w:val="single" w:color="1A3A5C" w:sz="2"/>
            </w:tcBorders>
            <w:shd w:fill="F0F4FF" w:val="clear"/>
            <w:tcMar>
              <w:top w:type="dxa" w:w="140"/>
              <w:left w:type="dxa" w:w="180"/>
              <w:bottom w:type="dxa" w:w="140"/>
              <w:right w:type="dxa" w:w="160"/>
            </w:tcMar>
          </w:tcPr>
          <w:p>
            <w:pPr>
              <w:spacing w:before="0" w:after="0"/>
            </w:pPr>
            <w:r>
              <w:rPr>
                <w:rFonts w:ascii="Courier New" w:cs="Courier New" w:eastAsia="Courier New" w:hAnsi="Courier New"/>
                <w:i/>
                <w:iCs/>
                <w:color w:val="1A3A5C"/>
                <w:sz w:val="19"/>
                <w:szCs w:val="19"/>
              </w:rPr>
              <w:t xml:space="preserve">Produce a formal AML/KYC Compliance Verification document for MMS against Uganda's Financial Intelligence Authority requirements and FATF recommendations. Verify and document: Customer Due Diligence (CDD) — is the supplier identity verified before any funding? Are company registration documents validated? Are directors' identities verified? Enhanced Due Diligence (EDD) — for higher-risk transactions (above 100M UGX or politically exposed persons), is enhanced verification applied? Transaction Monitoring — does the system flag transactions above reporting thresholds? Are patterns of unusual activity detected (e.g. supplier submitting 5 invoices in one day)? Sanctions Screening — is every supplier and buyer screened against a sanctions list before onboarding? Is screening repeated periodically or only at onboarding? SAR Process — when a flag is raised, is there a documented process for the compliance officer to review and file a Suspicious Activity Report with FIA? Record Keeping — are all KYC documents, transaction records, and SAR filings retained for minimum 7 years? Are they accessible for regulatory inspection within 48 hours? Produce a compliance matrix: Requirement | Status (Met/Partially Met/Not Met) | Evidence | Remediation if needed.</w:t>
            </w:r>
          </w:p>
        </w:tc>
      </w:tr>
    </w:tbl>
    <w:p>
      <w:pPr>
        <w:spacing w:before="0" w:after="160"/>
      </w:pPr>
      <w:r>
        <w:t xml:space="preserve"/>
      </w:r>
    </w:p>
    <w:p>
      <w:pPr>
        <w:pStyle w:val="Heading2"/>
        <w:pBdr>
          <w:bottom w:val="single" w:color="D1D5DB" w:sz="4" w:space="4"/>
        </w:pBdr>
        <w:spacing w:before="360" w:after="140"/>
      </w:pPr>
      <w:r>
        <w:rPr>
          <w:rFonts w:ascii="Arial" w:cs="Arial" w:eastAsia="Arial" w:hAnsi="Arial"/>
          <w:b/>
          <w:bCs/>
          <w:color w:val="1A3A5C"/>
          <w:sz w:val="30"/>
          <w:szCs w:val="30"/>
        </w:rPr>
        <w:t xml:space="preserve">Step 7.3 — Data Protection Compliance (Uganda PDPA 2019)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5C" w:sz="2"/>
              <w:left w:val="single" w:color="1A3A5C" w:sz="2"/>
              <w:bottom w:val="single" w:color="1A3A5C" w:sz="2"/>
              <w:right w:val="single" w:color="1A3A5C" w:sz="2"/>
            </w:tcBorders>
            <w:shd w:fill="1A3A5C" w:val="clear"/>
            <w:tcMar>
              <w:top w:type="dxa" w:w="100"/>
              <w:left w:type="dxa" w:w="180"/>
              <w:bottom w:type="dxa" w:w="100"/>
              <w:right w:type="dxa" w:w="160"/>
            </w:tcMar>
          </w:tcPr>
          <w:p>
            <w:pPr>
              <w:spacing w:before="0" w:after="0"/>
            </w:pPr>
            <w:r>
              <w:rPr>
                <w:rFonts w:ascii="Arial" w:cs="Arial" w:eastAsia="Arial" w:hAnsi="Arial"/>
                <w:b/>
                <w:bCs/>
                <w:color w:val="FFFFFF"/>
                <w:sz w:val="20"/>
                <w:szCs w:val="20"/>
              </w:rPr>
              <w:t xml:space="preserve">PROMPT 7.3 — Data Protection Compliance</w:t>
            </w:r>
          </w:p>
        </w:tc>
      </w:tr>
      <w:tr>
        <w:tc>
          <w:tcPr>
            <w:tcW w:type="dxa" w:w="9026"/>
            <w:tcBorders>
              <w:top w:val="single" w:color="1A3A5C" w:sz="2"/>
              <w:left w:val="single" w:color="1A3A5C" w:sz="2"/>
              <w:bottom w:val="single" w:color="1A3A5C" w:sz="2"/>
              <w:right w:val="single" w:color="1A3A5C" w:sz="2"/>
            </w:tcBorders>
            <w:shd w:fill="F0F4FF" w:val="clear"/>
            <w:tcMar>
              <w:top w:type="dxa" w:w="140"/>
              <w:left w:type="dxa" w:w="180"/>
              <w:bottom w:type="dxa" w:w="140"/>
              <w:right w:type="dxa" w:w="160"/>
            </w:tcMar>
          </w:tcPr>
          <w:p>
            <w:pPr>
              <w:spacing w:before="0" w:after="0"/>
            </w:pPr>
            <w:r>
              <w:rPr>
                <w:rFonts w:ascii="Courier New" w:cs="Courier New" w:eastAsia="Courier New" w:hAnsi="Courier New"/>
                <w:i/>
                <w:iCs/>
                <w:color w:val="1A3A5C"/>
                <w:sz w:val="19"/>
                <w:szCs w:val="19"/>
              </w:rPr>
              <w:t xml:space="preserve">Audit MMS compliance with Uganda's Data Protection and Privacy Act 2019. Produce a formal compliance document covering: Lawful basis for processing — what is the legal basis for processing supplier personal data (contract performance), buyer data (legitimate interest), staff data (employment contract)? Data minimisation — does MMS collect only data necessary for its purpose? Privacy notice — is there a clear privacy notice presented to suppliers and buyers before data collection? Data subject rights implementation — can a supplier request their data (access right), correct it (rectification right), or request deletion where legally permitted? Note: financial records cannot be deleted for 7 years — this must be explained in the privacy notice. Data breach response — is there a documented process to notify the Personal Data Protection Office within 72 hours of a breach? Third-party processors — are MTN MoMo, Airtel, SendGrid, and Africa's Talking covered by data processing agreements? Cross-border transfers — if any data is stored outside Uganda (e.g. cloud servers), is there an adequacy decision or appropriate safeguards? Produce compliance matrix with evidence references.</w:t>
            </w:r>
          </w:p>
        </w:tc>
      </w:tr>
    </w:tbl>
    <w:p>
      <w:pPr>
        <w:spacing w:before="0" w:after="0"/>
      </w:pPr>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600"/>
        <w:gridCol w:w="1400"/>
        <w:gridCol w:w="1300"/>
        <w:gridCol w:w="726"/>
      </w:tblGrid>
      <w:tr>
        <w:tc>
          <w:tcPr>
            <w:tcW w:type="dxa" w:w="1000"/>
            <w:tcBorders>
              <w:top w:val="none" w:color="FFFFFF" w:sz="0"/>
              <w:left w:val="none" w:color="FFFFFF" w:sz="0"/>
              <w:bottom w:val="none" w:color="FFFFFF" w:sz="0"/>
              <w:right w:val="none" w:color="FFFFFF" w:sz="0"/>
            </w:tcBorders>
            <w:shd w:fill="1A3A5C" w:val="clear"/>
            <w:tcMar>
              <w:top w:type="dxa" w:w="140"/>
              <w:left w:type="dxa" w:w="120"/>
              <w:bottom w:type="dxa" w:w="140"/>
              <w:right w:type="dxa" w:w="100"/>
            </w:tcMar>
            <w:vAlign w:val="center"/>
          </w:tcPr>
          <w:p>
            <w:pPr>
              <w:spacing w:before="0" w:after="0"/>
              <w:jc w:val="center"/>
            </w:pPr>
            <w:r>
              <w:rPr>
                <w:rFonts w:ascii="Arial" w:cs="Arial" w:eastAsia="Arial" w:hAnsi="Arial"/>
                <w:b/>
                <w:bCs/>
                <w:color w:val="FFFFFF"/>
                <w:sz w:val="28"/>
                <w:szCs w:val="28"/>
              </w:rPr>
              <w:t xml:space="preserve">P8</w:t>
            </w:r>
          </w:p>
        </w:tc>
        <w:tc>
          <w:tcPr>
            <w:tcW w:type="dxa" w:w="4600"/>
            <w:tcBorders>
              <w:top w:val="none" w:color="FFFFFF" w:sz="0"/>
              <w:left w:val="none" w:color="FFFFFF" w:sz="0"/>
              <w:bottom w:val="none" w:color="FFFFFF" w:sz="0"/>
              <w:right w:val="none" w:color="FFFFFF" w:sz="0"/>
            </w:tcBorders>
            <w:shd w:fill="1D4ED8" w:val="clear"/>
            <w:tcMar>
              <w:top w:type="dxa" w:w="140"/>
              <w:left w:type="dxa" w:w="180"/>
              <w:bottom w:type="dxa" w:w="140"/>
              <w:right w:type="dxa" w:w="120"/>
            </w:tcMar>
            <w:vAlign w:val="center"/>
          </w:tcPr>
          <w:p>
            <w:pPr>
              <w:spacing w:before="0" w:after="0"/>
            </w:pPr>
            <w:r>
              <w:rPr>
                <w:rFonts w:ascii="Arial" w:cs="Arial" w:eastAsia="Arial" w:hAnsi="Arial"/>
                <w:b/>
                <w:bCs/>
                <w:color w:val="FFFFFF"/>
                <w:sz w:val="26"/>
                <w:szCs w:val="26"/>
              </w:rPr>
              <w:t xml:space="preserve">Production Deployment &amp; Infrastructure</w:t>
            </w:r>
          </w:p>
        </w:tc>
        <w:tc>
          <w:tcPr>
            <w:tcW w:type="dxa" w:w="1400"/>
            <w:tcBorders>
              <w:top w:val="none" w:color="FFFFFF" w:sz="0"/>
              <w:left w:val="none" w:color="FFFFFF" w:sz="0"/>
              <w:bottom w:val="none" w:color="FFFFFF" w:sz="0"/>
              <w:right w:val="none" w:color="FFFFFF" w:sz="0"/>
            </w:tcBorders>
            <w:shd w:fill="0F6E56" w:val="clear"/>
            <w:tcMar>
              <w:top w:type="dxa" w:w="140"/>
              <w:left w:type="dxa" w:w="120"/>
              <w:bottom w:type="dxa" w:w="140"/>
              <w:right w:type="dxa" w:w="100"/>
            </w:tcMar>
            <w:vAlign w:val="center"/>
          </w:tcPr>
          <w:p>
            <w:pPr>
              <w:spacing w:before="0" w:after="0"/>
              <w:jc w:val="center"/>
            </w:pPr>
            <w:r>
              <w:rPr>
                <w:rFonts w:ascii="Arial" w:cs="Arial" w:eastAsia="Arial" w:hAnsi="Arial"/>
                <w:color w:val="FFFFFF"/>
                <w:sz w:val="19"/>
                <w:szCs w:val="19"/>
              </w:rPr>
              <w:t xml:space="preserve">Week 15</w:t>
            </w:r>
          </w:p>
        </w:tc>
        <w:tc>
          <w:tcPr>
            <w:tcW w:type="dxa" w:w="1300"/>
            <w:tcBorders>
              <w:top w:val="none" w:color="FFFFFF" w:sz="0"/>
              <w:left w:val="none" w:color="FFFFFF" w:sz="0"/>
              <w:bottom w:val="none" w:color="FFFFFF" w:sz="0"/>
              <w:right w:val="none" w:color="FFFFFF" w:sz="0"/>
            </w:tcBorders>
            <w:shd w:fill="854F0B" w:val="clear"/>
            <w:tcMar>
              <w:top w:type="dxa" w:w="140"/>
              <w:left w:type="dxa" w:w="100"/>
              <w:bottom w:type="dxa" w:w="140"/>
              <w:right w:type="dxa" w:w="100"/>
            </w:tcMar>
            <w:vAlign w:val="center"/>
          </w:tcPr>
          <w:p>
            <w:pPr>
              <w:spacing w:before="0" w:after="0"/>
              <w:jc w:val="center"/>
            </w:pPr>
            <w:r>
              <w:rPr>
                <w:rFonts w:ascii="Arial" w:cs="Arial" w:eastAsia="Arial" w:hAnsi="Arial"/>
                <w:color w:val="FFFFFF"/>
                <w:sz w:val="17"/>
                <w:szCs w:val="17"/>
              </w:rPr>
              <w:t xml:space="preserve">CI/CD / DR / DevOps</w:t>
            </w:r>
          </w:p>
        </w:tc>
        <w:tc>
          <w:tcPr>
            <w:tcW w:type="dxa" w:w="726"/>
            <w:tcBorders>
              <w:top w:val="none" w:color="FFFFFF" w:sz="0"/>
              <w:left w:val="none" w:color="FFFFFF" w:sz="0"/>
              <w:bottom w:val="none" w:color="FFFFFF" w:sz="0"/>
              <w:right w:val="none" w:color="FFFFFF" w:sz="0"/>
            </w:tcBorders>
            <w:shd w:fill="991B1B" w:val="clear"/>
            <w:tcMar>
              <w:top w:type="dxa" w:w="140"/>
              <w:left w:type="dxa" w:w="80"/>
              <w:bottom w:type="dxa" w:w="140"/>
              <w:right w:type="dxa" w:w="80"/>
            </w:tcMar>
            <w:vAlign w:val="center"/>
          </w:tcPr>
          <w:p>
            <w:pPr>
              <w:spacing w:before="0" w:after="0"/>
              <w:jc w:val="center"/>
            </w:pPr>
            <w:r>
              <w:rPr>
                <w:rFonts w:ascii="Arial" w:cs="Arial" w:eastAsia="Arial" w:hAnsi="Arial"/>
                <w:b/>
                <w:bCs/>
                <w:color w:val="FFFFFF"/>
                <w:sz w:val="17"/>
                <w:szCs w:val="17"/>
              </w:rPr>
              <w:t xml:space="preserve">HIGH</w:t>
            </w:r>
          </w:p>
        </w:tc>
      </w:tr>
    </w:tbl>
    <w:p>
      <w:pPr>
        <w:spacing w:before="0"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4ED8" w:sz="6"/>
              <w:left w:val="single" w:color="1D4ED8" w:sz="16"/>
              <w:bottom w:val="single" w:color="1D4ED8" w:sz="2"/>
              <w:right w:val="single" w:color="1D4ED8" w:sz="2"/>
            </w:tcBorders>
            <w:shd w:fill="EFF6FF" w:val="clear"/>
            <w:tcMar>
              <w:top w:type="dxa" w:w="120"/>
              <w:left w:type="dxa" w:w="200"/>
              <w:bottom w:type="dxa" w:w="120"/>
              <w:right w:type="dxa" w:w="160"/>
            </w:tcMar>
          </w:tcPr>
          <w:p>
            <w:pPr>
              <w:spacing w:before="0" w:after="0"/>
            </w:pPr>
            <w:r>
              <w:rPr>
                <w:rFonts w:ascii="Arial" w:cs="Arial" w:eastAsia="Arial" w:hAnsi="Arial"/>
                <w:color w:val="1D4ED8"/>
                <w:sz w:val="21"/>
                <w:szCs w:val="21"/>
              </w:rPr>
              <w:t xml:space="preserve">PHASE DELIVERABLE: Automated CI/CD pipeline, production infrastructure live with monitoring, disaster recovery tested, and MMS accessible at a live HTTPS URL. The staging environment must be a mirror of production — not a simplified version.</w:t>
            </w:r>
          </w:p>
        </w:tc>
      </w:tr>
    </w:tbl>
    <w:p>
      <w:pPr>
        <w:spacing w:before="0" w:after="160"/>
      </w:pPr>
      <w:r>
        <w:t xml:space="preserve"/>
      </w:r>
    </w:p>
    <w:p>
      <w:pPr>
        <w:pStyle w:val="Heading2"/>
        <w:pBdr>
          <w:bottom w:val="single" w:color="D1D5DB" w:sz="4" w:space="4"/>
        </w:pBdr>
        <w:spacing w:before="360" w:after="140"/>
      </w:pPr>
      <w:r>
        <w:rPr>
          <w:rFonts w:ascii="Arial" w:cs="Arial" w:eastAsia="Arial" w:hAnsi="Arial"/>
          <w:b/>
          <w:bCs/>
          <w:color w:val="1A3A5C"/>
          <w:sz w:val="30"/>
          <w:szCs w:val="30"/>
        </w:rPr>
        <w:t xml:space="preserve">Step 8.1 — CI/CD Pipeline with Security Gates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5C" w:sz="2"/>
              <w:left w:val="single" w:color="1A3A5C" w:sz="2"/>
              <w:bottom w:val="single" w:color="1A3A5C" w:sz="2"/>
              <w:right w:val="single" w:color="1A3A5C" w:sz="2"/>
            </w:tcBorders>
            <w:shd w:fill="1A3A5C" w:val="clear"/>
            <w:tcMar>
              <w:top w:type="dxa" w:w="100"/>
              <w:left w:type="dxa" w:w="180"/>
              <w:bottom w:type="dxa" w:w="100"/>
              <w:right w:type="dxa" w:w="160"/>
            </w:tcMar>
          </w:tcPr>
          <w:p>
            <w:pPr>
              <w:spacing w:before="0" w:after="0"/>
            </w:pPr>
            <w:r>
              <w:rPr>
                <w:rFonts w:ascii="Arial" w:cs="Arial" w:eastAsia="Arial" w:hAnsi="Arial"/>
                <w:b/>
                <w:bCs/>
                <w:color w:val="FFFFFF"/>
                <w:sz w:val="20"/>
                <w:szCs w:val="20"/>
              </w:rPr>
              <w:t xml:space="preserve">PROMPT 8.1 — GitHub Actions Pipeline</w:t>
            </w:r>
          </w:p>
        </w:tc>
      </w:tr>
      <w:tr>
        <w:tc>
          <w:tcPr>
            <w:tcW w:type="dxa" w:w="9026"/>
            <w:tcBorders>
              <w:top w:val="single" w:color="1A3A5C" w:sz="2"/>
              <w:left w:val="single" w:color="1A3A5C" w:sz="2"/>
              <w:bottom w:val="single" w:color="1A3A5C" w:sz="2"/>
              <w:right w:val="single" w:color="1A3A5C" w:sz="2"/>
            </w:tcBorders>
            <w:shd w:fill="F0F4FF" w:val="clear"/>
            <w:tcMar>
              <w:top w:type="dxa" w:w="140"/>
              <w:left w:type="dxa" w:w="180"/>
              <w:bottom w:type="dxa" w:w="140"/>
              <w:right w:type="dxa" w:w="160"/>
            </w:tcMar>
          </w:tcPr>
          <w:p>
            <w:pPr>
              <w:spacing w:before="0" w:after="0"/>
            </w:pPr>
            <w:r>
              <w:rPr>
                <w:rFonts w:ascii="Courier New" w:cs="Courier New" w:eastAsia="Courier New" w:hAnsi="Courier New"/>
                <w:i/>
                <w:iCs/>
                <w:color w:val="1A3A5C"/>
                <w:sz w:val="19"/>
                <w:szCs w:val="19"/>
              </w:rPr>
              <w:t xml:space="preserve">Write the complete GitHub Actions CI/CD pipeline for MMS (.github/workflows/deploy.yml). The pipeline must include security gates that cannot be bypassed. Stages in sequence: Stage 1 — Code Quality: ESLint strict (zero warnings allowed), TypeScript compiler with strict:true (zero errors), Prettier format check. Stage 2 — Security Scan: npm audit (fail on critical or high), custom check that no .env file was committed, check that no hardcoded strings matching /password|secret|api.?key/i appear in changed files. Stage 3 — Unit Tests: Jest with --coverage flag, fail if coverage drops below 80% on any module. Stage 4 — Integration Tests: docker-compose up test environment, run migrations, run Supertest suite, docker-compose down, clean up. Stage 5 — OWASP ZAP Baseline Scan: run ZAP against the staging API after deployment, fail pipeline if any HIGH risk findings appear. Stage 6 — Build: compile TypeScript, build Docker image tagged with git SHA, push to GitHub Container Registry. Stage 7 — Deploy Staging: SSH to staging server, pull image, run migrations with --dry-run first, apply migrations, rolling restart of API containers (zero downtime). Stage 8 — Staging Smoke Tests: health check, auth test, invoice submission test. Stage 9 — Manual Gate: require named approver (MD or CTO) to approve before production deployment — GitHub environment protection rules. Stage 10 — Deploy Production: identical to staging deployment. Write complete YAML.</w:t>
            </w:r>
          </w:p>
        </w:tc>
      </w:tr>
    </w:tbl>
    <w:p>
      <w:pPr>
        <w:spacing w:before="0" w:after="140"/>
      </w:pPr>
      <w:r>
        <w:t xml:space="preserve"/>
      </w:r>
    </w:p>
    <w:p>
      <w:pPr>
        <w:pStyle w:val="Heading2"/>
        <w:pBdr>
          <w:bottom w:val="single" w:color="D1D5DB" w:sz="4" w:space="4"/>
        </w:pBdr>
        <w:spacing w:before="360" w:after="140"/>
      </w:pPr>
      <w:r>
        <w:rPr>
          <w:rFonts w:ascii="Arial" w:cs="Arial" w:eastAsia="Arial" w:hAnsi="Arial"/>
          <w:b/>
          <w:bCs/>
          <w:color w:val="1A3A5C"/>
          <w:sz w:val="30"/>
          <w:szCs w:val="30"/>
        </w:rPr>
        <w:t xml:space="preserve">Step 8.2 — Production Infrastructure with Disaster Recovery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5C" w:sz="2"/>
              <w:left w:val="single" w:color="1A3A5C" w:sz="2"/>
              <w:bottom w:val="single" w:color="1A3A5C" w:sz="2"/>
              <w:right w:val="single" w:color="1A3A5C" w:sz="2"/>
            </w:tcBorders>
            <w:shd w:fill="1A3A5C" w:val="clear"/>
            <w:tcMar>
              <w:top w:type="dxa" w:w="100"/>
              <w:left w:type="dxa" w:w="180"/>
              <w:bottom w:type="dxa" w:w="100"/>
              <w:right w:type="dxa" w:w="160"/>
            </w:tcMar>
          </w:tcPr>
          <w:p>
            <w:pPr>
              <w:spacing w:before="0" w:after="0"/>
            </w:pPr>
            <w:r>
              <w:rPr>
                <w:rFonts w:ascii="Arial" w:cs="Arial" w:eastAsia="Arial" w:hAnsi="Arial"/>
                <w:b/>
                <w:bCs/>
                <w:color w:val="FFFFFF"/>
                <w:sz w:val="20"/>
                <w:szCs w:val="20"/>
              </w:rPr>
              <w:t xml:space="preserve">PROMPT 8.2 — Production Infrastructure</w:t>
            </w:r>
          </w:p>
        </w:tc>
      </w:tr>
      <w:tr>
        <w:tc>
          <w:tcPr>
            <w:tcW w:type="dxa" w:w="9026"/>
            <w:tcBorders>
              <w:top w:val="single" w:color="1A3A5C" w:sz="2"/>
              <w:left w:val="single" w:color="1A3A5C" w:sz="2"/>
              <w:bottom w:val="single" w:color="1A3A5C" w:sz="2"/>
              <w:right w:val="single" w:color="1A3A5C" w:sz="2"/>
            </w:tcBorders>
            <w:shd w:fill="F0F4FF" w:val="clear"/>
            <w:tcMar>
              <w:top w:type="dxa" w:w="140"/>
              <w:left w:type="dxa" w:w="180"/>
              <w:bottom w:type="dxa" w:w="140"/>
              <w:right w:type="dxa" w:w="160"/>
            </w:tcMar>
          </w:tcPr>
          <w:p>
            <w:pPr>
              <w:spacing w:before="0" w:after="0"/>
            </w:pPr>
            <w:r>
              <w:rPr>
                <w:rFonts w:ascii="Courier New" w:cs="Courier New" w:eastAsia="Courier New" w:hAnsi="Courier New"/>
                <w:i/>
                <w:iCs/>
                <w:color w:val="1A3A5C"/>
                <w:sz w:val="19"/>
                <w:szCs w:val="19"/>
              </w:rPr>
              <w:t xml:space="preserve">Write the complete production infrastructure configuration for MMS on Ubuntu 22.04 with full disaster recovery. Include: (1) Nginx configuration: SSL termination with Let's Encrypt (certbot command), force HTTPS redirect, security headers (HSTS with preload, CSP, X-Frame-Options DENY, X-Content-Type-Options nosniff, Referrer-Policy, Permissions-Policy), rate limiting at Nginx level (10 req/min for /auth paths, 100 req/min for other paths). (2) PostgreSQL high availability: primary server with streaming replication to a standby server, WAL archiving to S3-compatible storage (Contabo or Linode Object Storage) every 15 minutes (meeting 15-minute RPO), pg_basebackup daily full backup with 30-day retention, automated weekly restore test to isolated server with notification of pass/fail. (3) Disaster recovery runbook: step-by-step commands to promote standby to primary, update DNS, verify data integrity, notify stakeholders — must achieve RTO of 4 hours. (4) Monitoring: Prometheus + Grafana with these alerts: payment SLA breach (invoice approved but not funded after 48 hours — warn), payment SLA critical (after 60 hours — page MD), any service down for 2+ minutes, disk above 80%, database connections above 80% of pool. (5) Log management: centralized logging to file with logrotate (retain 90 days), separate security log file for audit events. Write every configuration file completely.</w:t>
            </w:r>
          </w:p>
        </w:tc>
      </w:tr>
    </w:tbl>
    <w:p>
      <w:pPr>
        <w:spacing w:before="0" w:after="0"/>
      </w:pPr>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600"/>
        <w:gridCol w:w="1400"/>
        <w:gridCol w:w="1300"/>
        <w:gridCol w:w="726"/>
      </w:tblGrid>
      <w:tr>
        <w:tc>
          <w:tcPr>
            <w:tcW w:type="dxa" w:w="1000"/>
            <w:tcBorders>
              <w:top w:val="none" w:color="FFFFFF" w:sz="0"/>
              <w:left w:val="none" w:color="FFFFFF" w:sz="0"/>
              <w:bottom w:val="none" w:color="FFFFFF" w:sz="0"/>
              <w:right w:val="none" w:color="FFFFFF" w:sz="0"/>
            </w:tcBorders>
            <w:shd w:fill="1A3A5C" w:val="clear"/>
            <w:tcMar>
              <w:top w:type="dxa" w:w="140"/>
              <w:left w:type="dxa" w:w="120"/>
              <w:bottom w:type="dxa" w:w="140"/>
              <w:right w:type="dxa" w:w="100"/>
            </w:tcMar>
            <w:vAlign w:val="center"/>
          </w:tcPr>
          <w:p>
            <w:pPr>
              <w:spacing w:before="0" w:after="0"/>
              <w:jc w:val="center"/>
            </w:pPr>
            <w:r>
              <w:rPr>
                <w:rFonts w:ascii="Arial" w:cs="Arial" w:eastAsia="Arial" w:hAnsi="Arial"/>
                <w:b/>
                <w:bCs/>
                <w:color w:val="FFFFFF"/>
                <w:sz w:val="28"/>
                <w:szCs w:val="28"/>
              </w:rPr>
              <w:t xml:space="preserve">P9</w:t>
            </w:r>
          </w:p>
        </w:tc>
        <w:tc>
          <w:tcPr>
            <w:tcW w:type="dxa" w:w="4600"/>
            <w:tcBorders>
              <w:top w:val="none" w:color="FFFFFF" w:sz="0"/>
              <w:left w:val="none" w:color="FFFFFF" w:sz="0"/>
              <w:bottom w:val="none" w:color="FFFFFF" w:sz="0"/>
              <w:right w:val="none" w:color="FFFFFF" w:sz="0"/>
            </w:tcBorders>
            <w:shd w:fill="1D4ED8" w:val="clear"/>
            <w:tcMar>
              <w:top w:type="dxa" w:w="140"/>
              <w:left w:type="dxa" w:w="180"/>
              <w:bottom w:type="dxa" w:w="140"/>
              <w:right w:type="dxa" w:w="120"/>
            </w:tcMar>
            <w:vAlign w:val="center"/>
          </w:tcPr>
          <w:p>
            <w:pPr>
              <w:spacing w:before="0" w:after="0"/>
            </w:pPr>
            <w:r>
              <w:rPr>
                <w:rFonts w:ascii="Arial" w:cs="Arial" w:eastAsia="Arial" w:hAnsi="Arial"/>
                <w:b/>
                <w:bCs/>
                <w:color w:val="FFFFFF"/>
                <w:sz w:val="26"/>
                <w:szCs w:val="26"/>
              </w:rPr>
              <w:t xml:space="preserve">Documentation &amp; Knowledge Transfer</w:t>
            </w:r>
          </w:p>
        </w:tc>
        <w:tc>
          <w:tcPr>
            <w:tcW w:type="dxa" w:w="1400"/>
            <w:tcBorders>
              <w:top w:val="none" w:color="FFFFFF" w:sz="0"/>
              <w:left w:val="none" w:color="FFFFFF" w:sz="0"/>
              <w:bottom w:val="none" w:color="FFFFFF" w:sz="0"/>
              <w:right w:val="none" w:color="FFFFFF" w:sz="0"/>
            </w:tcBorders>
            <w:shd w:fill="0F6E56" w:val="clear"/>
            <w:tcMar>
              <w:top w:type="dxa" w:w="140"/>
              <w:left w:type="dxa" w:w="120"/>
              <w:bottom w:type="dxa" w:w="140"/>
              <w:right w:type="dxa" w:w="100"/>
            </w:tcMar>
            <w:vAlign w:val="center"/>
          </w:tcPr>
          <w:p>
            <w:pPr>
              <w:spacing w:before="0" w:after="0"/>
              <w:jc w:val="center"/>
            </w:pPr>
            <w:r>
              <w:rPr>
                <w:rFonts w:ascii="Arial" w:cs="Arial" w:eastAsia="Arial" w:hAnsi="Arial"/>
                <w:color w:val="FFFFFF"/>
                <w:sz w:val="19"/>
                <w:szCs w:val="19"/>
              </w:rPr>
              <w:t xml:space="preserve">Week 15</w:t>
            </w:r>
          </w:p>
        </w:tc>
        <w:tc>
          <w:tcPr>
            <w:tcW w:type="dxa" w:w="1300"/>
            <w:tcBorders>
              <w:top w:val="none" w:color="FFFFFF" w:sz="0"/>
              <w:left w:val="none" w:color="FFFFFF" w:sz="0"/>
              <w:bottom w:val="none" w:color="FFFFFF" w:sz="0"/>
              <w:right w:val="none" w:color="FFFFFF" w:sz="0"/>
            </w:tcBorders>
            <w:shd w:fill="854F0B" w:val="clear"/>
            <w:tcMar>
              <w:top w:type="dxa" w:w="140"/>
              <w:left w:type="dxa" w:w="100"/>
              <w:bottom w:type="dxa" w:w="140"/>
              <w:right w:type="dxa" w:w="100"/>
            </w:tcMar>
            <w:vAlign w:val="center"/>
          </w:tcPr>
          <w:p>
            <w:pPr>
              <w:spacing w:before="0" w:after="0"/>
              <w:jc w:val="center"/>
            </w:pPr>
            <w:r>
              <w:rPr>
                <w:rFonts w:ascii="Arial" w:cs="Arial" w:eastAsia="Arial" w:hAnsi="Arial"/>
                <w:color w:val="FFFFFF"/>
                <w:sz w:val="17"/>
                <w:szCs w:val="17"/>
              </w:rPr>
              <w:t xml:space="preserve">IEEE 830 / OpenAPI</w:t>
            </w:r>
          </w:p>
        </w:tc>
        <w:tc>
          <w:tcPr>
            <w:tcW w:type="dxa" w:w="726"/>
            <w:tcBorders>
              <w:top w:val="none" w:color="FFFFFF" w:sz="0"/>
              <w:left w:val="none" w:color="FFFFFF" w:sz="0"/>
              <w:bottom w:val="none" w:color="FFFFFF" w:sz="0"/>
              <w:right w:val="none" w:color="FFFFFF" w:sz="0"/>
            </w:tcBorders>
            <w:shd w:fill="0F6E56" w:val="clear"/>
            <w:tcMar>
              <w:top w:type="dxa" w:w="140"/>
              <w:left w:type="dxa" w:w="80"/>
              <w:bottom w:type="dxa" w:w="140"/>
              <w:right w:type="dxa" w:w="80"/>
            </w:tcMar>
            <w:vAlign w:val="center"/>
          </w:tcPr>
          <w:p>
            <w:pPr>
              <w:spacing w:before="0" w:after="0"/>
              <w:jc w:val="center"/>
            </w:pPr>
            <w:r>
              <w:rPr>
                <w:rFonts w:ascii="Arial" w:cs="Arial" w:eastAsia="Arial" w:hAnsi="Arial"/>
                <w:b/>
                <w:bCs/>
                <w:color w:val="FFFFFF"/>
                <w:sz w:val="17"/>
                <w:szCs w:val="17"/>
              </w:rPr>
              <w:t xml:space="preserve">MEDIUM</w:t>
            </w:r>
          </w:p>
        </w:tc>
      </w:tr>
    </w:tbl>
    <w:p>
      <w:pPr>
        <w:spacing w:before="0"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5C" w:sz="2"/>
              <w:left w:val="single" w:color="1A3A5C" w:sz="2"/>
              <w:bottom w:val="single" w:color="1A3A5C" w:sz="2"/>
              <w:right w:val="single" w:color="1A3A5C" w:sz="2"/>
            </w:tcBorders>
            <w:shd w:fill="1A3A5C" w:val="clear"/>
            <w:tcMar>
              <w:top w:type="dxa" w:w="100"/>
              <w:left w:type="dxa" w:w="180"/>
              <w:bottom w:type="dxa" w:w="100"/>
              <w:right w:type="dxa" w:w="160"/>
            </w:tcMar>
          </w:tcPr>
          <w:p>
            <w:pPr>
              <w:spacing w:before="0" w:after="0"/>
            </w:pPr>
            <w:r>
              <w:rPr>
                <w:rFonts w:ascii="Arial" w:cs="Arial" w:eastAsia="Arial" w:hAnsi="Arial"/>
                <w:b/>
                <w:bCs/>
                <w:color w:val="FFFFFF"/>
                <w:sz w:val="20"/>
                <w:szCs w:val="20"/>
              </w:rPr>
              <w:t xml:space="preserve">PROMPT 9.1 — Complete Technical Documentation</w:t>
            </w:r>
          </w:p>
        </w:tc>
      </w:tr>
      <w:tr>
        <w:tc>
          <w:tcPr>
            <w:tcW w:type="dxa" w:w="9026"/>
            <w:tcBorders>
              <w:top w:val="single" w:color="1A3A5C" w:sz="2"/>
              <w:left w:val="single" w:color="1A3A5C" w:sz="2"/>
              <w:bottom w:val="single" w:color="1A3A5C" w:sz="2"/>
              <w:right w:val="single" w:color="1A3A5C" w:sz="2"/>
            </w:tcBorders>
            <w:shd w:fill="F0F4FF" w:val="clear"/>
            <w:tcMar>
              <w:top w:type="dxa" w:w="140"/>
              <w:left w:type="dxa" w:w="180"/>
              <w:bottom w:type="dxa" w:w="140"/>
              <w:right w:type="dxa" w:w="160"/>
            </w:tcMar>
          </w:tcPr>
          <w:p>
            <w:pPr>
              <w:spacing w:before="0" w:after="0"/>
            </w:pPr>
            <w:r>
              <w:rPr>
                <w:rFonts w:ascii="Courier New" w:cs="Courier New" w:eastAsia="Courier New" w:hAnsi="Courier New"/>
                <w:i/>
                <w:iCs/>
                <w:color w:val="1A3A5C"/>
                <w:sz w:val="19"/>
                <w:szCs w:val="19"/>
              </w:rPr>
              <w:t xml:space="preserve">Write the complete technical documentation package for MMS. Include: System Architecture Overview (C4 model in prose, suitable for a bank's IT risk team reviewing MMS), API Reference introduction (authentication, base URLs, error format, rate limits — full reference auto-generated from OpenAPI YAML), Database Schema Reference (purpose, columns, constraints, and the business rule each constraint enforces — for each of the 13 tables), Security Architecture document (how each OWASP Top 10 risk is mitigated in MMS — suitable for a security auditor), Deployment Guide (complete step-by-step from a fresh Ubuntu 22.04 server to running production — every command included), Disaster Recovery Runbook (step-by-step for each failure scenario: primary DB failure, API server failure, payment service failure, DDoS attack, data breach), Environment Variables Reference (every variable, its purpose, format, example, and whether required/optional), On-call Guide (what to do when each monitoring alert fires — who to call, what to check, how to resolve).</w:t>
            </w:r>
          </w:p>
        </w:tc>
      </w:tr>
    </w:tbl>
    <w:p>
      <w:pPr>
        <w:spacing w:before="0" w:after="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5C" w:sz="2"/>
              <w:left w:val="single" w:color="1A3A5C" w:sz="2"/>
              <w:bottom w:val="single" w:color="1A3A5C" w:sz="2"/>
              <w:right w:val="single" w:color="1A3A5C" w:sz="2"/>
            </w:tcBorders>
            <w:shd w:fill="1A3A5C" w:val="clear"/>
            <w:tcMar>
              <w:top w:type="dxa" w:w="100"/>
              <w:left w:type="dxa" w:w="180"/>
              <w:bottom w:type="dxa" w:w="100"/>
              <w:right w:type="dxa" w:w="160"/>
            </w:tcMar>
          </w:tcPr>
          <w:p>
            <w:pPr>
              <w:spacing w:before="0" w:after="0"/>
            </w:pPr>
            <w:r>
              <w:rPr>
                <w:rFonts w:ascii="Arial" w:cs="Arial" w:eastAsia="Arial" w:hAnsi="Arial"/>
                <w:b/>
                <w:bCs/>
                <w:color w:val="FFFFFF"/>
                <w:sz w:val="20"/>
                <w:szCs w:val="20"/>
              </w:rPr>
              <w:t xml:space="preserve">PROMPT 9.2 — User Guides for All 6 Roles</w:t>
            </w:r>
          </w:p>
        </w:tc>
      </w:tr>
      <w:tr>
        <w:tc>
          <w:tcPr>
            <w:tcW w:type="dxa" w:w="9026"/>
            <w:tcBorders>
              <w:top w:val="single" w:color="1A3A5C" w:sz="2"/>
              <w:left w:val="single" w:color="1A3A5C" w:sz="2"/>
              <w:bottom w:val="single" w:color="1A3A5C" w:sz="2"/>
              <w:right w:val="single" w:color="1A3A5C" w:sz="2"/>
            </w:tcBorders>
            <w:shd w:fill="F0F4FF" w:val="clear"/>
            <w:tcMar>
              <w:top w:type="dxa" w:w="140"/>
              <w:left w:type="dxa" w:w="180"/>
              <w:bottom w:type="dxa" w:w="140"/>
              <w:right w:type="dxa" w:w="160"/>
            </w:tcMar>
          </w:tcPr>
          <w:p>
            <w:pPr>
              <w:spacing w:before="0" w:after="0"/>
            </w:pPr>
            <w:r>
              <w:rPr>
                <w:rFonts w:ascii="Courier New" w:cs="Courier New" w:eastAsia="Courier New" w:hAnsi="Courier New"/>
                <w:i/>
                <w:iCs/>
                <w:color w:val="1A3A5C"/>
                <w:sz w:val="19"/>
                <w:szCs w:val="19"/>
              </w:rPr>
              <w:t xml:space="preserve">Write user guides for all 6 MMS roles in plain English. No technical terms. Numbered steps. Include what the screen looks like at each step. Guide 1 — Supplier Guide: how to register, what documents to prepare before registering, how to submit an invoice (with checklist of what you need ready), what each status means in plain words, what to do if your invoice is rejected, how to check if your payment has been sent, who to contact for help. Guide 2 — Credit Officer Guide: how to review a pending supplier registration, how to read a risk score report in plain language (what a score of 65 means for MMS, not just a number), when to approve vs refer vs reject, how to write useful approval comments, how to escalate to the committee. Guide 3 — Finance Manager Guide: how to find invoices awaiting payment authorisation, what to verify before authorising (amount correct, bank details correct, supplier is active), how dual authorisation works and why both signatures matter, how to read the facility utilisation dashboard. Guide 4 — Management Guide: how to read the daily dashboard first thing each morning, what the SLA timer means and when to be concerned, how to read the portfolio risk report. Guide 5 — Compliance Officer Guide: how to review AML flags, when to file a SAR with FIA, how to export the audit trail for a regulator. Guide 6 — Auditor Guide: read-only access explained, how to export full audit log, what the audit trail proves and how to present it.</w:t>
            </w:r>
          </w:p>
        </w:tc>
      </w:tr>
    </w:tbl>
    <w:p>
      <w:pPr>
        <w:spacing w:before="0" w:after="0"/>
      </w:pPr>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600"/>
        <w:gridCol w:w="1400"/>
        <w:gridCol w:w="1300"/>
        <w:gridCol w:w="726"/>
      </w:tblGrid>
      <w:tr>
        <w:tc>
          <w:tcPr>
            <w:tcW w:type="dxa" w:w="1000"/>
            <w:tcBorders>
              <w:top w:val="none" w:color="FFFFFF" w:sz="0"/>
              <w:left w:val="none" w:color="FFFFFF" w:sz="0"/>
              <w:bottom w:val="none" w:color="FFFFFF" w:sz="0"/>
              <w:right w:val="none" w:color="FFFFFF" w:sz="0"/>
            </w:tcBorders>
            <w:shd w:fill="1A3A5C" w:val="clear"/>
            <w:tcMar>
              <w:top w:type="dxa" w:w="140"/>
              <w:left w:type="dxa" w:w="120"/>
              <w:bottom w:type="dxa" w:w="140"/>
              <w:right w:type="dxa" w:w="100"/>
            </w:tcMar>
            <w:vAlign w:val="center"/>
          </w:tcPr>
          <w:p>
            <w:pPr>
              <w:spacing w:before="0" w:after="0"/>
              <w:jc w:val="center"/>
            </w:pPr>
            <w:r>
              <w:rPr>
                <w:rFonts w:ascii="Arial" w:cs="Arial" w:eastAsia="Arial" w:hAnsi="Arial"/>
                <w:b/>
                <w:bCs/>
                <w:color w:val="FFFFFF"/>
                <w:sz w:val="28"/>
                <w:szCs w:val="28"/>
              </w:rPr>
              <w:t xml:space="preserve">P10</w:t>
            </w:r>
          </w:p>
        </w:tc>
        <w:tc>
          <w:tcPr>
            <w:tcW w:type="dxa" w:w="4600"/>
            <w:tcBorders>
              <w:top w:val="none" w:color="FFFFFF" w:sz="0"/>
              <w:left w:val="none" w:color="FFFFFF" w:sz="0"/>
              <w:bottom w:val="none" w:color="FFFFFF" w:sz="0"/>
              <w:right w:val="none" w:color="FFFFFF" w:sz="0"/>
            </w:tcBorders>
            <w:shd w:fill="1D4ED8" w:val="clear"/>
            <w:tcMar>
              <w:top w:type="dxa" w:w="140"/>
              <w:left w:type="dxa" w:w="180"/>
              <w:bottom w:type="dxa" w:w="140"/>
              <w:right w:type="dxa" w:w="120"/>
            </w:tcMar>
            <w:vAlign w:val="center"/>
          </w:tcPr>
          <w:p>
            <w:pPr>
              <w:spacing w:before="0" w:after="0"/>
            </w:pPr>
            <w:r>
              <w:rPr>
                <w:rFonts w:ascii="Arial" w:cs="Arial" w:eastAsia="Arial" w:hAnsi="Arial"/>
                <w:b/>
                <w:bCs/>
                <w:color w:val="FFFFFF"/>
                <w:sz w:val="26"/>
                <w:szCs w:val="26"/>
              </w:rPr>
              <w:t xml:space="preserve">Phased Go-Live &amp; Pilot Operations</w:t>
            </w:r>
          </w:p>
        </w:tc>
        <w:tc>
          <w:tcPr>
            <w:tcW w:type="dxa" w:w="1400"/>
            <w:tcBorders>
              <w:top w:val="none" w:color="FFFFFF" w:sz="0"/>
              <w:left w:val="none" w:color="FFFFFF" w:sz="0"/>
              <w:bottom w:val="none" w:color="FFFFFF" w:sz="0"/>
              <w:right w:val="none" w:color="FFFFFF" w:sz="0"/>
            </w:tcBorders>
            <w:shd w:fill="0F6E56" w:val="clear"/>
            <w:tcMar>
              <w:top w:type="dxa" w:w="140"/>
              <w:left w:type="dxa" w:w="120"/>
              <w:bottom w:type="dxa" w:w="140"/>
              <w:right w:type="dxa" w:w="100"/>
            </w:tcMar>
            <w:vAlign w:val="center"/>
          </w:tcPr>
          <w:p>
            <w:pPr>
              <w:spacing w:before="0" w:after="0"/>
              <w:jc w:val="center"/>
            </w:pPr>
            <w:r>
              <w:rPr>
                <w:rFonts w:ascii="Arial" w:cs="Arial" w:eastAsia="Arial" w:hAnsi="Arial"/>
                <w:color w:val="FFFFFF"/>
                <w:sz w:val="19"/>
                <w:szCs w:val="19"/>
              </w:rPr>
              <w:t xml:space="preserve">Weeks 16–20</w:t>
            </w:r>
          </w:p>
        </w:tc>
        <w:tc>
          <w:tcPr>
            <w:tcW w:type="dxa" w:w="1300"/>
            <w:tcBorders>
              <w:top w:val="none" w:color="FFFFFF" w:sz="0"/>
              <w:left w:val="none" w:color="FFFFFF" w:sz="0"/>
              <w:bottom w:val="none" w:color="FFFFFF" w:sz="0"/>
              <w:right w:val="none" w:color="FFFFFF" w:sz="0"/>
            </w:tcBorders>
            <w:shd w:fill="854F0B" w:val="clear"/>
            <w:tcMar>
              <w:top w:type="dxa" w:w="140"/>
              <w:left w:type="dxa" w:w="100"/>
              <w:bottom w:type="dxa" w:w="140"/>
              <w:right w:type="dxa" w:w="100"/>
            </w:tcMar>
            <w:vAlign w:val="center"/>
          </w:tcPr>
          <w:p>
            <w:pPr>
              <w:spacing w:before="0" w:after="0"/>
              <w:jc w:val="center"/>
            </w:pPr>
            <w:r>
              <w:rPr>
                <w:rFonts w:ascii="Arial" w:cs="Arial" w:eastAsia="Arial" w:hAnsi="Arial"/>
                <w:color w:val="FFFFFF"/>
                <w:sz w:val="17"/>
                <w:szCs w:val="17"/>
              </w:rPr>
              <w:t xml:space="preserve">Operational / BOU</w:t>
            </w:r>
          </w:p>
        </w:tc>
        <w:tc>
          <w:tcPr>
            <w:tcW w:type="dxa" w:w="726"/>
            <w:tcBorders>
              <w:top w:val="none" w:color="FFFFFF" w:sz="0"/>
              <w:left w:val="none" w:color="FFFFFF" w:sz="0"/>
              <w:bottom w:val="none" w:color="FFFFFF" w:sz="0"/>
              <w:right w:val="none" w:color="FFFFFF" w:sz="0"/>
            </w:tcBorders>
            <w:shd w:fill="9A3412" w:val="clear"/>
            <w:tcMar>
              <w:top w:type="dxa" w:w="140"/>
              <w:left w:type="dxa" w:w="80"/>
              <w:bottom w:type="dxa" w:w="140"/>
              <w:right w:type="dxa" w:w="80"/>
            </w:tcMar>
            <w:vAlign w:val="center"/>
          </w:tcPr>
          <w:p>
            <w:pPr>
              <w:spacing w:before="0" w:after="0"/>
              <w:jc w:val="center"/>
            </w:pPr>
            <w:r>
              <w:rPr>
                <w:rFonts w:ascii="Arial" w:cs="Arial" w:eastAsia="Arial" w:hAnsi="Arial"/>
                <w:b/>
                <w:bCs/>
                <w:color w:val="FFFFFF"/>
                <w:sz w:val="17"/>
                <w:szCs w:val="17"/>
              </w:rPr>
              <w:t xml:space="preserve">CRITICAL</w:t>
            </w:r>
          </w:p>
        </w:tc>
      </w:tr>
    </w:tbl>
    <w:p>
      <w:pPr>
        <w:spacing w:before="0"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1B1B" w:sz="6"/>
              <w:left w:val="single" w:color="991B1B" w:sz="16"/>
              <w:bottom w:val="single" w:color="991B1B" w:sz="2"/>
              <w:right w:val="single" w:color="991B1B" w:sz="2"/>
            </w:tcBorders>
            <w:shd w:fill="FEF2F2" w:val="clear"/>
            <w:tcMar>
              <w:top w:type="dxa" w:w="120"/>
              <w:left w:type="dxa" w:w="200"/>
              <w:bottom w:type="dxa" w:w="120"/>
              <w:right w:type="dxa" w:w="160"/>
            </w:tcMar>
          </w:tcPr>
          <w:p>
            <w:pPr>
              <w:spacing w:before="0" w:after="0"/>
            </w:pPr>
            <w:r>
              <w:rPr>
                <w:rFonts w:ascii="Arial" w:cs="Arial" w:eastAsia="Arial" w:hAnsi="Arial"/>
                <w:color w:val="991B1B"/>
                <w:sz w:val="21"/>
                <w:szCs w:val="21"/>
              </w:rPr>
              <w:t xml:space="preserve">CRITICAL: MMS must never go live with a full launch on day one. A phased go-live with gates between phases protects MMS, its clients, and its regulatory standing. Each gate must be passed before the next phase opens. This is not optional — it is how professional fintech systems launch.</w:t>
            </w:r>
          </w:p>
        </w:tc>
      </w:tr>
    </w:tbl>
    <w:p>
      <w:pPr>
        <w:spacing w:before="0" w:after="160"/>
      </w:pPr>
      <w:r>
        <w:t xml:space="preserve"/>
      </w:r>
    </w:p>
    <w:p>
      <w:pPr>
        <w:pStyle w:val="Heading2"/>
        <w:pBdr>
          <w:bottom w:val="single" w:color="D1D5DB" w:sz="4" w:space="4"/>
        </w:pBdr>
        <w:spacing w:before="360" w:after="140"/>
      </w:pPr>
      <w:r>
        <w:rPr>
          <w:rFonts w:ascii="Arial" w:cs="Arial" w:eastAsia="Arial" w:hAnsi="Arial"/>
          <w:b/>
          <w:bCs/>
          <w:color w:val="1A3A5C"/>
          <w:sz w:val="30"/>
          <w:szCs w:val="30"/>
        </w:rPr>
        <w:t xml:space="preserve">Gate 1 — Closed Pilot (Weeks 16–17)</w:t>
      </w:r>
    </w:p>
    <w:p>
      <w:pPr>
        <w:spacing w:before="60" w:after="100"/>
        <w:jc w:val="left"/>
      </w:pPr>
      <w:r>
        <w:rPr>
          <w:rFonts w:ascii="Arial" w:cs="Arial" w:eastAsia="Arial" w:hAnsi="Arial"/>
          <w:b w:val="false"/>
          <w:bCs w:val="false"/>
          <w:i w:val="false"/>
          <w:iCs w:val="false"/>
          <w:color w:val="374151"/>
          <w:sz w:val="22"/>
          <w:szCs w:val="22"/>
        </w:rPr>
        <w:t xml:space="preserve">One buyer. Two suppliers. Controlled transaction amounts. Every transaction manually reviewed by the MD and compliance officer before payment executes — regardless of the automated approval result. This gate proves the system works in production before real client money is at risk at scale.</w:t>
      </w:r>
    </w:p>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2826"/>
      </w:tblGrid>
      <w:tr>
        <w:tc>
          <w:tcPr>
            <w:tcW w:type="dxa" w:w="28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Gate 1 requirement</w:t>
            </w:r>
          </w:p>
        </w:tc>
        <w:tc>
          <w:tcPr>
            <w:tcW w:type="dxa" w:w="34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Pass criteria</w:t>
            </w:r>
          </w:p>
        </w:tc>
        <w:tc>
          <w:tcPr>
            <w:tcW w:type="dxa" w:w="2826"/>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Responsible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Maximum invoice value</w:t>
            </w:r>
          </w:p>
        </w:tc>
        <w:tc>
          <w:tcPr>
            <w:tcW w:type="dxa" w:w="3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No invoice above 5,000,000 UGX in pilot</w:t>
            </w:r>
          </w:p>
        </w:tc>
        <w:tc>
          <w:tcPr>
            <w:tcW w:type="dxa" w:w="28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MD sign-off on each transaction</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Payment execution</w:t>
            </w:r>
          </w:p>
        </w:tc>
        <w:tc>
          <w:tcPr>
            <w:tcW w:type="dxa" w:w="3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MD personally approves each payment by phone before it executes</w:t>
            </w:r>
          </w:p>
        </w:tc>
        <w:tc>
          <w:tcPr>
            <w:tcW w:type="dxa" w:w="28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MD + Finance Manager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Audit trail review</w:t>
            </w:r>
          </w:p>
        </w:tc>
        <w:tc>
          <w:tcPr>
            <w:tcW w:type="dxa" w:w="3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Compliance officer reviews full audit log daily</w:t>
            </w:r>
          </w:p>
        </w:tc>
        <w:tc>
          <w:tcPr>
            <w:tcW w:type="dxa" w:w="28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Compliance Officer</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Error log review</w:t>
            </w:r>
          </w:p>
        </w:tc>
        <w:tc>
          <w:tcPr>
            <w:tcW w:type="dxa" w:w="3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Developer reviews error logs daily</w:t>
            </w:r>
          </w:p>
        </w:tc>
        <w:tc>
          <w:tcPr>
            <w:tcW w:type="dxa" w:w="28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Lead Developer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Participant feedback</w:t>
            </w:r>
          </w:p>
        </w:tc>
        <w:tc>
          <w:tcPr>
            <w:tcW w:type="dxa" w:w="3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Both suppliers and the buyer complete written feedback form</w:t>
            </w:r>
          </w:p>
        </w:tc>
        <w:tc>
          <w:tcPr>
            <w:tcW w:type="dxa" w:w="28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Operations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No critical incidents</w:t>
            </w:r>
          </w:p>
        </w:tc>
        <w:tc>
          <w:tcPr>
            <w:tcW w:type="dxa" w:w="3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Zero payment errors, zero data breaches, zero compliance failures</w:t>
            </w:r>
          </w:p>
        </w:tc>
        <w:tc>
          <w:tcPr>
            <w:tcW w:type="dxa" w:w="28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All team</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Duration</w:t>
            </w:r>
          </w:p>
        </w:tc>
        <w:tc>
          <w:tcPr>
            <w:tcW w:type="dxa" w:w="3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Minimum 2 weeks with at least 5 complete invoice cycles</w:t>
            </w:r>
          </w:p>
        </w:tc>
        <w:tc>
          <w:tcPr>
            <w:tcW w:type="dxa" w:w="28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Operations</w:t>
            </w:r>
          </w:p>
        </w:tc>
      </w:tr>
    </w:tbl>
    <w:p>
      <w:pPr>
        <w:spacing w:before="0" w:after="140"/>
      </w:pPr>
      <w:r>
        <w:t xml:space="preserve"/>
      </w:r>
    </w:p>
    <w:p>
      <w:pPr>
        <w:pStyle w:val="Heading2"/>
        <w:pBdr>
          <w:bottom w:val="single" w:color="D1D5DB" w:sz="4" w:space="4"/>
        </w:pBdr>
        <w:spacing w:before="360" w:after="140"/>
      </w:pPr>
      <w:r>
        <w:rPr>
          <w:rFonts w:ascii="Arial" w:cs="Arial" w:eastAsia="Arial" w:hAnsi="Arial"/>
          <w:b/>
          <w:bCs/>
          <w:color w:val="1A3A5C"/>
          <w:sz w:val="30"/>
          <w:szCs w:val="30"/>
        </w:rPr>
        <w:t xml:space="preserve">Gate 2 — Controlled Expansion (Weeks 18–19)</w:t>
      </w:r>
    </w:p>
    <w:p>
      <w:pPr>
        <w:spacing w:before="60" w:after="100"/>
        <w:jc w:val="left"/>
      </w:pPr>
      <w:r>
        <w:rPr>
          <w:rFonts w:ascii="Arial" w:cs="Arial" w:eastAsia="Arial" w:hAnsi="Arial"/>
          <w:b w:val="false"/>
          <w:bCs w:val="false"/>
          <w:i w:val="false"/>
          <w:iCs w:val="false"/>
          <w:color w:val="374151"/>
          <w:sz w:val="22"/>
          <w:szCs w:val="22"/>
        </w:rPr>
        <w:t xml:space="preserve">Ten buyers. Twenty suppliers. Automated approval active for Tier 1 (auto-approval). Tier 2 and Tier 3 still require human approval. Transaction limit raised to 50,000,000 UGX. Weekly audit review instead of daily.</w:t>
      </w:r>
    </w:p>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2826"/>
      </w:tblGrid>
      <w:tr>
        <w:tc>
          <w:tcPr>
            <w:tcW w:type="dxa" w:w="28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Gate 2 requirement</w:t>
            </w:r>
          </w:p>
        </w:tc>
        <w:tc>
          <w:tcPr>
            <w:tcW w:type="dxa" w:w="34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Pass criteria</w:t>
            </w:r>
          </w:p>
        </w:tc>
        <w:tc>
          <w:tcPr>
            <w:tcW w:type="dxa" w:w="2826"/>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Responsible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Gate 1 passed</w:t>
            </w:r>
          </w:p>
        </w:tc>
        <w:tc>
          <w:tcPr>
            <w:tcW w:type="dxa" w:w="3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All Gate 1 requirements met and documented</w:t>
            </w:r>
          </w:p>
        </w:tc>
        <w:tc>
          <w:tcPr>
            <w:tcW w:type="dxa" w:w="28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MD + Compliance</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External penetration test</w:t>
            </w:r>
          </w:p>
        </w:tc>
        <w:tc>
          <w:tcPr>
            <w:tcW w:type="dxa" w:w="3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Security firm report shows no critical/high findings</w:t>
            </w:r>
          </w:p>
        </w:tc>
        <w:tc>
          <w:tcPr>
            <w:tcW w:type="dxa" w:w="28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Security firm + Technical lead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Bank facility confirmed</w:t>
            </w:r>
          </w:p>
        </w:tc>
        <w:tc>
          <w:tcPr>
            <w:tcW w:type="dxa" w:w="3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Bank has extended and activated the credit facility</w:t>
            </w:r>
          </w:p>
        </w:tc>
        <w:tc>
          <w:tcPr>
            <w:tcW w:type="dxa" w:w="28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MD + Finance</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Legal opinion confirmed</w:t>
            </w:r>
          </w:p>
        </w:tc>
        <w:tc>
          <w:tcPr>
            <w:tcW w:type="dxa" w:w="3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Lawyer has confirmed regulatory compliance</w:t>
            </w:r>
          </w:p>
        </w:tc>
        <w:tc>
          <w:tcPr>
            <w:tcW w:type="dxa" w:w="28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Ugandan lawyer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Staff training completed</w:t>
            </w:r>
          </w:p>
        </w:tc>
        <w:tc>
          <w:tcPr>
            <w:tcW w:type="dxa" w:w="3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All 6 roles have completed system training and signed off</w:t>
            </w:r>
          </w:p>
        </w:tc>
        <w:tc>
          <w:tcPr>
            <w:tcW w:type="dxa" w:w="28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Operations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Support process defined</w:t>
            </w:r>
          </w:p>
        </w:tc>
        <w:tc>
          <w:tcPr>
            <w:tcW w:type="dxa" w:w="3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Clear escalation path for supplier/buyer issues documented</w:t>
            </w:r>
          </w:p>
        </w:tc>
        <w:tc>
          <w:tcPr>
            <w:tcW w:type="dxa" w:w="28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Operations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Duration</w:t>
            </w:r>
          </w:p>
        </w:tc>
        <w:tc>
          <w:tcPr>
            <w:tcW w:type="dxa" w:w="3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Minimum 4 weeks with no critical incidents</w:t>
            </w:r>
          </w:p>
        </w:tc>
        <w:tc>
          <w:tcPr>
            <w:tcW w:type="dxa" w:w="28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Operations</w:t>
            </w:r>
          </w:p>
        </w:tc>
      </w:tr>
    </w:tbl>
    <w:p>
      <w:pPr>
        <w:spacing w:before="0" w:after="140"/>
      </w:pPr>
      <w:r>
        <w:t xml:space="preserve"/>
      </w:r>
    </w:p>
    <w:p>
      <w:pPr>
        <w:pStyle w:val="Heading2"/>
        <w:pBdr>
          <w:bottom w:val="single" w:color="D1D5DB" w:sz="4" w:space="4"/>
        </w:pBdr>
        <w:spacing w:before="360" w:after="140"/>
      </w:pPr>
      <w:r>
        <w:rPr>
          <w:rFonts w:ascii="Arial" w:cs="Arial" w:eastAsia="Arial" w:hAnsi="Arial"/>
          <w:b/>
          <w:bCs/>
          <w:color w:val="1A3A5C"/>
          <w:sz w:val="30"/>
          <w:szCs w:val="30"/>
        </w:rPr>
        <w:t xml:space="preserve">Gate 3 — Full Public Launch (Week 20+)</w:t>
      </w:r>
    </w:p>
    <w:p>
      <w:pPr>
        <w:spacing w:before="60" w:after="100"/>
        <w:jc w:val="left"/>
      </w:pPr>
      <w:r>
        <w:rPr>
          <w:rFonts w:ascii="Arial" w:cs="Arial" w:eastAsia="Arial" w:hAnsi="Arial"/>
          <w:b w:val="false"/>
          <w:bCs w:val="false"/>
          <w:i w:val="false"/>
          <w:iCs w:val="false"/>
          <w:color w:val="374151"/>
          <w:sz w:val="22"/>
          <w:szCs w:val="22"/>
        </w:rPr>
        <w:t xml:space="preserve">Full platform open to all approved suppliers and buyers. All automation active. Regular audit schedule: monthly internal audit, quarterly external audit.</w:t>
      </w:r>
    </w:p>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2826"/>
      </w:tblGrid>
      <w:tr>
        <w:tc>
          <w:tcPr>
            <w:tcW w:type="dxa" w:w="28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Gate 3 requirement</w:t>
            </w:r>
          </w:p>
        </w:tc>
        <w:tc>
          <w:tcPr>
            <w:tcW w:type="dxa" w:w="34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Pass criteria</w:t>
            </w:r>
          </w:p>
        </w:tc>
        <w:tc>
          <w:tcPr>
            <w:tcW w:type="dxa" w:w="2826"/>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Responsible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Gate 2 passed</w:t>
            </w:r>
          </w:p>
        </w:tc>
        <w:tc>
          <w:tcPr>
            <w:tcW w:type="dxa" w:w="3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All Gate 2 requirements met and documented</w:t>
            </w:r>
          </w:p>
        </w:tc>
        <w:tc>
          <w:tcPr>
            <w:tcW w:type="dxa" w:w="28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MD + Compliance</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Independent audit passed</w:t>
            </w:r>
          </w:p>
        </w:tc>
        <w:tc>
          <w:tcPr>
            <w:tcW w:type="dxa" w:w="3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External auditor has reviewed and issued clean report</w:t>
            </w:r>
          </w:p>
        </w:tc>
        <w:tc>
          <w:tcPr>
            <w:tcW w:type="dxa" w:w="28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External auditor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BOU notification filed</w:t>
            </w:r>
          </w:p>
        </w:tc>
        <w:tc>
          <w:tcPr>
            <w:tcW w:type="dxa" w:w="3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Regulatory position confirmed or filing submitted</w:t>
            </w:r>
          </w:p>
        </w:tc>
        <w:tc>
          <w:tcPr>
            <w:tcW w:type="dxa" w:w="28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Compliance Officer + Lawyer</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Portfolio limit agreed</w:t>
            </w:r>
          </w:p>
        </w:tc>
        <w:tc>
          <w:tcPr>
            <w:tcW w:type="dxa" w:w="3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Maximum portfolio size for first 6 months agreed with bank</w:t>
            </w:r>
          </w:p>
        </w:tc>
        <w:tc>
          <w:tcPr>
            <w:tcW w:type="dxa" w:w="28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MD + Finance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Insurance arranged</w:t>
            </w:r>
          </w:p>
        </w:tc>
        <w:tc>
          <w:tcPr>
            <w:tcW w:type="dxa" w:w="3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Credit insurance and cyber insurance in place</w:t>
            </w:r>
          </w:p>
        </w:tc>
        <w:tc>
          <w:tcPr>
            <w:tcW w:type="dxa" w:w="28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MD</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Board sign-off</w:t>
            </w:r>
          </w:p>
        </w:tc>
        <w:tc>
          <w:tcPr>
            <w:tcW w:type="dxa" w:w="3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Board resolution approving full launch</w:t>
            </w:r>
          </w:p>
        </w:tc>
        <w:tc>
          <w:tcPr>
            <w:tcW w:type="dxa" w:w="28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Board of Directors</w:t>
            </w:r>
          </w:p>
        </w:tc>
      </w:tr>
    </w:tbl>
    <w:p>
      <w:pPr>
        <w:spacing w:before="0" w:after="0"/>
      </w:pPr>
      <w:r>
        <w:br w:type="page"/>
      </w:r>
    </w:p>
    <w:p>
      <w:pPr>
        <w:pStyle w:val="Heading1"/>
        <w:pBdr>
          <w:bottom w:val="single" w:color="1D4ED8" w:sz="12" w:space="6"/>
        </w:pBdr>
        <w:spacing w:before="480" w:after="160"/>
      </w:pPr>
      <w:r>
        <w:rPr>
          <w:rFonts w:ascii="Arial" w:cs="Arial" w:eastAsia="Arial" w:hAnsi="Arial"/>
          <w:b/>
          <w:bCs/>
          <w:color w:val="1A3A5C"/>
          <w:sz w:val="40"/>
          <w:szCs w:val="40"/>
        </w:rPr>
        <w:t xml:space="preserve">Troubleshooting &amp; Ongoing Maintenance</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Situation</w:t>
            </w:r>
          </w:p>
        </w:tc>
        <w:tc>
          <w:tcPr>
            <w:tcW w:type="dxa" w:w="6826"/>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Prompt to use in Claude Desktop</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Code error</w:t>
            </w:r>
          </w:p>
        </w:tc>
        <w:tc>
          <w:tcPr>
            <w:tcW w:type="dxa" w:w="68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This error occurred: [paste exact error + stack trace]. Here is the code: [paste]. Expected behaviour: [describe]. Diagnose root cause, fix it, and write a regression test to prevent recurrence.</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Test failing</w:t>
            </w:r>
          </w:p>
        </w:tc>
        <w:tc>
          <w:tcPr>
            <w:tcW w:type="dxa" w:w="68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Jest test output: [paste]. Test file: [paste]. Implementation file: [paste]. Is the bug in the test or implementation? Fix whichever is wrong and explain why it failed.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Performance slow</w:t>
            </w:r>
          </w:p>
        </w:tc>
        <w:tc>
          <w:tcPr>
            <w:tcW w:type="dxa" w:w="68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Endpoint [name] takes [X seconds]. Slow query log: [paste]. EXPLAIN ANALYZE output: [paste]. Identify the bottleneck and optimise with minimal query restructuring.</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Security incident</w:t>
            </w:r>
          </w:p>
        </w:tc>
        <w:tc>
          <w:tcPr>
            <w:tcW w:type="dxa" w:w="68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Suspicious activity in audit logs: [paste entries]. Analyse what happened, determine if data was compromised, assess risk level, recommend immediate containment actions and remediation steps.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New BOU regulation</w:t>
            </w:r>
          </w:p>
        </w:tc>
        <w:tc>
          <w:tcPr>
            <w:tcW w:type="dxa" w:w="68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Bank of Uganda has issued: [paste regulation]. Assess the impact on MMS and produce a prioritised list of code changes, process changes, and documentation updates needed to comply.</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New feature request</w:t>
            </w:r>
          </w:p>
        </w:tc>
        <w:tc>
          <w:tcPr>
            <w:tcW w:type="dxa" w:w="68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New feature needed: [describe]. Write the requirements, assess impact on existing modules, design the database changes, implement the API endpoints, and write the tests. Follow CLAUDE.md standards.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Payment failed in production</w:t>
            </w:r>
          </w:p>
        </w:tc>
        <w:tc>
          <w:tcPr>
            <w:tcW w:type="dxa" w:w="68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Payment record ID [X] failed with status [Y]. Bank reference: [Z]. Audit log entries: [paste]. Diagnose what failed, provide the safe remediation steps, and confirm whether supplier needs to be notified.</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Buyer disputes invoice</w:t>
            </w:r>
          </w:p>
        </w:tc>
        <w:tc>
          <w:tcPr>
            <w:tcW w:type="dxa" w:w="68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Buyer [name] disputes invoice [ID], claims they did not confirm it. Audit log entries for this invoice: [paste]. Determine what the audit trail shows and produce a formal response for the legal team.</w:t>
            </w:r>
          </w:p>
        </w:tc>
      </w:tr>
    </w:tbl>
    <w:p>
      <w:pPr>
        <w:spacing w:before="0" w:after="0"/>
      </w:pPr>
      <w:r>
        <w:br w:type="page"/>
      </w:r>
    </w:p>
    <w:p>
      <w:pPr>
        <w:pStyle w:val="Heading1"/>
        <w:pBdr>
          <w:bottom w:val="single" w:color="1D4ED8" w:sz="12" w:space="6"/>
        </w:pBdr>
        <w:spacing w:before="480" w:after="160"/>
      </w:pPr>
      <w:r>
        <w:rPr>
          <w:rFonts w:ascii="Arial" w:cs="Arial" w:eastAsia="Arial" w:hAnsi="Arial"/>
          <w:b/>
          <w:bCs/>
          <w:color w:val="1A3A5C"/>
          <w:sz w:val="40"/>
          <w:szCs w:val="40"/>
        </w:rPr>
        <w:t xml:space="preserve">Complete Quick Reference</w:t>
      </w:r>
    </w:p>
    <w:p>
      <w:pPr>
        <w:spacing w:before="0" w:after="120"/>
      </w:pPr>
      <w:r>
        <w:t xml:space="preserve"/>
      </w:r>
    </w:p>
    <w:p>
      <w:pPr>
        <w:pStyle w:val="Heading2"/>
        <w:pBdr>
          <w:bottom w:val="single" w:color="D1D5DB" w:sz="4" w:space="4"/>
        </w:pBdr>
        <w:spacing w:before="360" w:after="140"/>
      </w:pPr>
      <w:r>
        <w:rPr>
          <w:rFonts w:ascii="Arial" w:cs="Arial" w:eastAsia="Arial" w:hAnsi="Arial"/>
          <w:b/>
          <w:bCs/>
          <w:color w:val="1A3A5C"/>
          <w:sz w:val="30"/>
          <w:szCs w:val="30"/>
        </w:rPr>
        <w:t xml:space="preserve">Complete Phase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900"/>
        <w:gridCol w:w="2400"/>
        <w:gridCol w:w="2426"/>
      </w:tblGrid>
      <w:tr>
        <w:tc>
          <w:tcPr>
            <w:tcW w:type="dxa" w:w="7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Phase</w:t>
            </w:r>
          </w:p>
        </w:tc>
        <w:tc>
          <w:tcPr>
            <w:tcW w:type="dxa" w:w="26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Title</w:t>
            </w:r>
          </w:p>
        </w:tc>
        <w:tc>
          <w:tcPr>
            <w:tcW w:type="dxa" w:w="9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Weeks</w:t>
            </w:r>
          </w:p>
        </w:tc>
        <w:tc>
          <w:tcPr>
            <w:tcW w:type="dxa" w:w="24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Standards</w:t>
            </w:r>
          </w:p>
        </w:tc>
        <w:tc>
          <w:tcPr>
            <w:tcW w:type="dxa" w:w="2426"/>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Risk level</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Phase 0</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Pre-Build Due Diligence</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1–3</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BOU / Legal / Team</w:t>
            </w:r>
          </w:p>
        </w:tc>
        <w:tc>
          <w:tcPr>
            <w:tcW w:type="dxa" w:w="2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CRITICAL</w:t>
            </w:r>
          </w:p>
        </w:tc>
      </w:tr>
      <w:tr>
        <w:tc>
          <w:tcPr>
            <w:tcW w:type="dxa" w:w="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Phase 1</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Requirements Engineering</w:t>
            </w:r>
          </w:p>
        </w:tc>
        <w:tc>
          <w:tcPr>
            <w:tcW w:type="dxa" w:w="9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3–4</w:t>
            </w:r>
          </w:p>
        </w:tc>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ISO/IEC 29148</w:t>
            </w:r>
          </w:p>
        </w:tc>
        <w:tc>
          <w:tcPr>
            <w:tcW w:type="dxa" w:w="24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HIGH</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Phase 2</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System Architecture</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4–5</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IEEE 1471 / C4 / STRIDE</w:t>
            </w:r>
          </w:p>
        </w:tc>
        <w:tc>
          <w:tcPr>
            <w:tcW w:type="dxa" w:w="2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HIGH</w:t>
            </w:r>
          </w:p>
        </w:tc>
      </w:tr>
      <w:tr>
        <w:tc>
          <w:tcPr>
            <w:tcW w:type="dxa" w:w="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Phase 3</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Detailed Design</w:t>
            </w:r>
          </w:p>
        </w:tc>
        <w:tc>
          <w:tcPr>
            <w:tcW w:type="dxa" w:w="9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5</w:t>
            </w:r>
          </w:p>
        </w:tc>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OpenAPI 3.0 / SOLID</w:t>
            </w:r>
          </w:p>
        </w:tc>
        <w:tc>
          <w:tcPr>
            <w:tcW w:type="dxa" w:w="24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MEDIUM</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Phase 4</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Scaffold &amp; Security Baseline</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6</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12-Factor / OWASP</w:t>
            </w:r>
          </w:p>
        </w:tc>
        <w:tc>
          <w:tcPr>
            <w:tcW w:type="dxa" w:w="2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HIGH</w:t>
            </w:r>
          </w:p>
        </w:tc>
      </w:tr>
      <w:tr>
        <w:tc>
          <w:tcPr>
            <w:tcW w:type="dxa" w:w="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Phase 5</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Module Implementation</w:t>
            </w:r>
          </w:p>
        </w:tc>
        <w:tc>
          <w:tcPr>
            <w:tcW w:type="dxa" w:w="9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7–12</w:t>
            </w:r>
          </w:p>
        </w:tc>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SOLID / Clean Code</w:t>
            </w:r>
          </w:p>
        </w:tc>
        <w:tc>
          <w:tcPr>
            <w:tcW w:type="dxa" w:w="24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HIGH</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Phase 6</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Testing &amp; Performance</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13–14</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IEEE 829 / ISO 25010</w:t>
            </w:r>
          </w:p>
        </w:tc>
        <w:tc>
          <w:tcPr>
            <w:tcW w:type="dxa" w:w="2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HIGH</w:t>
            </w:r>
          </w:p>
        </w:tc>
      </w:tr>
      <w:tr>
        <w:tc>
          <w:tcPr>
            <w:tcW w:type="dxa" w:w="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Phase 7</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Security &amp; Compliance Audit</w:t>
            </w:r>
          </w:p>
        </w:tc>
        <w:tc>
          <w:tcPr>
            <w:tcW w:type="dxa" w:w="9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14</w:t>
            </w:r>
          </w:p>
        </w:tc>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OWASP / ISO 27001 / AML</w:t>
            </w:r>
          </w:p>
        </w:tc>
        <w:tc>
          <w:tcPr>
            <w:tcW w:type="dxa" w:w="24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CRITICAL</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Phase 8</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Deployment &amp; Infrastructure</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15</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CI/CD / DevOps / DR</w:t>
            </w:r>
          </w:p>
        </w:tc>
        <w:tc>
          <w:tcPr>
            <w:tcW w:type="dxa" w:w="2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HIGH</w:t>
            </w:r>
          </w:p>
        </w:tc>
      </w:tr>
      <w:tr>
        <w:tc>
          <w:tcPr>
            <w:tcW w:type="dxa" w:w="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Phase 9</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Documentation</w:t>
            </w:r>
          </w:p>
        </w:tc>
        <w:tc>
          <w:tcPr>
            <w:tcW w:type="dxa" w:w="9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15</w:t>
            </w:r>
          </w:p>
        </w:tc>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IEEE 830 / OpenAPI</w:t>
            </w:r>
          </w:p>
        </w:tc>
        <w:tc>
          <w:tcPr>
            <w:tcW w:type="dxa" w:w="24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MEDIUM</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Phase 10</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Phased Go-Live (3 gates)</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16–20+</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Operational</w:t>
            </w:r>
          </w:p>
        </w:tc>
        <w:tc>
          <w:tcPr>
            <w:tcW w:type="dxa" w:w="2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CRITICAL</w:t>
            </w:r>
          </w:p>
        </w:tc>
      </w:tr>
    </w:tbl>
    <w:p>
      <w:pPr>
        <w:spacing w:before="0" w:after="160"/>
      </w:pPr>
      <w:r>
        <w:t xml:space="preserve"/>
      </w:r>
    </w:p>
    <w:p>
      <w:pPr>
        <w:pStyle w:val="Heading2"/>
        <w:pBdr>
          <w:bottom w:val="single" w:color="D1D5DB" w:sz="4" w:space="4"/>
        </w:pBdr>
        <w:spacing w:before="360" w:after="140"/>
      </w:pPr>
      <w:r>
        <w:rPr>
          <w:rFonts w:ascii="Arial" w:cs="Arial" w:eastAsia="Arial" w:hAnsi="Arial"/>
          <w:b/>
          <w:bCs/>
          <w:color w:val="1A3A5C"/>
          <w:sz w:val="30"/>
          <w:szCs w:val="30"/>
        </w:rPr>
        <w:t xml:space="preserve">The 11 Modules — Build Sequence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400"/>
        <w:gridCol w:w="4326"/>
      </w:tblGrid>
      <w:tr>
        <w:tc>
          <w:tcPr>
            <w:tcW w:type="dxa" w:w="5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Order</w:t>
            </w:r>
          </w:p>
        </w:tc>
        <w:tc>
          <w:tcPr>
            <w:tcW w:type="dxa" w:w="18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Module</w:t>
            </w:r>
          </w:p>
        </w:tc>
        <w:tc>
          <w:tcPr>
            <w:tcW w:type="dxa" w:w="24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Key output</w:t>
            </w:r>
          </w:p>
        </w:tc>
        <w:tc>
          <w:tcPr>
            <w:tcW w:type="dxa" w:w="4326"/>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Acceptance test</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0</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Eligibility Check</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Pre-registration gate — blocks ineligible entities before account creation</w:t>
            </w:r>
          </w:p>
        </w:tc>
        <w:tc>
          <w:tcPr>
            <w:tcW w:type="dxa" w:w="43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Ineligible entity blocked with reason code; eligible entity proceeds to registration</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Auth Service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JWT, 2FA, rate limiting, session blacklist</w:t>
            </w:r>
          </w:p>
        </w:tc>
        <w:tc>
          <w:tcPr>
            <w:tcW w:type="dxa" w:w="43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Login works, lockout works, 403 on wrong role</w:t>
            </w:r>
          </w:p>
        </w:tc>
      </w:tr>
      <w:tr>
        <w:tc>
          <w:tcPr>
            <w:tcW w:type="dxa" w:w="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2</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Onboarding</w:t>
            </w:r>
          </w:p>
        </w:tc>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KYC/KYB, encrypted PII, sanctions screening</w:t>
            </w:r>
          </w:p>
        </w:tc>
        <w:tc>
          <w:tcPr>
            <w:tcW w:type="dxa" w:w="43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Supplier cannot submit invoice without approved KYC</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3</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Invoice Intake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5-validation chain, AML flag, 72hr SLA timer</w:t>
            </w:r>
          </w:p>
        </w:tc>
        <w:tc>
          <w:tcPr>
            <w:tcW w:type="dxa" w:w="43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Duplicate and credit-limit-exceeded rejected correctly</w:t>
            </w:r>
          </w:p>
        </w:tc>
      </w:tr>
      <w:tr>
        <w:tc>
          <w:tcPr>
            <w:tcW w:type="dxa" w:w="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4</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Buyer Verification</w:t>
            </w:r>
          </w:p>
        </w:tc>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Notice of Assignment, token confirmation, legal assignment</w:t>
            </w:r>
          </w:p>
        </w:tc>
        <w:tc>
          <w:tcPr>
            <w:tcW w:type="dxa" w:w="43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Invoice cannot proceed without buyer_confirmed_at</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5</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Risk Scoring</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5-factor scores all stored individually</w:t>
            </w:r>
          </w:p>
        </w:tc>
        <w:tc>
          <w:tcPr>
            <w:tcW w:type="dxa" w:w="43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All 5 factors present in risk_scores table per invoice</w:t>
            </w:r>
          </w:p>
        </w:tc>
      </w:tr>
      <w:tr>
        <w:tc>
          <w:tcPr>
            <w:tcW w:type="dxa" w:w="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6</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Pricing Engine</w:t>
            </w:r>
          </w:p>
        </w:tc>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Transparent fee calculation</w:t>
            </w:r>
          </w:p>
        </w:tc>
        <w:tc>
          <w:tcPr>
            <w:tcW w:type="dxa" w:w="43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Supplier sees breakdown: advance, discount, net amount</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7</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Approval Workflow</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3-tier, concurrent lock, committee quorum</w:t>
            </w:r>
          </w:p>
        </w:tc>
        <w:tc>
          <w:tcPr>
            <w:tcW w:type="dxa" w:w="43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Single officer cannot approve Tier 3 invoice alone</w:t>
            </w:r>
          </w:p>
        </w:tc>
      </w:tr>
      <w:tr>
        <w:tc>
          <w:tcPr>
            <w:tcW w:type="dxa" w:w="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8</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Payment Engine</w:t>
            </w:r>
          </w:p>
        </w:tc>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Dual auth, MTN/Airtel/EFT, 72hr SLA alert</w:t>
            </w:r>
          </w:p>
        </w:tc>
        <w:tc>
          <w:tcPr>
            <w:tcW w:type="dxa" w:w="43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Payment cannot execute with single authorisation</w:t>
            </w:r>
          </w:p>
        </w:tc>
      </w:tr>
      <w:tr>
        <w:tc>
          <w:tcPr>
            <w:tcW w:type="dxa" w:w="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8b</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Collateral Management</w:t>
            </w:r>
          </w:p>
        </w:tc>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Pre-disbursement gate — collateral recorded and verified before payment releases</w:t>
            </w:r>
          </w:p>
        </w:tc>
        <w:tc>
          <w:tcPr>
            <w:tcW w:type="dxa" w:w="43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Payment blocked if collateral missing, insufficient, or expired</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9</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Collections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Automated reminders, penalty, overdue escalation</w:t>
            </w:r>
          </w:p>
        </w:tc>
        <w:tc>
          <w:tcPr>
            <w:tcW w:type="dxa" w:w="43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T-7 reminder sent, penalty calculated on overdue</w:t>
            </w:r>
          </w:p>
        </w:tc>
      </w:tr>
      <w:tr>
        <w:tc>
          <w:tcPr>
            <w:tcW w:type="dxa" w:w="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10</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Bank Facilities</w:t>
            </w:r>
          </w:p>
        </w:tc>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Drawdown tracking, interest accrual, alerts</w:t>
            </w:r>
          </w:p>
        </w:tc>
        <w:tc>
          <w:tcPr>
            <w:tcW w:type="dxa" w:w="43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Facility suspended at 90% utilisation</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11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Reporting</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Role-filtered, CSV export, regulatory reports</w:t>
            </w:r>
          </w:p>
        </w:tc>
        <w:tc>
          <w:tcPr>
            <w:tcW w:type="dxa" w:w="43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Supplier cannot see management portfolio report</w:t>
            </w:r>
          </w:p>
        </w:tc>
      </w:tr>
    </w:tbl>
    <w:p>
      <w:pPr>
        <w:spacing w:before="0" w:after="160"/>
      </w:pPr>
      <w:r>
        <w:t xml:space="preserve"/>
      </w:r>
    </w:p>
    <w:p>
      <w:pPr>
        <w:pStyle w:val="Heading2"/>
        <w:pBdr>
          <w:bottom w:val="single" w:color="D1D5DB" w:sz="4" w:space="4"/>
        </w:pBdr>
        <w:spacing w:before="360" w:after="140"/>
      </w:pPr>
      <w:r>
        <w:rPr>
          <w:rFonts w:ascii="Arial" w:cs="Arial" w:eastAsia="Arial" w:hAnsi="Arial"/>
          <w:b/>
          <w:bCs/>
          <w:color w:val="1A3A5C"/>
          <w:sz w:val="30"/>
          <w:szCs w:val="30"/>
        </w:rPr>
        <w:t xml:space="preserve">Standards Applied and Why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Standard</w:t>
            </w:r>
          </w:p>
        </w:tc>
        <w:tc>
          <w:tcPr>
            <w:tcW w:type="dxa" w:w="6426"/>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Why it matters for MMS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ISO/IEC 29148</w:t>
            </w:r>
          </w:p>
        </w:tc>
        <w:tc>
          <w:tcPr>
            <w:tcW w:type="dxa" w:w="6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Ensures requirements are unambiguous, testable, and complete before any code is written</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IEEE 1471</w:t>
            </w:r>
          </w:p>
        </w:tc>
        <w:tc>
          <w:tcPr>
            <w:tcW w:type="dxa" w:w="64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Ensures architecture decisions are documented so future developers and auditors understand why things were built the way they were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STRIDE Threat Modelling</w:t>
            </w:r>
          </w:p>
        </w:tc>
        <w:tc>
          <w:tcPr>
            <w:tcW w:type="dxa" w:w="6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Identifies attack vectors before they are accidentally built into the system</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OpenAPI 3.0</w:t>
            </w:r>
          </w:p>
        </w:tc>
        <w:tc>
          <w:tcPr>
            <w:tcW w:type="dxa" w:w="64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Creates a binding API contract that survives developer turnover and enables automated testing</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SOLID Principles</w:t>
            </w:r>
          </w:p>
        </w:tc>
        <w:tc>
          <w:tcPr>
            <w:tcW w:type="dxa" w:w="6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Produces code that can be extended (new scoring factors, new payment providers) without rewriting existing code</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12-Factor App</w:t>
            </w:r>
          </w:p>
        </w:tc>
        <w:tc>
          <w:tcPr>
            <w:tcW w:type="dxa" w:w="64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Ensures MMS can be deployed repeatably and scaled without architectural changes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IEEE 829</w:t>
            </w:r>
          </w:p>
        </w:tc>
        <w:tc>
          <w:tcPr>
            <w:tcW w:type="dxa" w:w="6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Ensures testing is planned, documented, and comprehensive rather than ad hoc</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ISO/IEC 25010</w:t>
            </w:r>
          </w:p>
        </w:tc>
        <w:tc>
          <w:tcPr>
            <w:tcW w:type="dxa" w:w="64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Provides measurable quality targets (performance, reliability, security) rather than vague aspirations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OWASP Top 10 (2021)</w:t>
            </w:r>
          </w:p>
        </w:tc>
        <w:tc>
          <w:tcPr>
            <w:tcW w:type="dxa" w:w="6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Protects against the most common and most exploited web security vulnerabilities</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ISO 27001</w:t>
            </w:r>
          </w:p>
        </w:tc>
        <w:tc>
          <w:tcPr>
            <w:tcW w:type="dxa" w:w="64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Provides the information security management framework banks and regulators expect</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Uganda AML Act 2013</w:t>
            </w:r>
          </w:p>
        </w:tc>
        <w:tc>
          <w:tcPr>
            <w:tcW w:type="dxa" w:w="6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Legal obligation — non-compliance carries criminal liability for MMS directors</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Uganda PDPA 2019</w:t>
            </w:r>
          </w:p>
        </w:tc>
        <w:tc>
          <w:tcPr>
            <w:tcW w:type="dxa" w:w="64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Legal obligation — personal data of suppliers and buyers must be handled lawfully</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PCI-DSS</w:t>
            </w:r>
          </w:p>
        </w:tc>
        <w:tc>
          <w:tcPr>
            <w:tcW w:type="dxa" w:w="6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Governs handling of payment data — applicable if MMS stores any card-related information</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FATF Recommendations</w:t>
            </w:r>
          </w:p>
        </w:tc>
        <w:tc>
          <w:tcPr>
            <w:tcW w:type="dxa" w:w="64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International AML/CFT standards that FIA Uganda enforces locally</w:t>
            </w:r>
          </w:p>
        </w:tc>
      </w:tr>
    </w:tbl>
    <w:p>
      <w:pPr>
        <w:spacing w:before="0" w:after="200"/>
      </w:pPr>
      <w:r>
        <w:t xml:space="preserve"/>
      </w:r>
    </w:p>
    <w:p>
      <w:pPr>
        <w:spacing w:before="0" w:after="60"/>
        <w:jc w:val="center"/>
      </w:pPr>
      <w:r>
        <w:rPr>
          <w:rFonts w:ascii="Arial" w:cs="Arial" w:eastAsia="Arial" w:hAnsi="Arial"/>
          <w:i/>
          <w:iCs/>
          <w:color w:val="6B7280"/>
          <w:sz w:val="20"/>
          <w:szCs w:val="20"/>
        </w:rPr>
        <w:t>MMS Complete Build Guide — Version 2.1 Specialist Edition</w:t>
      </w:r>
    </w:p>
    <w:p>
      <w:pPr>
        <w:spacing w:before="0" w:after="0"/>
        <w:jc w:val="center"/>
      </w:pPr>
      <w:r>
        <w:rPr>
          <w:rFonts w:ascii="Arial" w:cs="Arial" w:eastAsia="Arial" w:hAnsi="Arial"/>
          <w:i/>
          <w:iCs/>
          <w:color w:val="BBBBBB"/>
          <w:sz w:val="18"/>
          <w:szCs w:val="18"/>
        </w:rPr>
        <w:t>Generated: 19 March 2026 | Updated: 29 March 2026 | 11 Phases | 13 Modules (11 original + Module 0 + Module 8b) | 14 International Standards | Phased Go-Live Strategy</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spacing w:before="120" w:after="0"/>
      <w:jc w:val="center"/>
    </w:pPr>
    <w:r>
      <w:rPr>
        <w:rFonts w:ascii="Arial" w:cs="Arial" w:eastAsia="Arial" w:hAnsi="Arial"/>
        <w:color w:val="AAAAAA"/>
        <w:sz w:val="16"/>
        <w:szCs w:val="16"/>
      </w:rPr>
      <w:t xml:space="preserve">Confidential — MMS Invoice Discounting Platform | Shift-Left Security | 3-Gate Go-Live | Uganda Fintech Compliance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spacing w:before="0" w:after="120"/>
    </w:pPr>
    <w:r>
      <w:rPr>
        <w:rFonts w:ascii="Arial" w:cs="Arial" w:eastAsia="Arial" w:hAnsi="Arial"/>
        <w:color w:val="6B7280"/>
        <w:sz w:val="18"/>
        <w:szCs w:val="18"/>
      </w:rPr>
      <w:t xml:space="preserve">MMS Complete Build Guide — Version 2.0 Specialist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A3A5C"/>
      <w:sz w:val="40"/>
      <w:szCs w:val="40"/>
    </w:rPr>
  </w:style>
  <w:style w:type="paragraph" w:styleId="Heading2">
    <w:name w:val="Heading 2"/>
    <w:basedOn w:val="Normal"/>
    <w:next w:val="Normal"/>
    <w:qFormat/>
    <w:pPr>
      <w:spacing w:before="360" w:after="140"/>
      <w:outlineLvl w:val="1"/>
    </w:pPr>
    <w:rPr>
      <w:rFonts w:ascii="Arial" w:cs="Arial" w:eastAsia="Arial" w:hAnsi="Arial"/>
      <w:b/>
      <w:bCs/>
      <w:color w:val="1A3A5C"/>
      <w:sz w:val="30"/>
      <w:szCs w:val="30"/>
    </w:rPr>
  </w:style>
  <w:style w:type="paragraph" w:styleId="Heading3">
    <w:name w:val="Heading 3"/>
    <w:basedOn w:val="Normal"/>
    <w:next w:val="Normal"/>
    <w:qFormat/>
    <w:pPr>
      <w:spacing w:before="260" w:after="100"/>
      <w:outlineLvl w:val="2"/>
    </w:pPr>
    <w:rPr>
      <w:rFonts w:ascii="Arial" w:cs="Arial" w:eastAsia="Arial" w:hAnsi="Arial"/>
      <w:b/>
      <w:bCs/>
      <w:color w:val="1D4ED8"/>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2026-03-19T13:12:10.802Z</dcterms:created>
  <dcterms:modified xsi:type="dcterms:W3CDTF">2026-03-19T13:12:10.802Z</dcterms:modified>
</cp:coreProperties>
</file>

<file path=docProps/custom.xml><?xml version="1.0" encoding="utf-8"?>
<Properties xmlns="http://schemas.openxmlformats.org/officeDocument/2006/custom-properties" xmlns:vt="http://schemas.openxmlformats.org/officeDocument/2006/docPropsVTypes"/>
</file>