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6366F1"/>
          <w:sz w:val="72"/>
        </w:rPr>
        <w:t>👻  GhostAccounts</w:t>
      </w:r>
    </w:p>
    <w:p>
      <w:pPr>
        <w:jc w:val="center"/>
      </w:pPr>
      <w:r>
        <w:rPr>
          <w:rFonts w:ascii="Calibri" w:hAnsi="Calibri"/>
          <w:color w:val="1E1B4B"/>
          <w:sz w:val="44"/>
        </w:rPr>
        <w:t>Produkthandbuch</w:t>
      </w:r>
    </w:p>
    <w:p/>
    <w:p>
      <w:pPr>
        <w:jc w:val="center"/>
      </w:pPr>
      <w:r>
        <w:rPr>
          <w:rFonts w:ascii="Calibri" w:hAnsi="Calibri"/>
          <w:i/>
          <w:color w:val="6B7280"/>
          <w:sz w:val="28"/>
        </w:rPr>
        <w:t>Dein digitaler Datenschutz-Assistent</w:t>
      </w:r>
    </w:p>
    <w:p/>
    <w:p>
      <w:pPr>
        <w:jc w:val="center"/>
      </w:pPr>
      <w:r>
        <w:rPr>
          <w:rFonts w:ascii="Calibri" w:hAnsi="Calibri"/>
          <w:color w:val="6B7280"/>
          <w:sz w:val="20"/>
        </w:rPr>
        <w:t>Version 1.0  ·  Stand: 11. May 2026  ·  WAMOCON GmbH  ·  Vertraulich</w:t>
      </w:r>
    </w:p>
    <w:p>
      <w:r>
        <w:br w:type="page"/>
      </w:r>
    </w:p>
    <w:p>
      <w:pPr>
        <w:pStyle w:val="Heading1"/>
        <w:spacing w:before="320" w:after="120"/>
      </w:pPr>
      <w:r>
        <w:rPr>
          <w:color w:val="6366F1"/>
        </w:rPr>
        <w:t>Inhaltsverzeichnis</w:t>
      </w:r>
    </w:p>
    <w:tbl>
      <w:tblPr>
        <w:tblW w:type="auto" w:w="0"/>
        <w:jc w:val="left"/>
        <w:tblLook w:firstColumn="1" w:firstRow="1" w:lastColumn="0" w:lastRow="0" w:noHBand="0" w:noVBand="1" w:val="04A0"/>
      </w:tblPr>
      <w:tblGrid>
        <w:gridCol w:w="3041"/>
        <w:gridCol w:w="3041"/>
        <w:gridCol w:w="3041"/>
      </w:tblGrid>
      <w:tr>
        <w:tc>
          <w:tcPr>
            <w:tcW w:type="dxa" w:w="3041"/>
            <w:shd w:val="clear" w:color="auto" w:fill="EEF2FF"/>
          </w:tcPr>
          <w:p>
            <w:pPr>
              <w:jc w:val="left"/>
            </w:pPr>
            <w:r>
              <w:rPr>
                <w:rFonts w:ascii="Calibri" w:hAnsi="Calibri"/>
                <w:b/>
                <w:color w:val="6366F1"/>
                <w:sz w:val="21"/>
              </w:rPr>
              <w:t>1</w:t>
            </w:r>
          </w:p>
        </w:tc>
        <w:tc>
          <w:tcPr>
            <w:tcW w:type="dxa" w:w="3041"/>
            <w:shd w:val="clear" w:color="auto" w:fill="EEF2FF"/>
          </w:tcPr>
          <w:p>
            <w:pPr>
              <w:jc w:val="left"/>
            </w:pPr>
            <w:r>
              <w:rPr>
                <w:rFonts w:ascii="Calibri" w:hAnsi="Calibri"/>
                <w:b/>
                <w:color w:val="111827"/>
                <w:sz w:val="21"/>
              </w:rPr>
              <w:t>Einleitung &amp; Produktvision</w:t>
            </w:r>
          </w:p>
        </w:tc>
        <w:tc>
          <w:tcPr>
            <w:tcW w:type="dxa" w:w="3041"/>
            <w:shd w:val="clear" w:color="auto" w:fill="EEF2FF"/>
          </w:tcPr>
          <w:p>
            <w:pPr>
              <w:jc w:val="right"/>
            </w:pPr>
            <w:r>
              <w:rPr>
                <w:rFonts w:ascii="Calibri" w:hAnsi="Calibri"/>
                <w:b w:val="0"/>
                <w:color w:val="6B7280"/>
                <w:sz w:val="21"/>
              </w:rPr>
              <w:t>3</w:t>
            </w:r>
          </w:p>
        </w:tc>
      </w:tr>
      <w:tr>
        <w:tc>
          <w:tcPr>
            <w:tcW w:type="dxa" w:w="3041"/>
            <w:shd w:val="clear" w:color="auto" w:fill="FFFFFF"/>
          </w:tcPr>
          <w:p>
            <w:pPr>
              <w:jc w:val="left"/>
            </w:pPr>
            <w:r>
              <w:rPr>
                <w:rFonts w:ascii="Calibri" w:hAnsi="Calibri"/>
                <w:b/>
                <w:color w:val="6366F1"/>
                <w:sz w:val="21"/>
              </w:rPr>
              <w:t>2</w:t>
            </w:r>
          </w:p>
        </w:tc>
        <w:tc>
          <w:tcPr>
            <w:tcW w:type="dxa" w:w="3041"/>
            <w:shd w:val="clear" w:color="auto" w:fill="FFFFFF"/>
          </w:tcPr>
          <w:p>
            <w:pPr>
              <w:jc w:val="left"/>
            </w:pPr>
            <w:r>
              <w:rPr>
                <w:rFonts w:ascii="Calibri" w:hAnsi="Calibri"/>
                <w:b/>
                <w:color w:val="111827"/>
                <w:sz w:val="21"/>
              </w:rPr>
              <w:t>Zielgruppe &amp; Anwendungsfälle</w:t>
            </w:r>
          </w:p>
        </w:tc>
        <w:tc>
          <w:tcPr>
            <w:tcW w:type="dxa" w:w="3041"/>
            <w:shd w:val="clear" w:color="auto" w:fill="FFFFFF"/>
          </w:tcPr>
          <w:p>
            <w:pPr>
              <w:jc w:val="right"/>
            </w:pPr>
            <w:r>
              <w:rPr>
                <w:rFonts w:ascii="Calibri" w:hAnsi="Calibri"/>
                <w:b w:val="0"/>
                <w:color w:val="6B7280"/>
                <w:sz w:val="21"/>
              </w:rPr>
              <w:t>4</w:t>
            </w:r>
          </w:p>
        </w:tc>
      </w:tr>
      <w:tr>
        <w:tc>
          <w:tcPr>
            <w:tcW w:type="dxa" w:w="3041"/>
            <w:shd w:val="clear" w:color="auto" w:fill="EEF2FF"/>
          </w:tcPr>
          <w:p>
            <w:pPr>
              <w:jc w:val="left"/>
            </w:pPr>
            <w:r>
              <w:rPr>
                <w:rFonts w:ascii="Calibri" w:hAnsi="Calibri"/>
                <w:b/>
                <w:color w:val="6366F1"/>
                <w:sz w:val="21"/>
              </w:rPr>
              <w:t>3</w:t>
            </w:r>
          </w:p>
        </w:tc>
        <w:tc>
          <w:tcPr>
            <w:tcW w:type="dxa" w:w="3041"/>
            <w:shd w:val="clear" w:color="auto" w:fill="EEF2FF"/>
          </w:tcPr>
          <w:p>
            <w:pPr>
              <w:jc w:val="left"/>
            </w:pPr>
            <w:r>
              <w:rPr>
                <w:rFonts w:ascii="Calibri" w:hAnsi="Calibri"/>
                <w:b/>
                <w:color w:val="111827"/>
                <w:sz w:val="21"/>
              </w:rPr>
              <w:t>Erste Schritte – Registrierung &amp; Login</w:t>
            </w:r>
          </w:p>
        </w:tc>
        <w:tc>
          <w:tcPr>
            <w:tcW w:type="dxa" w:w="3041"/>
            <w:shd w:val="clear" w:color="auto" w:fill="EEF2FF"/>
          </w:tcPr>
          <w:p>
            <w:pPr>
              <w:jc w:val="right"/>
            </w:pPr>
            <w:r>
              <w:rPr>
                <w:rFonts w:ascii="Calibri" w:hAnsi="Calibri"/>
                <w:b w:val="0"/>
                <w:color w:val="6B7280"/>
                <w:sz w:val="21"/>
              </w:rPr>
              <w:t>5</w:t>
            </w:r>
          </w:p>
        </w:tc>
      </w:tr>
      <w:tr>
        <w:tc>
          <w:tcPr>
            <w:tcW w:type="dxa" w:w="3041"/>
            <w:shd w:val="clear" w:color="auto" w:fill="FFFFFF"/>
          </w:tcPr>
          <w:p>
            <w:pPr>
              <w:jc w:val="left"/>
            </w:pPr>
            <w:r>
              <w:rPr>
                <w:rFonts w:ascii="Calibri" w:hAnsi="Calibri"/>
                <w:b/>
                <w:color w:val="6366F1"/>
                <w:sz w:val="21"/>
              </w:rPr>
              <w:t>4</w:t>
            </w:r>
          </w:p>
        </w:tc>
        <w:tc>
          <w:tcPr>
            <w:tcW w:type="dxa" w:w="3041"/>
            <w:shd w:val="clear" w:color="auto" w:fill="FFFFFF"/>
          </w:tcPr>
          <w:p>
            <w:pPr>
              <w:jc w:val="left"/>
            </w:pPr>
            <w:r>
              <w:rPr>
                <w:rFonts w:ascii="Calibri" w:hAnsi="Calibri"/>
                <w:b/>
                <w:color w:val="111827"/>
                <w:sz w:val="21"/>
              </w:rPr>
              <w:t>Dashboard – Übersicht</w:t>
            </w:r>
          </w:p>
        </w:tc>
        <w:tc>
          <w:tcPr>
            <w:tcW w:type="dxa" w:w="3041"/>
            <w:shd w:val="clear" w:color="auto" w:fill="FFFFFF"/>
          </w:tcPr>
          <w:p>
            <w:pPr>
              <w:jc w:val="right"/>
            </w:pPr>
            <w:r>
              <w:rPr>
                <w:rFonts w:ascii="Calibri" w:hAnsi="Calibri"/>
                <w:b w:val="0"/>
                <w:color w:val="6B7280"/>
                <w:sz w:val="21"/>
              </w:rPr>
              <w:t>6</w:t>
            </w:r>
          </w:p>
        </w:tc>
      </w:tr>
      <w:tr>
        <w:tc>
          <w:tcPr>
            <w:tcW w:type="dxa" w:w="3041"/>
            <w:shd w:val="clear" w:color="auto" w:fill="EEF2FF"/>
          </w:tcPr>
          <w:p>
            <w:pPr>
              <w:jc w:val="left"/>
            </w:pPr>
            <w:r>
              <w:rPr>
                <w:rFonts w:ascii="Calibri" w:hAnsi="Calibri"/>
                <w:b/>
                <w:color w:val="6366F1"/>
                <w:sz w:val="21"/>
              </w:rPr>
              <w:t>5</w:t>
            </w:r>
          </w:p>
        </w:tc>
        <w:tc>
          <w:tcPr>
            <w:tcW w:type="dxa" w:w="3041"/>
            <w:shd w:val="clear" w:color="auto" w:fill="EEF2FF"/>
          </w:tcPr>
          <w:p>
            <w:pPr>
              <w:jc w:val="left"/>
            </w:pPr>
            <w:r>
              <w:rPr>
                <w:rFonts w:ascii="Calibri" w:hAnsi="Calibri"/>
                <w:b/>
                <w:color w:val="111827"/>
                <w:sz w:val="21"/>
              </w:rPr>
              <w:t>Scan-Funktion</w:t>
            </w:r>
          </w:p>
        </w:tc>
        <w:tc>
          <w:tcPr>
            <w:tcW w:type="dxa" w:w="3041"/>
            <w:shd w:val="clear" w:color="auto" w:fill="EEF2FF"/>
          </w:tcPr>
          <w:p>
            <w:pPr>
              <w:jc w:val="right"/>
            </w:pPr>
            <w:r>
              <w:rPr>
                <w:rFonts w:ascii="Calibri" w:hAnsi="Calibri"/>
                <w:b w:val="0"/>
                <w:color w:val="6B7280"/>
                <w:sz w:val="21"/>
              </w:rPr>
              <w:t>8</w:t>
            </w:r>
          </w:p>
        </w:tc>
      </w:tr>
      <w:tr>
        <w:tc>
          <w:tcPr>
            <w:tcW w:type="dxa" w:w="3041"/>
            <w:shd w:val="clear" w:color="auto" w:fill="FFFFFF"/>
          </w:tcPr>
          <w:p>
            <w:pPr>
              <w:jc w:val="left"/>
            </w:pPr>
            <w:r>
              <w:rPr>
                <w:rFonts w:ascii="Calibri" w:hAnsi="Calibri"/>
                <w:b w:val="0"/>
                <w:color w:val="6366F1"/>
                <w:sz w:val="21"/>
              </w:rPr>
              <w:t>5.1</w:t>
            </w:r>
          </w:p>
        </w:tc>
        <w:tc>
          <w:tcPr>
            <w:tcW w:type="dxa" w:w="3041"/>
            <w:shd w:val="clear" w:color="auto" w:fill="FFFFFF"/>
          </w:tcPr>
          <w:p>
            <w:pPr>
              <w:jc w:val="left"/>
            </w:pPr>
            <w:r>
              <w:rPr>
                <w:rFonts w:ascii="Calibri" w:hAnsi="Calibri"/>
                <w:b w:val="0"/>
                <w:color w:val="111827"/>
                <w:sz w:val="21"/>
              </w:rPr>
              <w:t>Gmail OAuth Scan</w:t>
            </w:r>
          </w:p>
        </w:tc>
        <w:tc>
          <w:tcPr>
            <w:tcW w:type="dxa" w:w="3041"/>
            <w:shd w:val="clear" w:color="auto" w:fill="FFFFFF"/>
          </w:tcPr>
          <w:p>
            <w:pPr>
              <w:jc w:val="right"/>
            </w:pPr>
            <w:r>
              <w:rPr>
                <w:rFonts w:ascii="Calibri" w:hAnsi="Calibri"/>
                <w:b w:val="0"/>
                <w:color w:val="6B7280"/>
                <w:sz w:val="21"/>
              </w:rPr>
              <w:t>9</w:t>
            </w:r>
          </w:p>
        </w:tc>
      </w:tr>
      <w:tr>
        <w:tc>
          <w:tcPr>
            <w:tcW w:type="dxa" w:w="3041"/>
            <w:shd w:val="clear" w:color="auto" w:fill="EEF2FF"/>
          </w:tcPr>
          <w:p>
            <w:pPr>
              <w:jc w:val="left"/>
            </w:pPr>
            <w:r>
              <w:rPr>
                <w:rFonts w:ascii="Calibri" w:hAnsi="Calibri"/>
                <w:b w:val="0"/>
                <w:color w:val="6366F1"/>
                <w:sz w:val="21"/>
              </w:rPr>
              <w:t>5.2</w:t>
            </w:r>
          </w:p>
        </w:tc>
        <w:tc>
          <w:tcPr>
            <w:tcW w:type="dxa" w:w="3041"/>
            <w:shd w:val="clear" w:color="auto" w:fill="EEF2FF"/>
          </w:tcPr>
          <w:p>
            <w:pPr>
              <w:jc w:val="left"/>
            </w:pPr>
            <w:r>
              <w:rPr>
                <w:rFonts w:ascii="Calibri" w:hAnsi="Calibri"/>
                <w:b w:val="0"/>
                <w:color w:val="111827"/>
                <w:sz w:val="21"/>
              </w:rPr>
              <w:t>IMAP-Scan (alle Anbieter)</w:t>
            </w:r>
          </w:p>
        </w:tc>
        <w:tc>
          <w:tcPr>
            <w:tcW w:type="dxa" w:w="3041"/>
            <w:shd w:val="clear" w:color="auto" w:fill="EEF2FF"/>
          </w:tcPr>
          <w:p>
            <w:pPr>
              <w:jc w:val="right"/>
            </w:pPr>
            <w:r>
              <w:rPr>
                <w:rFonts w:ascii="Calibri" w:hAnsi="Calibri"/>
                <w:b w:val="0"/>
                <w:color w:val="6B7280"/>
                <w:sz w:val="21"/>
              </w:rPr>
              <w:t>10</w:t>
            </w:r>
          </w:p>
        </w:tc>
      </w:tr>
      <w:tr>
        <w:tc>
          <w:tcPr>
            <w:tcW w:type="dxa" w:w="3041"/>
            <w:shd w:val="clear" w:color="auto" w:fill="FFFFFF"/>
          </w:tcPr>
          <w:p>
            <w:pPr>
              <w:jc w:val="left"/>
            </w:pPr>
            <w:r>
              <w:rPr>
                <w:rFonts w:ascii="Calibri" w:hAnsi="Calibri"/>
                <w:b w:val="0"/>
                <w:color w:val="6366F1"/>
                <w:sz w:val="21"/>
              </w:rPr>
              <w:t>5.3</w:t>
            </w:r>
          </w:p>
        </w:tc>
        <w:tc>
          <w:tcPr>
            <w:tcW w:type="dxa" w:w="3041"/>
            <w:shd w:val="clear" w:color="auto" w:fill="FFFFFF"/>
          </w:tcPr>
          <w:p>
            <w:pPr>
              <w:jc w:val="left"/>
            </w:pPr>
            <w:r>
              <w:rPr>
                <w:rFonts w:ascii="Calibri" w:hAnsi="Calibri"/>
                <w:b w:val="0"/>
                <w:color w:val="111827"/>
                <w:sz w:val="21"/>
              </w:rPr>
              <w:t>Demo-Scan</w:t>
            </w:r>
          </w:p>
        </w:tc>
        <w:tc>
          <w:tcPr>
            <w:tcW w:type="dxa" w:w="3041"/>
            <w:shd w:val="clear" w:color="auto" w:fill="FFFFFF"/>
          </w:tcPr>
          <w:p>
            <w:pPr>
              <w:jc w:val="right"/>
            </w:pPr>
            <w:r>
              <w:rPr>
                <w:rFonts w:ascii="Calibri" w:hAnsi="Calibri"/>
                <w:b w:val="0"/>
                <w:color w:val="6B7280"/>
                <w:sz w:val="21"/>
              </w:rPr>
              <w:t>11</w:t>
            </w:r>
          </w:p>
        </w:tc>
      </w:tr>
      <w:tr>
        <w:tc>
          <w:tcPr>
            <w:tcW w:type="dxa" w:w="3041"/>
            <w:shd w:val="clear" w:color="auto" w:fill="EEF2FF"/>
          </w:tcPr>
          <w:p>
            <w:pPr>
              <w:jc w:val="left"/>
            </w:pPr>
            <w:r>
              <w:rPr>
                <w:rFonts w:ascii="Calibri" w:hAnsi="Calibri"/>
                <w:b/>
                <w:color w:val="6366F1"/>
                <w:sz w:val="21"/>
              </w:rPr>
              <w:t>6</w:t>
            </w:r>
          </w:p>
        </w:tc>
        <w:tc>
          <w:tcPr>
            <w:tcW w:type="dxa" w:w="3041"/>
            <w:shd w:val="clear" w:color="auto" w:fill="EEF2FF"/>
          </w:tcPr>
          <w:p>
            <w:pPr>
              <w:jc w:val="left"/>
            </w:pPr>
            <w:r>
              <w:rPr>
                <w:rFonts w:ascii="Calibri" w:hAnsi="Calibri"/>
                <w:b/>
                <w:color w:val="111827"/>
                <w:sz w:val="21"/>
              </w:rPr>
              <w:t>Konten-Übersicht (Accounts)</w:t>
            </w:r>
          </w:p>
        </w:tc>
        <w:tc>
          <w:tcPr>
            <w:tcW w:type="dxa" w:w="3041"/>
            <w:shd w:val="clear" w:color="auto" w:fill="EEF2FF"/>
          </w:tcPr>
          <w:p>
            <w:pPr>
              <w:jc w:val="right"/>
            </w:pPr>
            <w:r>
              <w:rPr>
                <w:rFonts w:ascii="Calibri" w:hAnsi="Calibri"/>
                <w:b w:val="0"/>
                <w:color w:val="6B7280"/>
                <w:sz w:val="21"/>
              </w:rPr>
              <w:t>12</w:t>
            </w:r>
          </w:p>
        </w:tc>
      </w:tr>
      <w:tr>
        <w:tc>
          <w:tcPr>
            <w:tcW w:type="dxa" w:w="3041"/>
            <w:shd w:val="clear" w:color="auto" w:fill="FFFFFF"/>
          </w:tcPr>
          <w:p>
            <w:pPr>
              <w:jc w:val="left"/>
            </w:pPr>
            <w:r>
              <w:rPr>
                <w:rFonts w:ascii="Calibri" w:hAnsi="Calibri"/>
                <w:b w:val="0"/>
                <w:color w:val="6366F1"/>
                <w:sz w:val="21"/>
              </w:rPr>
              <w:t>6.1</w:t>
            </w:r>
          </w:p>
        </w:tc>
        <w:tc>
          <w:tcPr>
            <w:tcW w:type="dxa" w:w="3041"/>
            <w:shd w:val="clear" w:color="auto" w:fill="FFFFFF"/>
          </w:tcPr>
          <w:p>
            <w:pPr>
              <w:jc w:val="left"/>
            </w:pPr>
            <w:r>
              <w:rPr>
                <w:rFonts w:ascii="Calibri" w:hAnsi="Calibri"/>
                <w:b w:val="0"/>
                <w:color w:val="111827"/>
                <w:sz w:val="21"/>
              </w:rPr>
              <w:t>Filter &amp; Suche</w:t>
            </w:r>
          </w:p>
        </w:tc>
        <w:tc>
          <w:tcPr>
            <w:tcW w:type="dxa" w:w="3041"/>
            <w:shd w:val="clear" w:color="auto" w:fill="FFFFFF"/>
          </w:tcPr>
          <w:p>
            <w:pPr>
              <w:jc w:val="right"/>
            </w:pPr>
            <w:r>
              <w:rPr>
                <w:rFonts w:ascii="Calibri" w:hAnsi="Calibri"/>
                <w:b w:val="0"/>
                <w:color w:val="6B7280"/>
                <w:sz w:val="21"/>
              </w:rPr>
              <w:t>13</w:t>
            </w:r>
          </w:p>
        </w:tc>
      </w:tr>
      <w:tr>
        <w:tc>
          <w:tcPr>
            <w:tcW w:type="dxa" w:w="3041"/>
            <w:shd w:val="clear" w:color="auto" w:fill="EEF2FF"/>
          </w:tcPr>
          <w:p>
            <w:pPr>
              <w:jc w:val="left"/>
            </w:pPr>
            <w:r>
              <w:rPr>
                <w:rFonts w:ascii="Calibri" w:hAnsi="Calibri"/>
                <w:b w:val="0"/>
                <w:color w:val="6366F1"/>
                <w:sz w:val="21"/>
              </w:rPr>
              <w:t>6.2</w:t>
            </w:r>
          </w:p>
        </w:tc>
        <w:tc>
          <w:tcPr>
            <w:tcW w:type="dxa" w:w="3041"/>
            <w:shd w:val="clear" w:color="auto" w:fill="EEF2FF"/>
          </w:tcPr>
          <w:p>
            <w:pPr>
              <w:jc w:val="left"/>
            </w:pPr>
            <w:r>
              <w:rPr>
                <w:rFonts w:ascii="Calibri" w:hAnsi="Calibri"/>
                <w:b w:val="0"/>
                <w:color w:val="111827"/>
                <w:sz w:val="21"/>
              </w:rPr>
              <w:t>Konto-Aktionen</w:t>
            </w:r>
          </w:p>
        </w:tc>
        <w:tc>
          <w:tcPr>
            <w:tcW w:type="dxa" w:w="3041"/>
            <w:shd w:val="clear" w:color="auto" w:fill="EEF2FF"/>
          </w:tcPr>
          <w:p>
            <w:pPr>
              <w:jc w:val="right"/>
            </w:pPr>
            <w:r>
              <w:rPr>
                <w:rFonts w:ascii="Calibri" w:hAnsi="Calibri"/>
                <w:b w:val="0"/>
                <w:color w:val="6B7280"/>
                <w:sz w:val="21"/>
              </w:rPr>
              <w:t>14</w:t>
            </w:r>
          </w:p>
        </w:tc>
      </w:tr>
      <w:tr>
        <w:tc>
          <w:tcPr>
            <w:tcW w:type="dxa" w:w="3041"/>
            <w:shd w:val="clear" w:color="auto" w:fill="FFFFFF"/>
          </w:tcPr>
          <w:p>
            <w:pPr>
              <w:jc w:val="left"/>
            </w:pPr>
            <w:r>
              <w:rPr>
                <w:rFonts w:ascii="Calibri" w:hAnsi="Calibri"/>
                <w:b w:val="0"/>
                <w:color w:val="6366F1"/>
                <w:sz w:val="21"/>
              </w:rPr>
              <w:t>6.3</w:t>
            </w:r>
          </w:p>
        </w:tc>
        <w:tc>
          <w:tcPr>
            <w:tcW w:type="dxa" w:w="3041"/>
            <w:shd w:val="clear" w:color="auto" w:fill="FFFFFF"/>
          </w:tcPr>
          <w:p>
            <w:pPr>
              <w:jc w:val="left"/>
            </w:pPr>
            <w:r>
              <w:rPr>
                <w:rFonts w:ascii="Calibri" w:hAnsi="Calibri"/>
                <w:b w:val="0"/>
                <w:color w:val="111827"/>
                <w:sz w:val="21"/>
              </w:rPr>
              <w:t>Evidenz-Ansicht</w:t>
            </w:r>
          </w:p>
        </w:tc>
        <w:tc>
          <w:tcPr>
            <w:tcW w:type="dxa" w:w="3041"/>
            <w:shd w:val="clear" w:color="auto" w:fill="FFFFFF"/>
          </w:tcPr>
          <w:p>
            <w:pPr>
              <w:jc w:val="right"/>
            </w:pPr>
            <w:r>
              <w:rPr>
                <w:rFonts w:ascii="Calibri" w:hAnsi="Calibri"/>
                <w:b w:val="0"/>
                <w:color w:val="6B7280"/>
                <w:sz w:val="21"/>
              </w:rPr>
              <w:t>15</w:t>
            </w:r>
          </w:p>
        </w:tc>
      </w:tr>
      <w:tr>
        <w:tc>
          <w:tcPr>
            <w:tcW w:type="dxa" w:w="3041"/>
            <w:shd w:val="clear" w:color="auto" w:fill="EEF2FF"/>
          </w:tcPr>
          <w:p>
            <w:pPr>
              <w:jc w:val="left"/>
            </w:pPr>
            <w:r>
              <w:rPr>
                <w:rFonts w:ascii="Calibri" w:hAnsi="Calibri"/>
                <w:b/>
                <w:color w:val="6366F1"/>
                <w:sz w:val="21"/>
              </w:rPr>
              <w:t>7</w:t>
            </w:r>
          </w:p>
        </w:tc>
        <w:tc>
          <w:tcPr>
            <w:tcW w:type="dxa" w:w="3041"/>
            <w:shd w:val="clear" w:color="auto" w:fill="EEF2FF"/>
          </w:tcPr>
          <w:p>
            <w:pPr>
              <w:jc w:val="left"/>
            </w:pPr>
            <w:r>
              <w:rPr>
                <w:rFonts w:ascii="Calibri" w:hAnsi="Calibri"/>
                <w:b/>
                <w:color w:val="111827"/>
                <w:sz w:val="21"/>
              </w:rPr>
              <w:t>Risiko-Score</w:t>
            </w:r>
          </w:p>
        </w:tc>
        <w:tc>
          <w:tcPr>
            <w:tcW w:type="dxa" w:w="3041"/>
            <w:shd w:val="clear" w:color="auto" w:fill="EEF2FF"/>
          </w:tcPr>
          <w:p>
            <w:pPr>
              <w:jc w:val="right"/>
            </w:pPr>
            <w:r>
              <w:rPr>
                <w:rFonts w:ascii="Calibri" w:hAnsi="Calibri"/>
                <w:b w:val="0"/>
                <w:color w:val="6B7280"/>
                <w:sz w:val="21"/>
              </w:rPr>
              <w:t>16</w:t>
            </w:r>
          </w:p>
        </w:tc>
      </w:tr>
      <w:tr>
        <w:tc>
          <w:tcPr>
            <w:tcW w:type="dxa" w:w="3041"/>
            <w:shd w:val="clear" w:color="auto" w:fill="FFFFFF"/>
          </w:tcPr>
          <w:p>
            <w:pPr>
              <w:jc w:val="left"/>
            </w:pPr>
            <w:r>
              <w:rPr>
                <w:rFonts w:ascii="Calibri" w:hAnsi="Calibri"/>
                <w:b/>
                <w:color w:val="6366F1"/>
                <w:sz w:val="21"/>
              </w:rPr>
              <w:t>8</w:t>
            </w:r>
          </w:p>
        </w:tc>
        <w:tc>
          <w:tcPr>
            <w:tcW w:type="dxa" w:w="3041"/>
            <w:shd w:val="clear" w:color="auto" w:fill="FFFFFF"/>
          </w:tcPr>
          <w:p>
            <w:pPr>
              <w:jc w:val="left"/>
            </w:pPr>
            <w:r>
              <w:rPr>
                <w:rFonts w:ascii="Calibri" w:hAnsi="Calibri"/>
                <w:b/>
                <w:color w:val="111827"/>
                <w:sz w:val="21"/>
              </w:rPr>
              <w:t>Risiko-Prognose (Forecast)</w:t>
            </w:r>
          </w:p>
        </w:tc>
        <w:tc>
          <w:tcPr>
            <w:tcW w:type="dxa" w:w="3041"/>
            <w:shd w:val="clear" w:color="auto" w:fill="FFFFFF"/>
          </w:tcPr>
          <w:p>
            <w:pPr>
              <w:jc w:val="right"/>
            </w:pPr>
            <w:r>
              <w:rPr>
                <w:rFonts w:ascii="Calibri" w:hAnsi="Calibri"/>
                <w:b w:val="0"/>
                <w:color w:val="6B7280"/>
                <w:sz w:val="21"/>
              </w:rPr>
              <w:t>18</w:t>
            </w:r>
          </w:p>
        </w:tc>
      </w:tr>
      <w:tr>
        <w:tc>
          <w:tcPr>
            <w:tcW w:type="dxa" w:w="3041"/>
            <w:shd w:val="clear" w:color="auto" w:fill="EEF2FF"/>
          </w:tcPr>
          <w:p>
            <w:pPr>
              <w:jc w:val="left"/>
            </w:pPr>
            <w:r>
              <w:rPr>
                <w:rFonts w:ascii="Calibri" w:hAnsi="Calibri"/>
                <w:b/>
                <w:color w:val="6366F1"/>
                <w:sz w:val="21"/>
              </w:rPr>
              <w:t>9</w:t>
            </w:r>
          </w:p>
        </w:tc>
        <w:tc>
          <w:tcPr>
            <w:tcW w:type="dxa" w:w="3041"/>
            <w:shd w:val="clear" w:color="auto" w:fill="EEF2FF"/>
          </w:tcPr>
          <w:p>
            <w:pPr>
              <w:jc w:val="left"/>
            </w:pPr>
            <w:r>
              <w:rPr>
                <w:rFonts w:ascii="Calibri" w:hAnsi="Calibri"/>
                <w:b/>
                <w:color w:val="111827"/>
                <w:sz w:val="21"/>
              </w:rPr>
              <w:t>Digital Twin – Netzwerk-Visualisierung</w:t>
            </w:r>
          </w:p>
        </w:tc>
        <w:tc>
          <w:tcPr>
            <w:tcW w:type="dxa" w:w="3041"/>
            <w:shd w:val="clear" w:color="auto" w:fill="EEF2FF"/>
          </w:tcPr>
          <w:p>
            <w:pPr>
              <w:jc w:val="right"/>
            </w:pPr>
            <w:r>
              <w:rPr>
                <w:rFonts w:ascii="Calibri" w:hAnsi="Calibri"/>
                <w:b w:val="0"/>
                <w:color w:val="6B7280"/>
                <w:sz w:val="21"/>
              </w:rPr>
              <w:t>19</w:t>
            </w:r>
          </w:p>
        </w:tc>
      </w:tr>
      <w:tr>
        <w:tc>
          <w:tcPr>
            <w:tcW w:type="dxa" w:w="3041"/>
            <w:shd w:val="clear" w:color="auto" w:fill="FFFFFF"/>
          </w:tcPr>
          <w:p>
            <w:pPr>
              <w:jc w:val="left"/>
            </w:pPr>
            <w:r>
              <w:rPr>
                <w:rFonts w:ascii="Calibri" w:hAnsi="Calibri"/>
                <w:b w:val="0"/>
                <w:color w:val="6366F1"/>
                <w:sz w:val="21"/>
              </w:rPr>
              <w:t>10</w:t>
            </w:r>
          </w:p>
        </w:tc>
        <w:tc>
          <w:tcPr>
            <w:tcW w:type="dxa" w:w="3041"/>
            <w:shd w:val="clear" w:color="auto" w:fill="FFFFFF"/>
          </w:tcPr>
          <w:p>
            <w:pPr>
              <w:jc w:val="left"/>
            </w:pPr>
            <w:r>
              <w:rPr>
                <w:rFonts w:ascii="Calibri" w:hAnsi="Calibri"/>
                <w:b w:val="0"/>
                <w:color w:val="111827"/>
                <w:sz w:val="21"/>
              </w:rPr>
              <w:t>Digital Will – Digitales Testament</w:t>
            </w:r>
          </w:p>
        </w:tc>
        <w:tc>
          <w:tcPr>
            <w:tcW w:type="dxa" w:w="3041"/>
            <w:shd w:val="clear" w:color="auto" w:fill="FFFFFF"/>
          </w:tcPr>
          <w:p>
            <w:pPr>
              <w:jc w:val="right"/>
            </w:pPr>
            <w:r>
              <w:rPr>
                <w:rFonts w:ascii="Calibri" w:hAnsi="Calibri"/>
                <w:b w:val="0"/>
                <w:color w:val="6B7280"/>
                <w:sz w:val="21"/>
              </w:rPr>
              <w:t>21</w:t>
            </w:r>
          </w:p>
        </w:tc>
      </w:tr>
      <w:tr>
        <w:tc>
          <w:tcPr>
            <w:tcW w:type="dxa" w:w="3041"/>
            <w:shd w:val="clear" w:color="auto" w:fill="EEF2FF"/>
          </w:tcPr>
          <w:p>
            <w:pPr>
              <w:jc w:val="left"/>
            </w:pPr>
            <w:r>
              <w:rPr>
                <w:rFonts w:ascii="Calibri" w:hAnsi="Calibri"/>
                <w:b w:val="0"/>
                <w:color w:val="6366F1"/>
                <w:sz w:val="21"/>
              </w:rPr>
              <w:t>11</w:t>
            </w:r>
          </w:p>
        </w:tc>
        <w:tc>
          <w:tcPr>
            <w:tcW w:type="dxa" w:w="3041"/>
            <w:shd w:val="clear" w:color="auto" w:fill="EEF2FF"/>
          </w:tcPr>
          <w:p>
            <w:pPr>
              <w:jc w:val="left"/>
            </w:pPr>
            <w:r>
              <w:rPr>
                <w:rFonts w:ascii="Calibri" w:hAnsi="Calibri"/>
                <w:b w:val="0"/>
                <w:color w:val="111827"/>
                <w:sz w:val="21"/>
              </w:rPr>
              <w:t>Einstellungen</w:t>
            </w:r>
          </w:p>
        </w:tc>
        <w:tc>
          <w:tcPr>
            <w:tcW w:type="dxa" w:w="3041"/>
            <w:shd w:val="clear" w:color="auto" w:fill="EEF2FF"/>
          </w:tcPr>
          <w:p>
            <w:pPr>
              <w:jc w:val="right"/>
            </w:pPr>
            <w:r>
              <w:rPr>
                <w:rFonts w:ascii="Calibri" w:hAnsi="Calibri"/>
                <w:b w:val="0"/>
                <w:color w:val="6B7280"/>
                <w:sz w:val="21"/>
              </w:rPr>
              <w:t>23</w:t>
            </w:r>
          </w:p>
        </w:tc>
      </w:tr>
      <w:tr>
        <w:tc>
          <w:tcPr>
            <w:tcW w:type="dxa" w:w="3041"/>
            <w:shd w:val="clear" w:color="auto" w:fill="FFFFFF"/>
          </w:tcPr>
          <w:p>
            <w:pPr>
              <w:jc w:val="left"/>
            </w:pPr>
            <w:r>
              <w:rPr>
                <w:rFonts w:ascii="Calibri" w:hAnsi="Calibri"/>
                <w:b w:val="0"/>
                <w:color w:val="6366F1"/>
                <w:sz w:val="21"/>
              </w:rPr>
              <w:t>12</w:t>
            </w:r>
          </w:p>
        </w:tc>
        <w:tc>
          <w:tcPr>
            <w:tcW w:type="dxa" w:w="3041"/>
            <w:shd w:val="clear" w:color="auto" w:fill="FFFFFF"/>
          </w:tcPr>
          <w:p>
            <w:pPr>
              <w:jc w:val="left"/>
            </w:pPr>
            <w:r>
              <w:rPr>
                <w:rFonts w:ascii="Calibri" w:hAnsi="Calibri"/>
                <w:b w:val="0"/>
                <w:color w:val="111827"/>
                <w:sz w:val="21"/>
              </w:rPr>
              <w:t>Sprachunterstützung &amp; Lokalisierung</w:t>
            </w:r>
          </w:p>
        </w:tc>
        <w:tc>
          <w:tcPr>
            <w:tcW w:type="dxa" w:w="3041"/>
            <w:shd w:val="clear" w:color="auto" w:fill="FFFFFF"/>
          </w:tcPr>
          <w:p>
            <w:pPr>
              <w:jc w:val="right"/>
            </w:pPr>
            <w:r>
              <w:rPr>
                <w:rFonts w:ascii="Calibri" w:hAnsi="Calibri"/>
                <w:b w:val="0"/>
                <w:color w:val="6B7280"/>
                <w:sz w:val="21"/>
              </w:rPr>
              <w:t>25</w:t>
            </w:r>
          </w:p>
        </w:tc>
      </w:tr>
      <w:tr>
        <w:tc>
          <w:tcPr>
            <w:tcW w:type="dxa" w:w="3041"/>
            <w:shd w:val="clear" w:color="auto" w:fill="EEF2FF"/>
          </w:tcPr>
          <w:p>
            <w:pPr>
              <w:jc w:val="left"/>
            </w:pPr>
            <w:r>
              <w:rPr>
                <w:rFonts w:ascii="Calibri" w:hAnsi="Calibri"/>
                <w:b w:val="0"/>
                <w:color w:val="6366F1"/>
                <w:sz w:val="21"/>
              </w:rPr>
              <w:t>13</w:t>
            </w:r>
          </w:p>
        </w:tc>
        <w:tc>
          <w:tcPr>
            <w:tcW w:type="dxa" w:w="3041"/>
            <w:shd w:val="clear" w:color="auto" w:fill="EEF2FF"/>
          </w:tcPr>
          <w:p>
            <w:pPr>
              <w:jc w:val="left"/>
            </w:pPr>
            <w:r>
              <w:rPr>
                <w:rFonts w:ascii="Calibri" w:hAnsi="Calibri"/>
                <w:b w:val="0"/>
                <w:color w:val="111827"/>
                <w:sz w:val="21"/>
              </w:rPr>
              <w:t>Datenschutz &amp; Sicherheitsarchitektur</w:t>
            </w:r>
          </w:p>
        </w:tc>
        <w:tc>
          <w:tcPr>
            <w:tcW w:type="dxa" w:w="3041"/>
            <w:shd w:val="clear" w:color="auto" w:fill="EEF2FF"/>
          </w:tcPr>
          <w:p>
            <w:pPr>
              <w:jc w:val="right"/>
            </w:pPr>
            <w:r>
              <w:rPr>
                <w:rFonts w:ascii="Calibri" w:hAnsi="Calibri"/>
                <w:b w:val="0"/>
                <w:color w:val="6B7280"/>
                <w:sz w:val="21"/>
              </w:rPr>
              <w:t>26</w:t>
            </w:r>
          </w:p>
        </w:tc>
      </w:tr>
      <w:tr>
        <w:tc>
          <w:tcPr>
            <w:tcW w:type="dxa" w:w="3041"/>
            <w:shd w:val="clear" w:color="auto" w:fill="FFFFFF"/>
          </w:tcPr>
          <w:p>
            <w:pPr>
              <w:jc w:val="left"/>
            </w:pPr>
            <w:r>
              <w:rPr>
                <w:rFonts w:ascii="Calibri" w:hAnsi="Calibri"/>
                <w:b w:val="0"/>
                <w:color w:val="6366F1"/>
                <w:sz w:val="21"/>
              </w:rPr>
              <w:t>14</w:t>
            </w:r>
          </w:p>
        </w:tc>
        <w:tc>
          <w:tcPr>
            <w:tcW w:type="dxa" w:w="3041"/>
            <w:shd w:val="clear" w:color="auto" w:fill="FFFFFF"/>
          </w:tcPr>
          <w:p>
            <w:pPr>
              <w:jc w:val="left"/>
            </w:pPr>
            <w:r>
              <w:rPr>
                <w:rFonts w:ascii="Calibri" w:hAnsi="Calibri"/>
                <w:b w:val="0"/>
                <w:color w:val="111827"/>
                <w:sz w:val="21"/>
              </w:rPr>
              <w:t>Technische Architektur</w:t>
            </w:r>
          </w:p>
        </w:tc>
        <w:tc>
          <w:tcPr>
            <w:tcW w:type="dxa" w:w="3041"/>
            <w:shd w:val="clear" w:color="auto" w:fill="FFFFFF"/>
          </w:tcPr>
          <w:p>
            <w:pPr>
              <w:jc w:val="right"/>
            </w:pPr>
            <w:r>
              <w:rPr>
                <w:rFonts w:ascii="Calibri" w:hAnsi="Calibri"/>
                <w:b w:val="0"/>
                <w:color w:val="6B7280"/>
                <w:sz w:val="21"/>
              </w:rPr>
              <w:t>28</w:t>
            </w:r>
          </w:p>
        </w:tc>
      </w:tr>
      <w:tr>
        <w:tc>
          <w:tcPr>
            <w:tcW w:type="dxa" w:w="3041"/>
            <w:shd w:val="clear" w:color="auto" w:fill="EEF2FF"/>
          </w:tcPr>
          <w:p>
            <w:pPr>
              <w:jc w:val="left"/>
            </w:pPr>
            <w:r>
              <w:rPr>
                <w:rFonts w:ascii="Calibri" w:hAnsi="Calibri"/>
                <w:b w:val="0"/>
                <w:color w:val="6366F1"/>
                <w:sz w:val="21"/>
              </w:rPr>
              <w:t>15</w:t>
            </w:r>
          </w:p>
        </w:tc>
        <w:tc>
          <w:tcPr>
            <w:tcW w:type="dxa" w:w="3041"/>
            <w:shd w:val="clear" w:color="auto" w:fill="EEF2FF"/>
          </w:tcPr>
          <w:p>
            <w:pPr>
              <w:jc w:val="left"/>
            </w:pPr>
            <w:r>
              <w:rPr>
                <w:rFonts w:ascii="Calibri" w:hAnsi="Calibri"/>
                <w:b w:val="0"/>
                <w:color w:val="111827"/>
                <w:sz w:val="21"/>
              </w:rPr>
              <w:t>Preismodelle – Free vs. Pro</w:t>
            </w:r>
          </w:p>
        </w:tc>
        <w:tc>
          <w:tcPr>
            <w:tcW w:type="dxa" w:w="3041"/>
            <w:shd w:val="clear" w:color="auto" w:fill="EEF2FF"/>
          </w:tcPr>
          <w:p>
            <w:pPr>
              <w:jc w:val="right"/>
            </w:pPr>
            <w:r>
              <w:rPr>
                <w:rFonts w:ascii="Calibri" w:hAnsi="Calibri"/>
                <w:b w:val="0"/>
                <w:color w:val="6B7280"/>
                <w:sz w:val="21"/>
              </w:rPr>
              <w:t>30</w:t>
            </w:r>
          </w:p>
        </w:tc>
      </w:tr>
      <w:tr>
        <w:tc>
          <w:tcPr>
            <w:tcW w:type="dxa" w:w="3041"/>
            <w:shd w:val="clear" w:color="auto" w:fill="FFFFFF"/>
          </w:tcPr>
          <w:p>
            <w:pPr>
              <w:jc w:val="left"/>
            </w:pPr>
            <w:r>
              <w:rPr>
                <w:rFonts w:ascii="Calibri" w:hAnsi="Calibri"/>
                <w:b w:val="0"/>
                <w:color w:val="6366F1"/>
                <w:sz w:val="21"/>
              </w:rPr>
              <w:t>16</w:t>
            </w:r>
          </w:p>
        </w:tc>
        <w:tc>
          <w:tcPr>
            <w:tcW w:type="dxa" w:w="3041"/>
            <w:shd w:val="clear" w:color="auto" w:fill="FFFFFF"/>
          </w:tcPr>
          <w:p>
            <w:pPr>
              <w:jc w:val="left"/>
            </w:pPr>
            <w:r>
              <w:rPr>
                <w:rFonts w:ascii="Calibri" w:hAnsi="Calibri"/>
                <w:b w:val="0"/>
                <w:color w:val="111827"/>
                <w:sz w:val="21"/>
              </w:rPr>
              <w:t>Glossar</w:t>
            </w:r>
          </w:p>
        </w:tc>
        <w:tc>
          <w:tcPr>
            <w:tcW w:type="dxa" w:w="3041"/>
            <w:shd w:val="clear" w:color="auto" w:fill="FFFFFF"/>
          </w:tcPr>
          <w:p>
            <w:pPr>
              <w:jc w:val="right"/>
            </w:pPr>
            <w:r>
              <w:rPr>
                <w:rFonts w:ascii="Calibri" w:hAnsi="Calibri"/>
                <w:b w:val="0"/>
                <w:color w:val="6B7280"/>
                <w:sz w:val="21"/>
              </w:rPr>
              <w:t>31</w:t>
            </w:r>
          </w:p>
        </w:tc>
      </w:tr>
      <w:tr>
        <w:tc>
          <w:tcPr>
            <w:tcW w:type="dxa" w:w="3041"/>
            <w:shd w:val="clear" w:color="auto" w:fill="EEF2FF"/>
          </w:tcPr>
          <w:p>
            <w:pPr>
              <w:jc w:val="left"/>
            </w:pPr>
            <w:r>
              <w:rPr>
                <w:rFonts w:ascii="Calibri" w:hAnsi="Calibri"/>
                <w:b w:val="0"/>
                <w:color w:val="6366F1"/>
                <w:sz w:val="21"/>
              </w:rPr>
              <w:t>17</w:t>
            </w:r>
          </w:p>
        </w:tc>
        <w:tc>
          <w:tcPr>
            <w:tcW w:type="dxa" w:w="3041"/>
            <w:shd w:val="clear" w:color="auto" w:fill="EEF2FF"/>
          </w:tcPr>
          <w:p>
            <w:pPr>
              <w:jc w:val="left"/>
            </w:pPr>
            <w:r>
              <w:rPr>
                <w:rFonts w:ascii="Calibri" w:hAnsi="Calibri"/>
                <w:b w:val="0"/>
                <w:color w:val="111827"/>
                <w:sz w:val="21"/>
              </w:rPr>
              <w:t>Rechtliche Hinweise</w:t>
            </w:r>
          </w:p>
        </w:tc>
        <w:tc>
          <w:tcPr>
            <w:tcW w:type="dxa" w:w="3041"/>
            <w:shd w:val="clear" w:color="auto" w:fill="EEF2FF"/>
          </w:tcPr>
          <w:p>
            <w:pPr>
              <w:jc w:val="right"/>
            </w:pPr>
            <w:r>
              <w:rPr>
                <w:rFonts w:ascii="Calibri" w:hAnsi="Calibri"/>
                <w:b w:val="0"/>
                <w:color w:val="6B7280"/>
                <w:sz w:val="21"/>
              </w:rPr>
              <w:t>32</w:t>
            </w:r>
          </w:p>
        </w:tc>
      </w:tr>
    </w:tbl>
    <w:p>
      <w:r>
        <w:br w:type="page"/>
      </w:r>
    </w:p>
    <w:p>
      <w:pPr>
        <w:pStyle w:val="Heading1"/>
        <w:spacing w:before="320" w:after="120"/>
      </w:pPr>
      <w:r>
        <w:rPr>
          <w:color w:val="6366F1"/>
        </w:rPr>
        <w:t>1  Einleitung &amp; Produktvision</w:t>
      </w:r>
    </w:p>
    <w:p>
      <w:pPr>
        <w:spacing w:after="120"/>
      </w:pPr>
      <w:r>
        <w:rPr>
          <w:rFonts w:ascii="Calibri" w:hAnsi="Calibri"/>
          <w:b w:val="0"/>
          <w:i w:val="0"/>
          <w:sz w:val="22"/>
        </w:rPr>
        <w:t>GhostAccounts ist eine datenschutzorientierte Web-Applikation, die Nutzern hilft, ihren digitalen Fußabdruck zu entdecken, zu verstehen und zu kontrollieren. Die Anwendung analysiert E-Mail-Metadaten und identifiziert Online-Dienste, bei denen ein Nutzer registriert ist – darunter auch längst vergessene Accounts, die ein Sicherheitsrisiko darstellen können.</w:t>
      </w:r>
    </w:p>
    <w:p>
      <w:pPr>
        <w:spacing w:after="120"/>
      </w:pPr>
      <w:r>
        <w:rPr>
          <w:rFonts w:ascii="Calibri" w:hAnsi="Calibri"/>
          <w:b w:val="0"/>
          <w:i w:val="0"/>
          <w:sz w:val="22"/>
        </w:rPr>
        <w:t>Im Kern beantwortet GhostAccounts drei fundamentale Fragen des digitalen Zeitalters:</w:t>
      </w:r>
    </w:p>
    <w:p>
      <w:pPr>
        <w:pStyle w:val="ListBullet"/>
        <w:spacing w:after="60"/>
        <w:ind w:left="360"/>
      </w:pPr>
      <w:r>
        <w:rPr>
          <w:rFonts w:ascii="Calibri" w:hAnsi="Calibri"/>
          <w:sz w:val="22"/>
        </w:rPr>
        <w:t>Bei welchen Online-Diensten bin ich registriert?</w:t>
      </w:r>
    </w:p>
    <w:p>
      <w:pPr>
        <w:pStyle w:val="ListBullet"/>
        <w:spacing w:after="60"/>
        <w:ind w:left="360"/>
      </w:pPr>
      <w:r>
        <w:rPr>
          <w:rFonts w:ascii="Calibri" w:hAnsi="Calibri"/>
          <w:sz w:val="22"/>
        </w:rPr>
        <w:t>Welche davon wurden durch Datenlecks kompromittiert?</w:t>
      </w:r>
    </w:p>
    <w:p>
      <w:pPr>
        <w:pStyle w:val="ListBullet"/>
        <w:spacing w:after="60"/>
        <w:ind w:left="360"/>
      </w:pPr>
      <w:r>
        <w:rPr>
          <w:rFonts w:ascii="Calibri" w:hAnsi="Calibri"/>
          <w:sz w:val="22"/>
        </w:rPr>
        <w:t>Wie kann ich meinen digitalen Nachlass regeln?</w:t>
      </w:r>
    </w:p>
    <w:p>
      <w:pPr>
        <w:spacing w:after="120"/>
      </w:pPr>
      <w:r>
        <w:rPr>
          <w:rFonts w:ascii="Calibri" w:hAnsi="Calibri"/>
          <w:b w:val="0"/>
          <w:i w:val="0"/>
          <w:sz w:val="22"/>
        </w:rPr>
      </w:r>
    </w:p>
    <w:tbl>
      <w:tblPr>
        <w:tblW w:type="auto" w:w="0"/>
        <w:jc w:val="left"/>
        <w:tblLook w:firstColumn="1" w:firstRow="1" w:lastColumn="0" w:lastRow="0" w:noHBand="0" w:noVBand="1" w:val="04A0"/>
      </w:tblPr>
      <w:tblGrid>
        <w:gridCol w:w="9122"/>
      </w:tblGrid>
      <w:tr>
        <w:tc>
          <w:tcPr>
            <w:tcW w:type="dxa" w:w="8640"/>
            <w:shd w:val="clear" w:color="auto" w:fill="EEF2FF"/>
            <w:tcBorders>
              <w:top w:val="single" w:sz="4" w:space="0" w:color="6366F1"/>
              <w:bottom w:val="single" w:sz="4" w:space="0" w:color="6366F1"/>
              <w:left w:val="single" w:sz="4" w:space="0" w:color="6366F1"/>
              <w:right w:val="single" w:sz="4" w:space="0" w:color="6366F1"/>
            </w:tcBorders>
          </w:tcPr>
          <w:p>
            <w:pPr>
              <w:spacing w:before="80" w:after="40"/>
            </w:pPr>
            <w:r>
              <w:rPr>
                <w:rFonts w:ascii="Calibri" w:hAnsi="Calibri"/>
                <w:b/>
                <w:color w:val="6366F1"/>
                <w:sz w:val="22"/>
              </w:rPr>
              <w:t>🎯  Produktvision</w:t>
            </w:r>
          </w:p>
          <w:p>
            <w:pPr>
              <w:spacing w:before="20" w:after="20"/>
            </w:pPr>
            <w:r>
              <w:rPr>
                <w:rFonts w:ascii="Calibri" w:hAnsi="Calibri"/>
                <w:color w:val="111827"/>
                <w:sz w:val="21"/>
              </w:rPr>
              <w:t>GhostAccounts gibt Nutzern die vollständige Kontrolle über ihre digitale Identität zurück.</w:t>
            </w:r>
          </w:p>
          <w:p>
            <w:pPr>
              <w:spacing w:before="20" w:after="20"/>
            </w:pPr>
            <w:r>
              <w:rPr>
                <w:rFonts w:ascii="Calibri" w:hAnsi="Calibri"/>
                <w:color w:val="111827"/>
                <w:sz w:val="21"/>
              </w:rPr>
              <w:t>Die App erkennt, bewertet und hilft beim Aufräumen vergessener Online-Accounts –</w:t>
            </w:r>
          </w:p>
          <w:p>
            <w:pPr>
              <w:spacing w:before="20" w:after="20"/>
            </w:pPr>
            <w:r>
              <w:rPr>
                <w:rFonts w:ascii="Calibri" w:hAnsi="Calibri"/>
                <w:color w:val="111827"/>
                <w:sz w:val="21"/>
              </w:rPr>
              <w:t>sicher, transparent und DSGVO-konform.</w:t>
            </w:r>
          </w:p>
        </w:tc>
      </w:tr>
    </w:tbl>
    <w:p>
      <w:pPr>
        <w:spacing w:after="80"/>
      </w:pPr>
    </w:p>
    <w:p>
      <w:pPr>
        <w:pStyle w:val="Heading2"/>
        <w:spacing w:before="320" w:after="120"/>
      </w:pPr>
      <w:r>
        <w:rPr>
          <w:color w:val="1E1B4B"/>
        </w:rPr>
        <w:t>1.1  Kernprinzipien</w:t>
      </w:r>
    </w:p>
    <w:p>
      <w:pPr>
        <w:spacing w:before="80" w:after="40"/>
      </w:pPr>
      <w:r>
        <w:rPr>
          <w:rFonts w:ascii="Calibri" w:hAnsi="Calibri"/>
          <w:b/>
          <w:color w:val="6366F1"/>
          <w:sz w:val="22"/>
        </w:rPr>
        <w:t xml:space="preserve">🔒  Privacy First:  </w:t>
      </w:r>
      <w:r>
        <w:rPr>
          <w:rFonts w:ascii="Calibri" w:hAnsi="Calibri"/>
          <w:color w:val="111827"/>
          <w:sz w:val="22"/>
        </w:rPr>
        <w:t>GhostAccounts speichert niemals E-Mail-Inhalte. Nur abgeleitete Service-Metadaten (Domain, Erkennungstyp, Datum) werden gespeichert.</w:t>
      </w:r>
    </w:p>
    <w:p>
      <w:pPr>
        <w:spacing w:before="80" w:after="40"/>
      </w:pPr>
      <w:r>
        <w:rPr>
          <w:rFonts w:ascii="Calibri" w:hAnsi="Calibri"/>
          <w:b/>
          <w:color w:val="6366F1"/>
          <w:sz w:val="22"/>
        </w:rPr>
        <w:t xml:space="preserve">🏛️  DSGVO-Konform:  </w:t>
      </w:r>
      <w:r>
        <w:rPr>
          <w:rFonts w:ascii="Calibri" w:hAnsi="Calibri"/>
          <w:color w:val="111827"/>
          <w:sz w:val="22"/>
        </w:rPr>
        <w:t>Alle Daten werden in der EU gespeichert (Supabase, West EU). Nutzer können ihre Daten jederzeit vollständig exportieren oder löschen.</w:t>
      </w:r>
    </w:p>
    <w:p>
      <w:pPr>
        <w:spacing w:before="80" w:after="40"/>
      </w:pPr>
      <w:r>
        <w:rPr>
          <w:rFonts w:ascii="Calibri" w:hAnsi="Calibri"/>
          <w:b/>
          <w:color w:val="6366F1"/>
          <w:sz w:val="22"/>
        </w:rPr>
        <w:t xml:space="preserve">🔍  Transparente Erkennung:  </w:t>
      </w:r>
      <w:r>
        <w:rPr>
          <w:rFonts w:ascii="Calibri" w:hAnsi="Calibri"/>
          <w:color w:val="111827"/>
          <w:sz w:val="22"/>
        </w:rPr>
        <w:t>Jeder erkannte Account zeigt seine Evidenz (E-Mail-Typ, Datum, Erkennungsquelle). Kein 'Magic Black Box' – Nutzer sehen genau, warum ein Account erkannt wurde.</w:t>
      </w:r>
    </w:p>
    <w:p>
      <w:pPr>
        <w:spacing w:before="80" w:after="40"/>
      </w:pPr>
      <w:r>
        <w:rPr>
          <w:rFonts w:ascii="Calibri" w:hAnsi="Calibri"/>
          <w:b/>
          <w:color w:val="6366F1"/>
          <w:sz w:val="22"/>
        </w:rPr>
        <w:t xml:space="preserve">🌐  Zweisprachig:  </w:t>
      </w:r>
      <w:r>
        <w:rPr>
          <w:rFonts w:ascii="Calibri" w:hAnsi="Calibri"/>
          <w:color w:val="111827"/>
          <w:sz w:val="22"/>
        </w:rPr>
        <w:t>Die gesamte UI ist auf Deutsch und Englisch verfügbar. Sprachumschaltung jederzeit im Header möglich.</w:t>
      </w:r>
    </w:p>
    <w:p>
      <w:r>
        <w:br w:type="page"/>
      </w:r>
    </w:p>
    <w:p>
      <w:pPr>
        <w:pStyle w:val="Heading1"/>
        <w:spacing w:before="320" w:after="120"/>
      </w:pPr>
      <w:r>
        <w:rPr>
          <w:color w:val="6366F1"/>
        </w:rPr>
        <w:t>2  Zielgruppe &amp; Anwendungsfälle</w:t>
      </w:r>
    </w:p>
    <w:p>
      <w:pPr>
        <w:spacing w:after="120"/>
      </w:pPr>
      <w:r>
        <w:rPr>
          <w:rFonts w:ascii="Calibri" w:hAnsi="Calibri"/>
          <w:b w:val="0"/>
          <w:i w:val="0"/>
          <w:sz w:val="22"/>
        </w:rPr>
        <w:t>GhostAccounts richtet sich an alle Internetnutzer, die über Jahre hinweg Online-Dienste genutzt haben und den Überblick verloren haben. Im Fokus stehen drei Hauptgruppen: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Zielgruppe</w:t>
            </w:r>
          </w:p>
        </w:tc>
        <w:tc>
          <w:tcPr>
            <w:tcW w:type="dxa" w:w="3041"/>
            <w:shd w:val="clear" w:color="auto" w:fill="6366F1"/>
          </w:tcPr>
          <w:p>
            <w:r>
              <w:rPr>
                <w:rFonts w:ascii="Calibri" w:hAnsi="Calibri"/>
                <w:b/>
                <w:color w:val="FFFFFF"/>
                <w:sz w:val="20"/>
              </w:rPr>
              <w:t>Bedürfnis</w:t>
            </w:r>
          </w:p>
        </w:tc>
        <w:tc>
          <w:tcPr>
            <w:tcW w:type="dxa" w:w="3041"/>
            <w:shd w:val="clear" w:color="auto" w:fill="6366F1"/>
          </w:tcPr>
          <w:p>
            <w:r>
              <w:rPr>
                <w:rFonts w:ascii="Calibri" w:hAnsi="Calibri"/>
                <w:b/>
                <w:color w:val="FFFFFF"/>
                <w:sz w:val="20"/>
              </w:rPr>
              <w:t>Hauptfunktion</w:t>
            </w:r>
          </w:p>
        </w:tc>
      </w:tr>
      <w:tr>
        <w:tc>
          <w:tcPr>
            <w:tcW w:type="dxa" w:w="3041"/>
            <w:shd w:val="clear" w:color="auto" w:fill="F5F3FF"/>
          </w:tcPr>
          <w:p>
            <w:r>
              <w:rPr>
                <w:rFonts w:ascii="Calibri" w:hAnsi="Calibri"/>
                <w:color w:val="111827"/>
                <w:sz w:val="20"/>
              </w:rPr>
              <w:t>Datenschutz-bewusste Nutzer</w:t>
            </w:r>
          </w:p>
        </w:tc>
        <w:tc>
          <w:tcPr>
            <w:tcW w:type="dxa" w:w="3041"/>
            <w:shd w:val="clear" w:color="auto" w:fill="F5F3FF"/>
          </w:tcPr>
          <w:p>
            <w:r>
              <w:rPr>
                <w:rFonts w:ascii="Calibri" w:hAnsi="Calibri"/>
                <w:color w:val="111827"/>
                <w:sz w:val="20"/>
              </w:rPr>
              <w:t>Wissen, welche Dienste persönliche Daten speichern</w:t>
            </w:r>
          </w:p>
        </w:tc>
        <w:tc>
          <w:tcPr>
            <w:tcW w:type="dxa" w:w="3041"/>
            <w:shd w:val="clear" w:color="auto" w:fill="F5F3FF"/>
          </w:tcPr>
          <w:p>
            <w:r>
              <w:rPr>
                <w:rFonts w:ascii="Calibri" w:hAnsi="Calibri"/>
                <w:color w:val="111827"/>
                <w:sz w:val="20"/>
              </w:rPr>
              <w:t>Account-Entdeckung + Löschlinks</w:t>
            </w:r>
          </w:p>
        </w:tc>
      </w:tr>
      <w:tr>
        <w:tc>
          <w:tcPr>
            <w:tcW w:type="dxa" w:w="3041"/>
            <w:shd w:val="clear" w:color="auto" w:fill="FFFFFF"/>
          </w:tcPr>
          <w:p>
            <w:r>
              <w:rPr>
                <w:rFonts w:ascii="Calibri" w:hAnsi="Calibri"/>
                <w:color w:val="111827"/>
                <w:sz w:val="20"/>
              </w:rPr>
              <w:t>Sicherheits-orientierte Nutzer</w:t>
            </w:r>
          </w:p>
        </w:tc>
        <w:tc>
          <w:tcPr>
            <w:tcW w:type="dxa" w:w="3041"/>
            <w:shd w:val="clear" w:color="auto" w:fill="FFFFFF"/>
          </w:tcPr>
          <w:p>
            <w:r>
              <w:rPr>
                <w:rFonts w:ascii="Calibri" w:hAnsi="Calibri"/>
                <w:color w:val="111827"/>
                <w:sz w:val="20"/>
              </w:rPr>
              <w:t>Breach-Monitoring für alle Accounts</w:t>
            </w:r>
          </w:p>
        </w:tc>
        <w:tc>
          <w:tcPr>
            <w:tcW w:type="dxa" w:w="3041"/>
            <w:shd w:val="clear" w:color="auto" w:fill="FFFFFF"/>
          </w:tcPr>
          <w:p>
            <w:r>
              <w:rPr>
                <w:rFonts w:ascii="Calibri" w:hAnsi="Calibri"/>
                <w:color w:val="111827"/>
                <w:sz w:val="20"/>
              </w:rPr>
              <w:t>HIBP-Integration + Risiko-Score</w:t>
            </w:r>
          </w:p>
        </w:tc>
      </w:tr>
      <w:tr>
        <w:tc>
          <w:tcPr>
            <w:tcW w:type="dxa" w:w="3041"/>
            <w:shd w:val="clear" w:color="auto" w:fill="F5F3FF"/>
          </w:tcPr>
          <w:p>
            <w:r>
              <w:rPr>
                <w:rFonts w:ascii="Calibri" w:hAnsi="Calibri"/>
                <w:color w:val="111827"/>
                <w:sz w:val="20"/>
              </w:rPr>
              <w:t>Digitale Nachlassplanung</w:t>
            </w:r>
          </w:p>
        </w:tc>
        <w:tc>
          <w:tcPr>
            <w:tcW w:type="dxa" w:w="3041"/>
            <w:shd w:val="clear" w:color="auto" w:fill="F5F3FF"/>
          </w:tcPr>
          <w:p>
            <w:r>
              <w:rPr>
                <w:rFonts w:ascii="Calibri" w:hAnsi="Calibri"/>
                <w:color w:val="111827"/>
                <w:sz w:val="20"/>
              </w:rPr>
              <w:t>Regelung was mit Accounts nach dem Tod passiert</w:t>
            </w:r>
          </w:p>
        </w:tc>
        <w:tc>
          <w:tcPr>
            <w:tcW w:type="dxa" w:w="3041"/>
            <w:shd w:val="clear" w:color="auto" w:fill="F5F3FF"/>
          </w:tcPr>
          <w:p>
            <w:r>
              <w:rPr>
                <w:rFonts w:ascii="Calibri" w:hAnsi="Calibri"/>
                <w:color w:val="111827"/>
                <w:sz w:val="20"/>
              </w:rPr>
              <w:t>Digital Will</w:t>
            </w:r>
          </w:p>
        </w:tc>
      </w:tr>
      <w:tr>
        <w:tc>
          <w:tcPr>
            <w:tcW w:type="dxa" w:w="3041"/>
            <w:shd w:val="clear" w:color="auto" w:fill="FFFFFF"/>
          </w:tcPr>
          <w:p>
            <w:r>
              <w:rPr>
                <w:rFonts w:ascii="Calibri" w:hAnsi="Calibri"/>
                <w:color w:val="111827"/>
                <w:sz w:val="20"/>
              </w:rPr>
              <w:t>Technik-affine Nutzer</w:t>
            </w:r>
          </w:p>
        </w:tc>
        <w:tc>
          <w:tcPr>
            <w:tcW w:type="dxa" w:w="3041"/>
            <w:shd w:val="clear" w:color="auto" w:fill="FFFFFF"/>
          </w:tcPr>
          <w:p>
            <w:r>
              <w:rPr>
                <w:rFonts w:ascii="Calibri" w:hAnsi="Calibri"/>
                <w:color w:val="111827"/>
                <w:sz w:val="20"/>
              </w:rPr>
              <w:t>Vollständige Datenkontrolle und Export</w:t>
            </w:r>
          </w:p>
        </w:tc>
        <w:tc>
          <w:tcPr>
            <w:tcW w:type="dxa" w:w="3041"/>
            <w:shd w:val="clear" w:color="auto" w:fill="FFFFFF"/>
          </w:tcPr>
          <w:p>
            <w:r>
              <w:rPr>
                <w:rFonts w:ascii="Calibri" w:hAnsi="Calibri"/>
                <w:color w:val="111827"/>
                <w:sz w:val="20"/>
              </w:rPr>
              <w:t>JSON/CSV-Export + Account-Löschung</w:t>
            </w:r>
          </w:p>
        </w:tc>
      </w:tr>
      <w:tr>
        <w:tc>
          <w:tcPr>
            <w:tcW w:type="dxa" w:w="3041"/>
            <w:shd w:val="clear" w:color="auto" w:fill="F5F3FF"/>
          </w:tcPr>
          <w:p>
            <w:r>
              <w:rPr>
                <w:rFonts w:ascii="Calibri" w:hAnsi="Calibri"/>
                <w:color w:val="111827"/>
                <w:sz w:val="20"/>
              </w:rPr>
              <w:t>Unternehmensnutzer (Pro)</w:t>
            </w:r>
          </w:p>
        </w:tc>
        <w:tc>
          <w:tcPr>
            <w:tcW w:type="dxa" w:w="3041"/>
            <w:shd w:val="clear" w:color="auto" w:fill="F5F3FF"/>
          </w:tcPr>
          <w:p>
            <w:r>
              <w:rPr>
                <w:rFonts w:ascii="Calibri" w:hAnsi="Calibri"/>
                <w:color w:val="111827"/>
                <w:sz w:val="20"/>
              </w:rPr>
              <w:t>Unbegrenzte Accounts + aktives Monitoring</w:t>
            </w:r>
          </w:p>
        </w:tc>
        <w:tc>
          <w:tcPr>
            <w:tcW w:type="dxa" w:w="3041"/>
            <w:shd w:val="clear" w:color="auto" w:fill="F5F3FF"/>
          </w:tcPr>
          <w:p>
            <w:r>
              <w:rPr>
                <w:rFonts w:ascii="Calibri" w:hAnsi="Calibri"/>
                <w:color w:val="111827"/>
                <w:sz w:val="20"/>
              </w:rPr>
              <w:t>Pro-Plan Features</w:t>
            </w:r>
          </w:p>
        </w:tc>
      </w:tr>
    </w:tbl>
    <w:p>
      <w:pPr>
        <w:spacing w:after="120"/>
      </w:pPr>
    </w:p>
    <w:p>
      <w:pPr>
        <w:pStyle w:val="Heading2"/>
        <w:spacing w:before="320" w:after="120"/>
      </w:pPr>
      <w:r>
        <w:rPr>
          <w:color w:val="1E1B4B"/>
        </w:rPr>
        <w:t>2.1  Typische Anwendungsszenarien</w:t>
      </w:r>
    </w:p>
    <w:p>
      <w:pPr>
        <w:spacing w:after="40"/>
      </w:pPr>
      <w:r>
        <w:rPr>
          <w:rFonts w:ascii="Calibri" w:hAnsi="Calibri"/>
          <w:b/>
          <w:i w:val="0"/>
          <w:color w:val="1E1B4B"/>
          <w:sz w:val="22"/>
        </w:rPr>
        <w:t>Szenario 1: Der vergessene Account</w:t>
      </w:r>
    </w:p>
    <w:p>
      <w:pPr>
        <w:spacing w:after="160"/>
        <w:ind w:left="288"/>
      </w:pPr>
      <w:r>
        <w:rPr>
          <w:rFonts w:ascii="Calibri" w:hAnsi="Calibri"/>
          <w:b w:val="0"/>
          <w:i w:val="0"/>
          <w:sz w:val="22"/>
        </w:rPr>
        <w:t>Ein Nutzer hat sich vor 8 Jahren bei einem Online-Shop registriert, der inzwischen gehackt wurde. GhostAccounts erkennt den Account über eine alte Rechnungs-E-Mail, zeigt den Breach-Status und verlinkt direkt auf die Löschseite des Dienstes.</w:t>
      </w:r>
    </w:p>
    <w:p>
      <w:pPr>
        <w:spacing w:after="40"/>
      </w:pPr>
      <w:r>
        <w:rPr>
          <w:rFonts w:ascii="Calibri" w:hAnsi="Calibri"/>
          <w:b/>
          <w:i w:val="0"/>
          <w:color w:val="1E1B4B"/>
          <w:sz w:val="22"/>
        </w:rPr>
        <w:t>Szenario 2: Der digitale Frühjahrsputz</w:t>
      </w:r>
    </w:p>
    <w:p>
      <w:pPr>
        <w:spacing w:after="160"/>
        <w:ind w:left="288"/>
      </w:pPr>
      <w:r>
        <w:rPr>
          <w:rFonts w:ascii="Calibri" w:hAnsi="Calibri"/>
          <w:b w:val="0"/>
          <w:i w:val="0"/>
          <w:sz w:val="22"/>
        </w:rPr>
        <w:t>Nach Jahren im Internet möchte ein Nutzer wissen, bei welchen 200+ Diensten er angemeldet ist. Der IMAP-Scan analysiert 2.000 E-Mails in unter 30 Sekunden und erstellt eine priorisierte Liste aller gefundenen Accounts.</w:t>
      </w:r>
    </w:p>
    <w:p>
      <w:pPr>
        <w:spacing w:after="40"/>
      </w:pPr>
      <w:r>
        <w:rPr>
          <w:rFonts w:ascii="Calibri" w:hAnsi="Calibri"/>
          <w:b/>
          <w:i w:val="0"/>
          <w:color w:val="1E1B4B"/>
          <w:sz w:val="22"/>
        </w:rPr>
        <w:t>Szenario 3: Digitales Testament</w:t>
      </w:r>
    </w:p>
    <w:p>
      <w:pPr>
        <w:spacing w:after="160"/>
        <w:ind w:left="288"/>
      </w:pPr>
      <w:r>
        <w:rPr>
          <w:rFonts w:ascii="Calibri" w:hAnsi="Calibri"/>
          <w:b w:val="0"/>
          <w:i w:val="0"/>
          <w:sz w:val="22"/>
        </w:rPr>
        <w:t>Ein Nutzer möchte regeln, was mit seinen Online-Accounts passiert, falls er 6 Monate inaktiv ist. Er aktiviert den Digital Will, bestimmt dass Social-Accounts gelöscht und Bank-Accounts an seinen Erben übertragen werden sollen.</w:t>
      </w:r>
    </w:p>
    <w:p>
      <w:r>
        <w:br w:type="page"/>
      </w:r>
    </w:p>
    <w:p>
      <w:pPr>
        <w:pStyle w:val="Heading1"/>
        <w:spacing w:before="320" w:after="120"/>
      </w:pPr>
      <w:r>
        <w:rPr>
          <w:color w:val="6366F1"/>
        </w:rPr>
        <w:t>3  Erste Schritte – Registrierung &amp; Login</w:t>
      </w:r>
    </w:p>
    <w:p>
      <w:pPr>
        <w:spacing w:after="120"/>
      </w:pPr>
      <w:r>
        <w:rPr>
          <w:rFonts w:ascii="Calibri" w:hAnsi="Calibri"/>
          <w:b w:val="0"/>
          <w:i w:val="0"/>
          <w:sz w:val="22"/>
        </w:rPr>
        <w:t>GhostAccounts ist als Web-Applikation unter ghostaccounts.vercel.app erreichbar. Es ist keine Installation erforderlich. Die App funktioniert auf Desktop, Tablet und mobilen Geräten vollständig responsiv.</w:t>
      </w:r>
    </w:p>
    <w:p>
      <w:pPr>
        <w:pStyle w:val="Heading2"/>
        <w:spacing w:before="320" w:after="120"/>
      </w:pPr>
      <w:r>
        <w:rPr>
          <w:color w:val="1E1B4B"/>
        </w:rPr>
        <w:t>3.1  Registrierung</w:t>
      </w:r>
    </w:p>
    <w:p>
      <w:pPr>
        <w:spacing w:after="120"/>
      </w:pPr>
      <w:r>
        <w:rPr>
          <w:rFonts w:ascii="Calibri" w:hAnsi="Calibri"/>
          <w:b w:val="0"/>
          <w:i w:val="0"/>
          <w:sz w:val="22"/>
        </w:rPr>
        <w:t>Neue Nutzer können sich auf zwei Wegen registrieren:</w:t>
      </w:r>
    </w:p>
    <w:p>
      <w:pPr>
        <w:pStyle w:val="ListBullet"/>
        <w:spacing w:after="60"/>
        <w:ind w:left="360"/>
      </w:pPr>
      <w:r>
        <w:rPr>
          <w:rFonts w:ascii="Calibri" w:hAnsi="Calibri"/>
          <w:sz w:val="22"/>
        </w:rPr>
        <w:t>E-Mail &amp; Passwort:  Unter /register E-Mail-Adresse und Passwort eingeben. Eine Bestätigungs-E-Mail wird automatisch versendet.</w:t>
      </w:r>
    </w:p>
    <w:p>
      <w:pPr>
        <w:pStyle w:val="ListBullet"/>
        <w:spacing w:after="60"/>
        <w:ind w:left="360"/>
      </w:pPr>
      <w:r>
        <w:rPr>
          <w:rFonts w:ascii="Calibri" w:hAnsi="Calibri"/>
          <w:sz w:val="22"/>
        </w:rPr>
        <w:t>Google OAuth:  Schnell-Registrierung per Google-Konto. Gibt zusätzlich die Möglichkeit, direkt den Gmail-Scan zu starten.</w:t>
      </w:r>
    </w:p>
    <w:tbl>
      <w:tblPr>
        <w:tblW w:type="auto" w:w="0"/>
        <w:jc w:val="left"/>
        <w:tblLook w:firstColumn="1" w:firstRow="1" w:lastColumn="0" w:lastRow="0" w:noHBand="0" w:noVBand="1" w:val="04A0"/>
      </w:tblPr>
      <w:tblGrid>
        <w:gridCol w:w="9122"/>
      </w:tblGrid>
      <w:tr>
        <w:tc>
          <w:tcPr>
            <w:tcW w:type="dxa" w:w="8640"/>
            <w:shd w:val="clear" w:color="auto" w:fill="EEF2FF"/>
            <w:tcBorders>
              <w:top w:val="single" w:sz="4" w:space="0" w:color="C7D2FE"/>
              <w:bottom w:val="single" w:sz="4" w:space="0" w:color="C7D2FE"/>
              <w:left w:val="single" w:sz="4" w:space="0" w:color="C7D2FE"/>
              <w:right w:val="single" w:sz="4" w:space="0" w:color="C7D2FE"/>
            </w:tcBorders>
          </w:tcPr>
          <w:p>
            <w:pPr>
              <w:spacing w:before="80" w:after="40"/>
            </w:pPr>
            <w:r>
              <w:rPr>
                <w:rFonts w:ascii="Calibri" w:hAnsi="Calibri"/>
                <w:b/>
                <w:color w:val="6366F1"/>
                <w:sz w:val="22"/>
              </w:rPr>
              <w:t>ℹ️  Sicherheitshinweis</w:t>
            </w:r>
          </w:p>
          <w:p>
            <w:pPr>
              <w:spacing w:before="20" w:after="20"/>
            </w:pPr>
            <w:r>
              <w:rPr>
                <w:rFonts w:ascii="Calibri" w:hAnsi="Calibri"/>
                <w:color w:val="111827"/>
                <w:sz w:val="21"/>
              </w:rPr>
              <w:t>Passwörter werden nie im Klartext gespeichert (Supabase Auth, bcrypt).</w:t>
            </w:r>
          </w:p>
          <w:p>
            <w:pPr>
              <w:spacing w:before="20" w:after="20"/>
            </w:pPr>
            <w:r>
              <w:rPr>
                <w:rFonts w:ascii="Calibri" w:hAnsi="Calibri"/>
                <w:color w:val="111827"/>
                <w:sz w:val="21"/>
              </w:rPr>
              <w:t>Google OAuth verwendet OAuth 2.0 + PKCE – keine Passwörter werden übertragen.</w:t>
            </w:r>
          </w:p>
          <w:p>
            <w:pPr>
              <w:spacing w:before="20" w:after="20"/>
            </w:pPr>
            <w:r>
              <w:rPr>
                <w:rFonts w:ascii="Calibri" w:hAnsi="Calibri"/>
                <w:color w:val="111827"/>
                <w:sz w:val="21"/>
              </w:rPr>
              <w:t>E-Mail-Adressen werden ausschließlich für die Authentifizierung verwendet.</w:t>
            </w:r>
          </w:p>
        </w:tc>
      </w:tr>
    </w:tbl>
    <w:p>
      <w:pPr>
        <w:spacing w:after="80"/>
      </w:pPr>
    </w:p>
    <w:p>
      <w:pPr>
        <w:pStyle w:val="Heading2"/>
        <w:spacing w:before="320" w:after="120"/>
      </w:pPr>
      <w:r>
        <w:rPr>
          <w:color w:val="1E1B4B"/>
        </w:rPr>
        <w:t>3.2  Login</w:t>
      </w:r>
    </w:p>
    <w:p>
      <w:pPr>
        <w:spacing w:after="120"/>
      </w:pPr>
      <w:r>
        <w:rPr>
          <w:rFonts w:ascii="Calibri" w:hAnsi="Calibri"/>
          <w:b w:val="0"/>
          <w:i w:val="0"/>
          <w:sz w:val="22"/>
        </w:rPr>
        <w:t>Eingeloggte Nutzer werden automatisch zum Dashboard weitergeleitet. Die Session bleibt bestehen bis zum expliziten Logout. Bei vergessenem Passwort steht eine 'Passwort vergessen'-Funktion zur Verfügung, die eine Zurücksetz-E-Mail versendet.</w:t>
      </w:r>
    </w:p>
    <w:p>
      <w:pPr>
        <w:pStyle w:val="Heading2"/>
        <w:spacing w:before="320" w:after="120"/>
      </w:pPr>
      <w:r>
        <w:rPr>
          <w:color w:val="1E1B4B"/>
        </w:rPr>
        <w:t>3.3  Navigationsstruktur</w:t>
      </w:r>
    </w:p>
    <w:p>
      <w:pPr>
        <w:spacing w:after="120"/>
      </w:pPr>
      <w:r>
        <w:rPr>
          <w:rFonts w:ascii="Calibri" w:hAnsi="Calibri"/>
          <w:b w:val="0"/>
          <w:i w:val="0"/>
          <w:sz w:val="22"/>
        </w:rPr>
        <w:t>Nach dem Login stehen folgende Bereiche zur Verfügung:</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Bereich</w:t>
            </w:r>
          </w:p>
        </w:tc>
        <w:tc>
          <w:tcPr>
            <w:tcW w:type="dxa" w:w="3041"/>
            <w:shd w:val="clear" w:color="auto" w:fill="6366F1"/>
          </w:tcPr>
          <w:p>
            <w:r>
              <w:rPr>
                <w:rFonts w:ascii="Calibri" w:hAnsi="Calibri"/>
                <w:b/>
                <w:color w:val="FFFFFF"/>
                <w:sz w:val="20"/>
              </w:rPr>
              <w:t>URL</w:t>
            </w:r>
          </w:p>
        </w:tc>
        <w:tc>
          <w:tcPr>
            <w:tcW w:type="dxa" w:w="3041"/>
            <w:shd w:val="clear" w:color="auto" w:fill="6366F1"/>
          </w:tcPr>
          <w:p>
            <w:r>
              <w:rPr>
                <w:rFonts w:ascii="Calibri" w:hAnsi="Calibri"/>
                <w:b/>
                <w:color w:val="FFFFFF"/>
                <w:sz w:val="20"/>
              </w:rPr>
              <w:t>Beschreibung</w:t>
            </w:r>
          </w:p>
        </w:tc>
      </w:tr>
      <w:tr>
        <w:tc>
          <w:tcPr>
            <w:tcW w:type="dxa" w:w="3041"/>
            <w:shd w:val="clear" w:color="auto" w:fill="F5F3FF"/>
          </w:tcPr>
          <w:p>
            <w:r>
              <w:rPr>
                <w:rFonts w:ascii="Calibri" w:hAnsi="Calibri"/>
                <w:color w:val="111827"/>
                <w:sz w:val="20"/>
              </w:rPr>
              <w:t>Dashboard</w:t>
            </w:r>
          </w:p>
        </w:tc>
        <w:tc>
          <w:tcPr>
            <w:tcW w:type="dxa" w:w="3041"/>
            <w:shd w:val="clear" w:color="auto" w:fill="F5F3FF"/>
          </w:tcPr>
          <w:p>
            <w:r>
              <w:rPr>
                <w:rFonts w:ascii="Calibri" w:hAnsi="Calibri"/>
                <w:color w:val="111827"/>
                <w:sz w:val="20"/>
              </w:rPr>
              <w:t>/dashboard</w:t>
            </w:r>
          </w:p>
        </w:tc>
        <w:tc>
          <w:tcPr>
            <w:tcW w:type="dxa" w:w="3041"/>
            <w:shd w:val="clear" w:color="auto" w:fill="F5F3FF"/>
          </w:tcPr>
          <w:p>
            <w:r>
              <w:rPr>
                <w:rFonts w:ascii="Calibri" w:hAnsi="Calibri"/>
                <w:color w:val="111827"/>
                <w:sz w:val="20"/>
              </w:rPr>
              <w:t>Übersicht, Risiko-Score, Quick Actions</w:t>
            </w:r>
          </w:p>
        </w:tc>
      </w:tr>
      <w:tr>
        <w:tc>
          <w:tcPr>
            <w:tcW w:type="dxa" w:w="3041"/>
            <w:shd w:val="clear" w:color="auto" w:fill="FFFFFF"/>
          </w:tcPr>
          <w:p>
            <w:r>
              <w:rPr>
                <w:rFonts w:ascii="Calibri" w:hAnsi="Calibri"/>
                <w:color w:val="111827"/>
                <w:sz w:val="20"/>
              </w:rPr>
              <w:t>Accounts</w:t>
            </w:r>
          </w:p>
        </w:tc>
        <w:tc>
          <w:tcPr>
            <w:tcW w:type="dxa" w:w="3041"/>
            <w:shd w:val="clear" w:color="auto" w:fill="FFFFFF"/>
          </w:tcPr>
          <w:p>
            <w:r>
              <w:rPr>
                <w:rFonts w:ascii="Calibri" w:hAnsi="Calibri"/>
                <w:color w:val="111827"/>
                <w:sz w:val="20"/>
              </w:rPr>
              <w:t>/dashboard/accounts</w:t>
            </w:r>
          </w:p>
        </w:tc>
        <w:tc>
          <w:tcPr>
            <w:tcW w:type="dxa" w:w="3041"/>
            <w:shd w:val="clear" w:color="auto" w:fill="FFFFFF"/>
          </w:tcPr>
          <w:p>
            <w:r>
              <w:rPr>
                <w:rFonts w:ascii="Calibri" w:hAnsi="Calibri"/>
                <w:color w:val="111827"/>
                <w:sz w:val="20"/>
              </w:rPr>
              <w:t>Alle gefundenen Konten</w:t>
            </w:r>
          </w:p>
        </w:tc>
      </w:tr>
      <w:tr>
        <w:tc>
          <w:tcPr>
            <w:tcW w:type="dxa" w:w="3041"/>
            <w:shd w:val="clear" w:color="auto" w:fill="F5F3FF"/>
          </w:tcPr>
          <w:p>
            <w:r>
              <w:rPr>
                <w:rFonts w:ascii="Calibri" w:hAnsi="Calibri"/>
                <w:color w:val="111827"/>
                <w:sz w:val="20"/>
              </w:rPr>
              <w:t>Scan</w:t>
            </w:r>
          </w:p>
        </w:tc>
        <w:tc>
          <w:tcPr>
            <w:tcW w:type="dxa" w:w="3041"/>
            <w:shd w:val="clear" w:color="auto" w:fill="F5F3FF"/>
          </w:tcPr>
          <w:p>
            <w:r>
              <w:rPr>
                <w:rFonts w:ascii="Calibri" w:hAnsi="Calibri"/>
                <w:color w:val="111827"/>
                <w:sz w:val="20"/>
              </w:rPr>
              <w:t>/dashboard/scan</w:t>
            </w:r>
          </w:p>
        </w:tc>
        <w:tc>
          <w:tcPr>
            <w:tcW w:type="dxa" w:w="3041"/>
            <w:shd w:val="clear" w:color="auto" w:fill="F5F3FF"/>
          </w:tcPr>
          <w:p>
            <w:r>
              <w:rPr>
                <w:rFonts w:ascii="Calibri" w:hAnsi="Calibri"/>
                <w:color w:val="111827"/>
                <w:sz w:val="20"/>
              </w:rPr>
              <w:t>E-Mail-Scan starten</w:t>
            </w:r>
          </w:p>
        </w:tc>
      </w:tr>
      <w:tr>
        <w:tc>
          <w:tcPr>
            <w:tcW w:type="dxa" w:w="3041"/>
            <w:shd w:val="clear" w:color="auto" w:fill="FFFFFF"/>
          </w:tcPr>
          <w:p>
            <w:r>
              <w:rPr>
                <w:rFonts w:ascii="Calibri" w:hAnsi="Calibri"/>
                <w:color w:val="111827"/>
                <w:sz w:val="20"/>
              </w:rPr>
              <w:t>Risiko-Prognose</w:t>
            </w:r>
          </w:p>
        </w:tc>
        <w:tc>
          <w:tcPr>
            <w:tcW w:type="dxa" w:w="3041"/>
            <w:shd w:val="clear" w:color="auto" w:fill="FFFFFF"/>
          </w:tcPr>
          <w:p>
            <w:r>
              <w:rPr>
                <w:rFonts w:ascii="Calibri" w:hAnsi="Calibri"/>
                <w:color w:val="111827"/>
                <w:sz w:val="20"/>
              </w:rPr>
              <w:t>/dashboard/forecast</w:t>
            </w:r>
          </w:p>
        </w:tc>
        <w:tc>
          <w:tcPr>
            <w:tcW w:type="dxa" w:w="3041"/>
            <w:shd w:val="clear" w:color="auto" w:fill="FFFFFF"/>
          </w:tcPr>
          <w:p>
            <w:r>
              <w:rPr>
                <w:rFonts w:ascii="Calibri" w:hAnsi="Calibri"/>
                <w:color w:val="111827"/>
                <w:sz w:val="20"/>
              </w:rPr>
              <w:t>6-Monats-Risikoentwicklung</w:t>
            </w:r>
          </w:p>
        </w:tc>
      </w:tr>
      <w:tr>
        <w:tc>
          <w:tcPr>
            <w:tcW w:type="dxa" w:w="3041"/>
            <w:shd w:val="clear" w:color="auto" w:fill="F5F3FF"/>
          </w:tcPr>
          <w:p>
            <w:r>
              <w:rPr>
                <w:rFonts w:ascii="Calibri" w:hAnsi="Calibri"/>
                <w:color w:val="111827"/>
                <w:sz w:val="20"/>
              </w:rPr>
              <w:t>Digital Twin</w:t>
            </w:r>
          </w:p>
        </w:tc>
        <w:tc>
          <w:tcPr>
            <w:tcW w:type="dxa" w:w="3041"/>
            <w:shd w:val="clear" w:color="auto" w:fill="F5F3FF"/>
          </w:tcPr>
          <w:p>
            <w:r>
              <w:rPr>
                <w:rFonts w:ascii="Calibri" w:hAnsi="Calibri"/>
                <w:color w:val="111827"/>
                <w:sz w:val="20"/>
              </w:rPr>
              <w:t>/dashboard/twin</w:t>
            </w:r>
          </w:p>
        </w:tc>
        <w:tc>
          <w:tcPr>
            <w:tcW w:type="dxa" w:w="3041"/>
            <w:shd w:val="clear" w:color="auto" w:fill="F5F3FF"/>
          </w:tcPr>
          <w:p>
            <w:r>
              <w:rPr>
                <w:rFonts w:ascii="Calibri" w:hAnsi="Calibri"/>
                <w:color w:val="111827"/>
                <w:sz w:val="20"/>
              </w:rPr>
              <w:t>Netzwerk-Visualisierung</w:t>
            </w:r>
          </w:p>
        </w:tc>
      </w:tr>
      <w:tr>
        <w:tc>
          <w:tcPr>
            <w:tcW w:type="dxa" w:w="3041"/>
            <w:shd w:val="clear" w:color="auto" w:fill="FFFFFF"/>
          </w:tcPr>
          <w:p>
            <w:r>
              <w:rPr>
                <w:rFonts w:ascii="Calibri" w:hAnsi="Calibri"/>
                <w:color w:val="111827"/>
                <w:sz w:val="20"/>
              </w:rPr>
              <w:t>Digital Will</w:t>
            </w:r>
          </w:p>
        </w:tc>
        <w:tc>
          <w:tcPr>
            <w:tcW w:type="dxa" w:w="3041"/>
            <w:shd w:val="clear" w:color="auto" w:fill="FFFFFF"/>
          </w:tcPr>
          <w:p>
            <w:r>
              <w:rPr>
                <w:rFonts w:ascii="Calibri" w:hAnsi="Calibri"/>
                <w:color w:val="111827"/>
                <w:sz w:val="20"/>
              </w:rPr>
              <w:t>/dashboard/will</w:t>
            </w:r>
          </w:p>
        </w:tc>
        <w:tc>
          <w:tcPr>
            <w:tcW w:type="dxa" w:w="3041"/>
            <w:shd w:val="clear" w:color="auto" w:fill="FFFFFF"/>
          </w:tcPr>
          <w:p>
            <w:r>
              <w:rPr>
                <w:rFonts w:ascii="Calibri" w:hAnsi="Calibri"/>
                <w:color w:val="111827"/>
                <w:sz w:val="20"/>
              </w:rPr>
              <w:t>Digitales Testament</w:t>
            </w:r>
          </w:p>
        </w:tc>
      </w:tr>
      <w:tr>
        <w:tc>
          <w:tcPr>
            <w:tcW w:type="dxa" w:w="3041"/>
            <w:shd w:val="clear" w:color="auto" w:fill="F5F3FF"/>
          </w:tcPr>
          <w:p>
            <w:r>
              <w:rPr>
                <w:rFonts w:ascii="Calibri" w:hAnsi="Calibri"/>
                <w:color w:val="111827"/>
                <w:sz w:val="20"/>
              </w:rPr>
              <w:t>Einstellungen</w:t>
            </w:r>
          </w:p>
        </w:tc>
        <w:tc>
          <w:tcPr>
            <w:tcW w:type="dxa" w:w="3041"/>
            <w:shd w:val="clear" w:color="auto" w:fill="F5F3FF"/>
          </w:tcPr>
          <w:p>
            <w:r>
              <w:rPr>
                <w:rFonts w:ascii="Calibri" w:hAnsi="Calibri"/>
                <w:color w:val="111827"/>
                <w:sz w:val="20"/>
              </w:rPr>
              <w:t>/dashboard/settings</w:t>
            </w:r>
          </w:p>
        </w:tc>
        <w:tc>
          <w:tcPr>
            <w:tcW w:type="dxa" w:w="3041"/>
            <w:shd w:val="clear" w:color="auto" w:fill="F5F3FF"/>
          </w:tcPr>
          <w:p>
            <w:r>
              <w:rPr>
                <w:rFonts w:ascii="Calibri" w:hAnsi="Calibri"/>
                <w:color w:val="111827"/>
                <w:sz w:val="20"/>
              </w:rPr>
              <w:t>Profil, Datenschutz, Export</w:t>
            </w:r>
          </w:p>
        </w:tc>
      </w:tr>
    </w:tbl>
    <w:p>
      <w:pPr>
        <w:spacing w:after="120"/>
      </w:pPr>
    </w:p>
    <w:p>
      <w:r>
        <w:br w:type="page"/>
      </w:r>
    </w:p>
    <w:p>
      <w:pPr>
        <w:pStyle w:val="Heading1"/>
        <w:spacing w:before="320" w:after="120"/>
      </w:pPr>
      <w:r>
        <w:rPr>
          <w:color w:val="6366F1"/>
        </w:rPr>
        <w:t>4  Dashboard – Übersicht</w:t>
      </w:r>
    </w:p>
    <w:p>
      <w:pPr>
        <w:spacing w:after="120"/>
      </w:pPr>
      <w:r>
        <w:rPr>
          <w:rFonts w:ascii="Calibri" w:hAnsi="Calibri"/>
          <w:b w:val="0"/>
          <w:i w:val="0"/>
          <w:sz w:val="22"/>
        </w:rPr>
        <w:t>Das Dashboard ist die zentrale Anlaufstelle der Anwendung. Es bietet eine sofortige Übersicht über den aktuellen Sicherheitsstatus und ermöglicht schnellen Zugriff auf alle wichtigen Funktionen.</w:t>
      </w:r>
    </w:p>
    <w:p>
      <w:pPr>
        <w:pStyle w:val="Heading2"/>
        <w:spacing w:before="320" w:after="120"/>
      </w:pPr>
      <w:r>
        <w:rPr>
          <w:color w:val="1E1B4B"/>
        </w:rPr>
        <w:t>4.1  Begrüßungs-Header</w:t>
      </w:r>
    </w:p>
    <w:p>
      <w:pPr>
        <w:spacing w:after="120"/>
      </w:pPr>
      <w:r>
        <w:rPr>
          <w:rFonts w:ascii="Calibri" w:hAnsi="Calibri"/>
          <w:b w:val="0"/>
          <w:i w:val="0"/>
          <w:sz w:val="22"/>
        </w:rPr>
        <w:t>Der Header zeigt eine personalisierte Begrüßung mit Vor- oder Benutzername sowie das Datum des letzten Scans. Wenn noch kein Scan durchgeführt wurde, wird ein prominenter Call-to-Action für den ersten Scan angezeigt.</w:t>
      </w:r>
    </w:p>
    <w:p>
      <w:pPr>
        <w:pStyle w:val="Heading2"/>
        <w:spacing w:before="320" w:after="120"/>
      </w:pPr>
      <w:r>
        <w:rPr>
          <w:color w:val="1E1B4B"/>
        </w:rPr>
        <w:t>4.2  Statistik-Karten</w:t>
      </w:r>
    </w:p>
    <w:p>
      <w:pPr>
        <w:spacing w:after="120"/>
      </w:pPr>
      <w:r>
        <w:rPr>
          <w:rFonts w:ascii="Calibri" w:hAnsi="Calibri"/>
          <w:b w:val="0"/>
          <w:i w:val="0"/>
          <w:sz w:val="22"/>
        </w:rPr>
        <w:t>Nach dem ersten Scan werden vier Statistik-Karten angezeigt: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Karte</w:t>
            </w:r>
          </w:p>
        </w:tc>
        <w:tc>
          <w:tcPr>
            <w:tcW w:type="dxa" w:w="3041"/>
            <w:shd w:val="clear" w:color="auto" w:fill="6366F1"/>
          </w:tcPr>
          <w:p>
            <w:r>
              <w:rPr>
                <w:rFonts w:ascii="Calibri" w:hAnsi="Calibri"/>
                <w:b/>
                <w:color w:val="FFFFFF"/>
                <w:sz w:val="20"/>
              </w:rPr>
              <w:t>Farbe</w:t>
            </w:r>
          </w:p>
        </w:tc>
        <w:tc>
          <w:tcPr>
            <w:tcW w:type="dxa" w:w="3041"/>
            <w:shd w:val="clear" w:color="auto" w:fill="6366F1"/>
          </w:tcPr>
          <w:p>
            <w:r>
              <w:rPr>
                <w:rFonts w:ascii="Calibri" w:hAnsi="Calibri"/>
                <w:b/>
                <w:color w:val="FFFFFF"/>
                <w:sz w:val="20"/>
              </w:rPr>
              <w:t>Inhalt</w:t>
            </w:r>
          </w:p>
        </w:tc>
      </w:tr>
      <w:tr>
        <w:tc>
          <w:tcPr>
            <w:tcW w:type="dxa" w:w="3041"/>
            <w:shd w:val="clear" w:color="auto" w:fill="F5F3FF"/>
          </w:tcPr>
          <w:p>
            <w:r>
              <w:rPr>
                <w:rFonts w:ascii="Calibri" w:hAnsi="Calibri"/>
                <w:color w:val="111827"/>
                <w:sz w:val="20"/>
              </w:rPr>
              <w:t>Risiko-Score</w:t>
            </w:r>
          </w:p>
        </w:tc>
        <w:tc>
          <w:tcPr>
            <w:tcW w:type="dxa" w:w="3041"/>
            <w:shd w:val="clear" w:color="auto" w:fill="F5F3FF"/>
          </w:tcPr>
          <w:p>
            <w:r>
              <w:rPr>
                <w:rFonts w:ascii="Calibri" w:hAnsi="Calibri"/>
                <w:color w:val="111827"/>
                <w:sz w:val="20"/>
              </w:rPr>
              <w:t>Indigo/Kreisdiagramm</w:t>
            </w:r>
          </w:p>
        </w:tc>
        <w:tc>
          <w:tcPr>
            <w:tcW w:type="dxa" w:w="3041"/>
            <w:shd w:val="clear" w:color="auto" w:fill="F5F3FF"/>
          </w:tcPr>
          <w:p>
            <w:r>
              <w:rPr>
                <w:rFonts w:ascii="Calibri" w:hAnsi="Calibri"/>
                <w:color w:val="111827"/>
                <w:sz w:val="20"/>
              </w:rPr>
              <w:t>Numerischer Score 0–100 mit Kategorie (Niedrig / Mittel / Hoch)</w:t>
            </w:r>
          </w:p>
        </w:tc>
      </w:tr>
      <w:tr>
        <w:tc>
          <w:tcPr>
            <w:tcW w:type="dxa" w:w="3041"/>
            <w:shd w:val="clear" w:color="auto" w:fill="FFFFFF"/>
          </w:tcPr>
          <w:p>
            <w:r>
              <w:rPr>
                <w:rFonts w:ascii="Calibri" w:hAnsi="Calibri"/>
                <w:color w:val="111827"/>
                <w:sz w:val="20"/>
              </w:rPr>
              <w:t>Accounts gefunden</w:t>
            </w:r>
          </w:p>
        </w:tc>
        <w:tc>
          <w:tcPr>
            <w:tcW w:type="dxa" w:w="3041"/>
            <w:shd w:val="clear" w:color="auto" w:fill="FFFFFF"/>
          </w:tcPr>
          <w:p>
            <w:r>
              <w:rPr>
                <w:rFonts w:ascii="Calibri" w:hAnsi="Calibri"/>
                <w:color w:val="111827"/>
                <w:sz w:val="20"/>
              </w:rPr>
              <w:t>Grau</w:t>
            </w:r>
          </w:p>
        </w:tc>
        <w:tc>
          <w:tcPr>
            <w:tcW w:type="dxa" w:w="3041"/>
            <w:shd w:val="clear" w:color="auto" w:fill="FFFFFF"/>
          </w:tcPr>
          <w:p>
            <w:r>
              <w:rPr>
                <w:rFonts w:ascii="Calibri" w:hAnsi="Calibri"/>
                <w:color w:val="111827"/>
                <w:sz w:val="20"/>
              </w:rPr>
              <w:t>Gesamtzahl aller erkannten Online-Konten</w:t>
            </w:r>
          </w:p>
        </w:tc>
      </w:tr>
      <w:tr>
        <w:tc>
          <w:tcPr>
            <w:tcW w:type="dxa" w:w="3041"/>
            <w:shd w:val="clear" w:color="auto" w:fill="F5F3FF"/>
          </w:tcPr>
          <w:p>
            <w:r>
              <w:rPr>
                <w:rFonts w:ascii="Calibri" w:hAnsi="Calibri"/>
                <w:color w:val="111827"/>
                <w:sz w:val="20"/>
              </w:rPr>
              <w:t>Kompromittiert</w:t>
            </w:r>
          </w:p>
        </w:tc>
        <w:tc>
          <w:tcPr>
            <w:tcW w:type="dxa" w:w="3041"/>
            <w:shd w:val="clear" w:color="auto" w:fill="F5F3FF"/>
          </w:tcPr>
          <w:p>
            <w:r>
              <w:rPr>
                <w:rFonts w:ascii="Calibri" w:hAnsi="Calibri"/>
                <w:color w:val="111827"/>
                <w:sz w:val="20"/>
              </w:rPr>
              <w:t>Rot</w:t>
            </w:r>
          </w:p>
        </w:tc>
        <w:tc>
          <w:tcPr>
            <w:tcW w:type="dxa" w:w="3041"/>
            <w:shd w:val="clear" w:color="auto" w:fill="F5F3FF"/>
          </w:tcPr>
          <w:p>
            <w:r>
              <w:rPr>
                <w:rFonts w:ascii="Calibri" w:hAnsi="Calibri"/>
                <w:color w:val="111827"/>
                <w:sz w:val="20"/>
              </w:rPr>
              <w:t>Anzahl der Accounts mit bestätigtem Datenleck</w:t>
            </w:r>
          </w:p>
        </w:tc>
      </w:tr>
      <w:tr>
        <w:tc>
          <w:tcPr>
            <w:tcW w:type="dxa" w:w="3041"/>
            <w:shd w:val="clear" w:color="auto" w:fill="FFFFFF"/>
          </w:tcPr>
          <w:p>
            <w:r>
              <w:rPr>
                <w:rFonts w:ascii="Calibri" w:hAnsi="Calibri"/>
                <w:color w:val="111827"/>
                <w:sz w:val="20"/>
              </w:rPr>
              <w:t>Inaktiv (3+ Jahre)</w:t>
            </w:r>
          </w:p>
        </w:tc>
        <w:tc>
          <w:tcPr>
            <w:tcW w:type="dxa" w:w="3041"/>
            <w:shd w:val="clear" w:color="auto" w:fill="FFFFFF"/>
          </w:tcPr>
          <w:p>
            <w:r>
              <w:rPr>
                <w:rFonts w:ascii="Calibri" w:hAnsi="Calibri"/>
                <w:color w:val="111827"/>
                <w:sz w:val="20"/>
              </w:rPr>
              <w:t>Amber</w:t>
            </w:r>
          </w:p>
        </w:tc>
        <w:tc>
          <w:tcPr>
            <w:tcW w:type="dxa" w:w="3041"/>
            <w:shd w:val="clear" w:color="auto" w:fill="FFFFFF"/>
          </w:tcPr>
          <w:p>
            <w:r>
              <w:rPr>
                <w:rFonts w:ascii="Calibri" w:hAnsi="Calibri"/>
                <w:color w:val="111827"/>
                <w:sz w:val="20"/>
              </w:rPr>
              <w:t>Accounts ohne E-Mail-Aktivität seit über 3 Jahren</w:t>
            </w:r>
          </w:p>
        </w:tc>
      </w:tr>
    </w:tbl>
    <w:p>
      <w:pPr>
        <w:spacing w:after="120"/>
      </w:pPr>
    </w:p>
    <w:p>
      <w:pPr>
        <w:pStyle w:val="Heading2"/>
        <w:spacing w:before="320" w:after="120"/>
      </w:pPr>
      <w:r>
        <w:rPr>
          <w:color w:val="1E1B4B"/>
        </w:rPr>
        <w:t>4.3  Quick Actions</w:t>
      </w:r>
    </w:p>
    <w:p>
      <w:pPr>
        <w:spacing w:after="120"/>
      </w:pPr>
      <w:r>
        <w:rPr>
          <w:rFonts w:ascii="Calibri" w:hAnsi="Calibri"/>
          <w:b w:val="0"/>
          <w:i w:val="0"/>
          <w:sz w:val="22"/>
        </w:rPr>
        <w:t>Drei Schnellzugriff-Kacheln ermöglichen direkten Zugang zu den häufigsten Aktionen:</w:t>
      </w:r>
    </w:p>
    <w:p>
      <w:pPr>
        <w:pStyle w:val="ListBullet"/>
        <w:spacing w:after="60"/>
        <w:ind w:left="360"/>
      </w:pPr>
      <w:r>
        <w:rPr>
          <w:rFonts w:ascii="Calibri" w:hAnsi="Calibri"/>
          <w:sz w:val="22"/>
        </w:rPr>
        <w:t>🔍  Neuen Scan starten – führt direkt zum Scan-Bereich</w:t>
      </w:r>
    </w:p>
    <w:p>
      <w:pPr>
        <w:pStyle w:val="ListBullet"/>
        <w:spacing w:after="60"/>
        <w:ind w:left="360"/>
      </w:pPr>
      <w:r>
        <w:rPr>
          <w:rFonts w:ascii="Calibri" w:hAnsi="Calibri"/>
          <w:sz w:val="22"/>
        </w:rPr>
        <w:t>⚠️  Breaches prüfen – öffnet gefilterte Account-Liste (nur Breached)</w:t>
      </w:r>
    </w:p>
    <w:p>
      <w:pPr>
        <w:pStyle w:val="ListBullet"/>
        <w:spacing w:after="60"/>
        <w:ind w:left="360"/>
      </w:pPr>
      <w:r>
        <w:rPr>
          <w:rFonts w:ascii="Calibri" w:hAnsi="Calibri"/>
          <w:sz w:val="22"/>
        </w:rPr>
        <w:t>✨  Aufräumen – öffnet gefilterte Account-Liste (nur Aktiv)</w:t>
      </w:r>
    </w:p>
    <w:p>
      <w:pPr>
        <w:pStyle w:val="Heading2"/>
        <w:spacing w:before="320" w:after="120"/>
      </w:pPr>
      <w:r>
        <w:rPr>
          <w:color w:val="1E1B4B"/>
        </w:rPr>
        <w:t>4.4  Breach-Alerts</w:t>
      </w:r>
    </w:p>
    <w:p>
      <w:pPr>
        <w:spacing w:after="120"/>
      </w:pPr>
      <w:r>
        <w:rPr>
          <w:rFonts w:ascii="Calibri" w:hAnsi="Calibri"/>
          <w:b w:val="0"/>
          <w:i w:val="0"/>
          <w:sz w:val="22"/>
        </w:rPr>
        <w:t>Der Abschnitt 'Aktuelle Breach-Warnungen' zeigt die 5 neuesten ungelesenen Sicherheitswarnungen von Have I Been Pwned (HIBP). Wenn keine Warnungen vorliegen, wird eine beruhigende 'Alles sicher'-Meldung angezeigt.</w:t>
      </w:r>
    </w:p>
    <w:p>
      <w:pPr>
        <w:pStyle w:val="Heading2"/>
        <w:spacing w:before="320" w:after="120"/>
      </w:pPr>
      <w:r>
        <w:rPr>
          <w:color w:val="1E1B4B"/>
        </w:rPr>
        <w:t>4.5  Ghost Risk Forecast (Vorschau)</w:t>
      </w:r>
    </w:p>
    <w:p>
      <w:pPr>
        <w:spacing w:after="120"/>
      </w:pPr>
      <w:r>
        <w:rPr>
          <w:rFonts w:ascii="Calibri" w:hAnsi="Calibri"/>
          <w:b w:val="0"/>
          <w:i w:val="0"/>
          <w:sz w:val="22"/>
        </w:rPr>
        <w:t>Am unteren Ende des Dashboards befindet sich eine kompakte Vorschau der Risiko-Prognose für die nächsten 6 Monate. Sie zeigt eine Sparkline-Grafik mit dem voraussichtlichen Risikoverlauf sowie empfohlene Sofortmaßnahmen.</w:t>
      </w:r>
    </w:p>
    <w:p>
      <w:pPr>
        <w:pStyle w:val="Heading2"/>
        <w:spacing w:before="320" w:after="120"/>
      </w:pPr>
      <w:r>
        <w:rPr>
          <w:color w:val="1E1B4B"/>
        </w:rPr>
        <w:t>4.6  Digital Twin Teaser</w:t>
      </w:r>
    </w:p>
    <w:p>
      <w:pPr>
        <w:spacing w:after="120"/>
      </w:pPr>
      <w:r>
        <w:rPr>
          <w:rFonts w:ascii="Calibri" w:hAnsi="Calibri"/>
          <w:b w:val="0"/>
          <w:i w:val="0"/>
          <w:sz w:val="22"/>
        </w:rPr>
        <w:t>Eine hervorgehobene Link-Karte verweist auf den Digital Twin – die interaktive Netzwerk-Visualisierung aller gefundenen Accounts. Das Badge 'New' weist auf die neue Funktion hin.</w:t>
      </w:r>
    </w:p>
    <w:p>
      <w:r>
        <w:br w:type="page"/>
      </w:r>
    </w:p>
    <w:p>
      <w:pPr>
        <w:pStyle w:val="Heading1"/>
        <w:spacing w:before="320" w:after="120"/>
      </w:pPr>
      <w:r>
        <w:rPr>
          <w:color w:val="6366F1"/>
        </w:rPr>
        <w:t>5  Scan-Funktion</w:t>
      </w:r>
    </w:p>
    <w:p>
      <w:pPr>
        <w:spacing w:after="120"/>
      </w:pPr>
      <w:r>
        <w:rPr>
          <w:rFonts w:ascii="Calibri" w:hAnsi="Calibri"/>
          <w:b w:val="0"/>
          <w:i w:val="0"/>
          <w:sz w:val="22"/>
        </w:rPr>
        <w:t>Die Scan-Funktion ist das Herzstück von GhostAccounts. Sie analysiert E-Mail-Metadaten (Absender, Betreff, Datum) und identifiziert Online-Dienste, bei denen der Nutzer registriert ist. Dabei werden niemals E-Mail-Inhalte gespeichert oder an Server übertragen.</w:t>
      </w:r>
    </w:p>
    <w:tbl>
      <w:tblPr>
        <w:tblW w:type="auto" w:w="0"/>
        <w:jc w:val="left"/>
        <w:tblLook w:firstColumn="1" w:firstRow="1" w:lastColumn="0" w:lastRow="0" w:noHBand="0" w:noVBand="1" w:val="04A0"/>
      </w:tblPr>
      <w:tblGrid>
        <w:gridCol w:w="9122"/>
      </w:tblGrid>
      <w:tr>
        <w:tc>
          <w:tcPr>
            <w:tcW w:type="dxa" w:w="8640"/>
            <w:shd w:val="clear" w:color="auto" w:fill="ECFDF5"/>
            <w:tcBorders>
              <w:top w:val="single" w:sz="4" w:space="0" w:color="22C55E"/>
              <w:bottom w:val="single" w:sz="4" w:space="0" w:color="22C55E"/>
              <w:left w:val="single" w:sz="4" w:space="0" w:color="22C55E"/>
              <w:right w:val="single" w:sz="4" w:space="0" w:color="22C55E"/>
            </w:tcBorders>
          </w:tcPr>
          <w:p>
            <w:pPr>
              <w:spacing w:before="80" w:after="40"/>
            </w:pPr>
            <w:r>
              <w:rPr>
                <w:rFonts w:ascii="Calibri" w:hAnsi="Calibri"/>
                <w:b/>
                <w:color w:val="066F35"/>
                <w:sz w:val="22"/>
              </w:rPr>
              <w:t>🔒  Datenschutz beim Scan</w:t>
            </w:r>
          </w:p>
          <w:p>
            <w:pPr>
              <w:spacing w:before="20" w:after="20"/>
            </w:pPr>
            <w:r>
              <w:rPr>
                <w:rFonts w:ascii="Calibri" w:hAnsi="Calibri"/>
                <w:color w:val="111827"/>
                <w:sz w:val="21"/>
              </w:rPr>
              <w:t>Was analysiert wird:  Absender-Domain, Betreff-Zeile, Datum der E-Mail</w:t>
            </w:r>
          </w:p>
          <w:p>
            <w:pPr>
              <w:spacing w:before="20" w:after="20"/>
            </w:pPr>
            <w:r>
              <w:rPr>
                <w:rFonts w:ascii="Calibri" w:hAnsi="Calibri"/>
                <w:color w:val="111827"/>
                <w:sz w:val="21"/>
              </w:rPr>
              <w:t>Was NICHT gespeichert wird:  E-Mail-Inhalte, Anhänge, Empfänger, CC/BCC</w:t>
            </w:r>
          </w:p>
          <w:p>
            <w:pPr>
              <w:spacing w:before="20" w:after="20"/>
            </w:pPr>
            <w:r>
              <w:rPr>
                <w:rFonts w:ascii="Calibri" w:hAnsi="Calibri"/>
                <w:color w:val="111827"/>
                <w:sz w:val="21"/>
              </w:rPr>
              <w:t>Was gespeichert wird:  Erkannter Service-Name, Domain, Erkennungstyp, Datum</w:t>
            </w:r>
          </w:p>
        </w:tc>
      </w:tr>
    </w:tbl>
    <w:p>
      <w:pPr>
        <w:spacing w:after="80"/>
      </w:pPr>
    </w:p>
    <w:p>
      <w:pPr>
        <w:pStyle w:val="Heading2"/>
        <w:spacing w:before="320" w:after="120"/>
      </w:pPr>
      <w:r>
        <w:rPr>
          <w:color w:val="1E1B4B"/>
        </w:rPr>
        <w:t>5.1  Gmail OAuth Scan</w:t>
      </w:r>
    </w:p>
    <w:p>
      <w:pPr>
        <w:spacing w:after="120"/>
      </w:pPr>
      <w:r>
        <w:rPr>
          <w:rFonts w:ascii="Calibri" w:hAnsi="Calibri"/>
          <w:b w:val="0"/>
          <w:i w:val="0"/>
          <w:sz w:val="22"/>
        </w:rPr>
        <w:t>Der Gmail OAuth Scan verbindet sich über Google's offizielle OAuth 2.0 API mit dem Gmail-Posteingang. Dieses Verfahren ist die sicherste Scan-Methode, da kein Passwort eingegeben werden muss.</w:t>
      </w:r>
    </w:p>
    <w:p>
      <w:pPr>
        <w:spacing w:after="40"/>
      </w:pPr>
      <w:r>
        <w:rPr>
          <w:rFonts w:ascii="Calibri" w:hAnsi="Calibri"/>
          <w:b/>
          <w:i w:val="0"/>
          <w:sz w:val="22"/>
        </w:rPr>
        <w:t>Technischer Ablauf:</w:t>
      </w:r>
    </w:p>
    <w:p>
      <w:pPr>
        <w:pStyle w:val="ListBullet"/>
        <w:spacing w:after="60"/>
        <w:ind w:left="360"/>
      </w:pPr>
      <w:r>
        <w:rPr>
          <w:rFonts w:ascii="Calibri" w:hAnsi="Calibri"/>
          <w:sz w:val="22"/>
        </w:rPr>
        <w:t>1. Der Nutzer klickt auf 'Mit Gmail scannen'</w:t>
      </w:r>
    </w:p>
    <w:p>
      <w:pPr>
        <w:pStyle w:val="ListBullet"/>
        <w:spacing w:after="60"/>
        <w:ind w:left="360"/>
      </w:pPr>
      <w:r>
        <w:rPr>
          <w:rFonts w:ascii="Calibri" w:hAnsi="Calibri"/>
          <w:sz w:val="22"/>
        </w:rPr>
        <w:t>2. GhostAccounts generiert einen PKCE-Code-Verifier (RFC 7636 – verhindert Interception)</w:t>
      </w:r>
    </w:p>
    <w:p>
      <w:pPr>
        <w:pStyle w:val="ListBullet"/>
        <w:spacing w:after="60"/>
        <w:ind w:left="360"/>
      </w:pPr>
      <w:r>
        <w:rPr>
          <w:rFonts w:ascii="Calibri" w:hAnsi="Calibri"/>
          <w:sz w:val="22"/>
        </w:rPr>
        <w:t>3. Der Nutzer wird zu Google weitergeleitet und erteilt die Berechtigung 'gmail.readonly'</w:t>
      </w:r>
    </w:p>
    <w:p>
      <w:pPr>
        <w:pStyle w:val="ListBullet"/>
        <w:spacing w:after="60"/>
        <w:ind w:left="360"/>
      </w:pPr>
      <w:r>
        <w:rPr>
          <w:rFonts w:ascii="Calibri" w:hAnsi="Calibri"/>
          <w:sz w:val="22"/>
        </w:rPr>
        <w:t>4. Google sendet einen Authorization Code zurück</w:t>
      </w:r>
    </w:p>
    <w:p>
      <w:pPr>
        <w:pStyle w:val="ListBullet"/>
        <w:spacing w:after="60"/>
        <w:ind w:left="360"/>
      </w:pPr>
      <w:r>
        <w:rPr>
          <w:rFonts w:ascii="Calibri" w:hAnsi="Calibri"/>
          <w:sz w:val="22"/>
        </w:rPr>
        <w:t>5. GhostAccounts tauscht den Code gegen ein Access Token aus (Code Exchange)</w:t>
      </w:r>
    </w:p>
    <w:p>
      <w:pPr>
        <w:pStyle w:val="ListBullet"/>
        <w:spacing w:after="60"/>
        <w:ind w:left="360"/>
      </w:pPr>
      <w:r>
        <w:rPr>
          <w:rFonts w:ascii="Calibri" w:hAnsi="Calibri"/>
          <w:sz w:val="22"/>
        </w:rPr>
        <w:t>6. Die Gmail API wird aufgerufen, um Metadaten der letzten Nachrichten abzurufen</w:t>
      </w:r>
    </w:p>
    <w:p>
      <w:pPr>
        <w:pStyle w:val="ListBullet"/>
        <w:spacing w:after="60"/>
        <w:ind w:left="360"/>
      </w:pPr>
      <w:r>
        <w:rPr>
          <w:rFonts w:ascii="Calibri" w:hAnsi="Calibri"/>
          <w:sz w:val="22"/>
        </w:rPr>
        <w:t>7. Parallel: Google Connected Apps werden geprüft (OAuth-Token-basiert)</w:t>
      </w:r>
    </w:p>
    <w:p>
      <w:pPr>
        <w:pStyle w:val="ListBullet"/>
        <w:spacing w:after="60"/>
        <w:ind w:left="360"/>
      </w:pPr>
      <w:r>
        <w:rPr>
          <w:rFonts w:ascii="Calibri" w:hAnsi="Calibri"/>
          <w:sz w:val="22"/>
        </w:rPr>
        <w:t>8. Ergebnisse beider Scans werden zusammengeführt und gespeichert</w:t>
      </w:r>
    </w:p>
    <w:tbl>
      <w:tblPr>
        <w:tblW w:type="auto" w:w="0"/>
        <w:jc w:val="left"/>
        <w:tblLook w:firstColumn="1" w:firstRow="1" w:lastColumn="0" w:lastRow="0" w:noHBand="0" w:noVBand="1" w:val="04A0"/>
      </w:tblPr>
      <w:tblGrid>
        <w:gridCol w:w="9122"/>
      </w:tblGrid>
      <w:tr>
        <w:tc>
          <w:tcPr>
            <w:tcW w:type="dxa" w:w="8640"/>
            <w:shd w:val="clear" w:color="auto" w:fill="FFFBEB"/>
            <w:tcBorders>
              <w:top w:val="single" w:sz="4" w:space="0" w:color="F59E0B"/>
              <w:bottom w:val="single" w:sz="4" w:space="0" w:color="F59E0B"/>
              <w:left w:val="single" w:sz="4" w:space="0" w:color="F59E0B"/>
              <w:right w:val="single" w:sz="4" w:space="0" w:color="F59E0B"/>
            </w:tcBorders>
          </w:tcPr>
          <w:p>
            <w:pPr>
              <w:spacing w:before="80" w:after="40"/>
            </w:pPr>
            <w:r>
              <w:rPr>
                <w:rFonts w:ascii="Calibri" w:hAnsi="Calibri"/>
                <w:b/>
                <w:color w:val="B45C09"/>
                <w:sz w:val="22"/>
              </w:rPr>
              <w:t>⚠️  Voraussetzung</w:t>
            </w:r>
          </w:p>
          <w:p>
            <w:pPr>
              <w:spacing w:before="20" w:after="20"/>
            </w:pPr>
            <w:r>
              <w:rPr>
                <w:rFonts w:ascii="Calibri" w:hAnsi="Calibri"/>
                <w:color w:val="111827"/>
                <w:sz w:val="21"/>
              </w:rPr>
              <w:t>Google OAuth muss in den Projekt-Einstellungen konfiguriert sein (NEXT_PUBLIC_GOOGLE_CLIENT_ID).</w:t>
            </w:r>
          </w:p>
          <w:p>
            <w:pPr>
              <w:spacing w:before="20" w:after="20"/>
            </w:pPr>
            <w:r>
              <w:rPr>
                <w:rFonts w:ascii="Calibri" w:hAnsi="Calibri"/>
                <w:color w:val="111827"/>
                <w:sz w:val="21"/>
              </w:rPr>
              <w:t>Ohne Konfiguration erscheint eine Fehlermeldung 'Gmail nicht konfiguriert'.</w:t>
            </w:r>
          </w:p>
          <w:p>
            <w:pPr>
              <w:spacing w:before="20" w:after="20"/>
            </w:pPr>
            <w:r>
              <w:rPr>
                <w:rFonts w:ascii="Calibri" w:hAnsi="Calibri"/>
                <w:color w:val="111827"/>
                <w:sz w:val="21"/>
              </w:rPr>
              <w:t>In der aktuellen Deployment-Version ist die Demo-Alternative immer verfügbar.</w:t>
            </w:r>
          </w:p>
        </w:tc>
      </w:tr>
    </w:tbl>
    <w:p>
      <w:pPr>
        <w:spacing w:after="80"/>
      </w:pPr>
    </w:p>
    <w:p>
      <w:pPr>
        <w:pStyle w:val="Heading2"/>
        <w:spacing w:before="320" w:after="120"/>
      </w:pPr>
      <w:r>
        <w:rPr>
          <w:color w:val="1E1B4B"/>
        </w:rPr>
        <w:t>5.2  IMAP-Scan (alle E-Mail-Anbieter)</w:t>
      </w:r>
    </w:p>
    <w:p>
      <w:pPr>
        <w:spacing w:after="120"/>
      </w:pPr>
      <w:r>
        <w:rPr>
          <w:rFonts w:ascii="Calibri" w:hAnsi="Calibri"/>
          <w:b w:val="0"/>
          <w:i w:val="0"/>
          <w:sz w:val="22"/>
        </w:rPr>
        <w:t>Der IMAP-Scan ermöglicht das Scannen jedes beliebigen E-Mail-Postfachs über das universelle IMAP-Protokoll (Port 993, SSL/TLS). Er funktioniert mit allen gängigen deutschen und internationalen Anbietern.</w:t>
      </w:r>
    </w:p>
    <w:p>
      <w:pPr>
        <w:spacing w:after="40"/>
      </w:pPr>
      <w:r>
        <w:rPr>
          <w:rFonts w:ascii="Calibri" w:hAnsi="Calibri"/>
          <w:b/>
          <w:i w:val="0"/>
          <w:sz w:val="22"/>
        </w:rPr>
        <w:t>Unterstützte E-Mail-Anbieter: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Anbieter</w:t>
            </w:r>
          </w:p>
        </w:tc>
        <w:tc>
          <w:tcPr>
            <w:tcW w:type="dxa" w:w="3041"/>
            <w:shd w:val="clear" w:color="auto" w:fill="6366F1"/>
          </w:tcPr>
          <w:p>
            <w:r>
              <w:rPr>
                <w:rFonts w:ascii="Calibri" w:hAnsi="Calibri"/>
                <w:b/>
                <w:color w:val="FFFFFF"/>
                <w:sz w:val="20"/>
              </w:rPr>
              <w:t>Automatische Erkennung</w:t>
            </w:r>
          </w:p>
        </w:tc>
        <w:tc>
          <w:tcPr>
            <w:tcW w:type="dxa" w:w="3041"/>
            <w:shd w:val="clear" w:color="auto" w:fill="6366F1"/>
          </w:tcPr>
          <w:p>
            <w:r>
              <w:rPr>
                <w:rFonts w:ascii="Calibri" w:hAnsi="Calibri"/>
                <w:b/>
                <w:color w:val="FFFFFF"/>
                <w:sz w:val="20"/>
              </w:rPr>
              <w:t>Besonderheit</w:t>
            </w:r>
          </w:p>
        </w:tc>
      </w:tr>
      <w:tr>
        <w:tc>
          <w:tcPr>
            <w:tcW w:type="dxa" w:w="3041"/>
            <w:shd w:val="clear" w:color="auto" w:fill="F5F3FF"/>
          </w:tcPr>
          <w:p>
            <w:r>
              <w:rPr>
                <w:rFonts w:ascii="Calibri" w:hAnsi="Calibri"/>
                <w:color w:val="111827"/>
                <w:sz w:val="20"/>
              </w:rPr>
              <w:t>Gmail</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App-Passwort erforderlich (nicht Hauptpasswort)</w:t>
            </w:r>
          </w:p>
        </w:tc>
      </w:tr>
      <w:tr>
        <w:tc>
          <w:tcPr>
            <w:tcW w:type="dxa" w:w="3041"/>
            <w:shd w:val="clear" w:color="auto" w:fill="FFFFFF"/>
          </w:tcPr>
          <w:p>
            <w:r>
              <w:rPr>
                <w:rFonts w:ascii="Calibri" w:hAnsi="Calibri"/>
                <w:color w:val="111827"/>
                <w:sz w:val="20"/>
              </w:rPr>
              <w:t>Outlook/Hotmail</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App-Passwort in Microsoft-Konto generieren</w:t>
            </w:r>
          </w:p>
        </w:tc>
      </w:tr>
      <w:tr>
        <w:tc>
          <w:tcPr>
            <w:tcW w:type="dxa" w:w="3041"/>
            <w:shd w:val="clear" w:color="auto" w:fill="F5F3FF"/>
          </w:tcPr>
          <w:p>
            <w:r>
              <w:rPr>
                <w:rFonts w:ascii="Calibri" w:hAnsi="Calibri"/>
                <w:color w:val="111827"/>
                <w:sz w:val="20"/>
              </w:rPr>
              <w:t>Yahoo Mail</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App-Passwort unter security.yahoo.com</w:t>
            </w:r>
          </w:p>
        </w:tc>
      </w:tr>
      <w:tr>
        <w:tc>
          <w:tcPr>
            <w:tcW w:type="dxa" w:w="3041"/>
            <w:shd w:val="clear" w:color="auto" w:fill="FFFFFF"/>
          </w:tcPr>
          <w:p>
            <w:r>
              <w:rPr>
                <w:rFonts w:ascii="Calibri" w:hAnsi="Calibri"/>
                <w:color w:val="111827"/>
                <w:sz w:val="20"/>
              </w:rPr>
              <w:t>iCloud Mail</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App-Passwort bei appleid.apple.com</w:t>
            </w:r>
          </w:p>
        </w:tc>
      </w:tr>
      <w:tr>
        <w:tc>
          <w:tcPr>
            <w:tcW w:type="dxa" w:w="3041"/>
            <w:shd w:val="clear" w:color="auto" w:fill="F5F3FF"/>
          </w:tcPr>
          <w:p>
            <w:r>
              <w:rPr>
                <w:rFonts w:ascii="Calibri" w:hAnsi="Calibri"/>
                <w:color w:val="111827"/>
                <w:sz w:val="20"/>
              </w:rPr>
              <w:t>GMX</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Normales GMX-Passwort verwendbar</w:t>
            </w:r>
          </w:p>
        </w:tc>
      </w:tr>
      <w:tr>
        <w:tc>
          <w:tcPr>
            <w:tcW w:type="dxa" w:w="3041"/>
            <w:shd w:val="clear" w:color="auto" w:fill="FFFFFF"/>
          </w:tcPr>
          <w:p>
            <w:r>
              <w:rPr>
                <w:rFonts w:ascii="Calibri" w:hAnsi="Calibri"/>
                <w:color w:val="111827"/>
                <w:sz w:val="20"/>
              </w:rPr>
              <w:t>WEB.DE</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Normales WEB.DE-Passwort verwendbar</w:t>
            </w:r>
          </w:p>
        </w:tc>
      </w:tr>
      <w:tr>
        <w:tc>
          <w:tcPr>
            <w:tcW w:type="dxa" w:w="3041"/>
            <w:shd w:val="clear" w:color="auto" w:fill="F5F3FF"/>
          </w:tcPr>
          <w:p>
            <w:r>
              <w:rPr>
                <w:rFonts w:ascii="Calibri" w:hAnsi="Calibri"/>
                <w:color w:val="111827"/>
                <w:sz w:val="20"/>
              </w:rPr>
              <w:t>T-Online</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Normales T-Online-Passwort verwendbar</w:t>
            </w:r>
          </w:p>
        </w:tc>
      </w:tr>
      <w:tr>
        <w:tc>
          <w:tcPr>
            <w:tcW w:type="dxa" w:w="3041"/>
            <w:shd w:val="clear" w:color="auto" w:fill="FFFFFF"/>
          </w:tcPr>
          <w:p>
            <w:r>
              <w:rPr>
                <w:rFonts w:ascii="Calibri" w:hAnsi="Calibri"/>
                <w:color w:val="111827"/>
                <w:sz w:val="20"/>
              </w:rPr>
              <w:t>Andere (IMAP)</w:t>
            </w:r>
          </w:p>
        </w:tc>
        <w:tc>
          <w:tcPr>
            <w:tcW w:type="dxa" w:w="3041"/>
            <w:shd w:val="clear" w:color="auto" w:fill="FFFFFF"/>
          </w:tcPr>
          <w:p>
            <w:r>
              <w:rPr>
                <w:rFonts w:ascii="Calibri" w:hAnsi="Calibri"/>
                <w:color w:val="111827"/>
                <w:sz w:val="20"/>
              </w:rPr>
              <w:t>✅ Manuell</w:t>
            </w:r>
          </w:p>
        </w:tc>
        <w:tc>
          <w:tcPr>
            <w:tcW w:type="dxa" w:w="3041"/>
            <w:shd w:val="clear" w:color="auto" w:fill="FFFFFF"/>
          </w:tcPr>
          <w:p>
            <w:r>
              <w:rPr>
                <w:rFonts w:ascii="Calibri" w:hAnsi="Calibri"/>
                <w:color w:val="111827"/>
                <w:sz w:val="20"/>
              </w:rPr>
              <w:t>IMAP-Host wird automatisch als imap.[domain] gesetzt</w:t>
            </w:r>
          </w:p>
        </w:tc>
      </w:tr>
    </w:tbl>
    <w:p>
      <w:pPr>
        <w:spacing w:after="120"/>
      </w:pPr>
    </w:p>
    <w:p>
      <w:pPr>
        <w:spacing w:after="40"/>
      </w:pPr>
      <w:r>
        <w:rPr>
          <w:rFonts w:ascii="Calibri" w:hAnsi="Calibri"/>
          <w:b/>
          <w:i w:val="0"/>
          <w:sz w:val="22"/>
        </w:rPr>
        <w:t>Scan-Umfang und Performance:</w:t>
      </w:r>
    </w:p>
    <w:p>
      <w:pPr>
        <w:pStyle w:val="ListBullet"/>
        <w:spacing w:after="60"/>
        <w:ind w:left="360"/>
      </w:pPr>
      <w:r>
        <w:rPr>
          <w:rFonts w:ascii="Calibri" w:hAnsi="Calibri"/>
          <w:sz w:val="22"/>
        </w:rPr>
        <w:t>Maximal 2.000 neueste E-Mails werden analysiert</w:t>
      </w:r>
    </w:p>
    <w:p>
      <w:pPr>
        <w:pStyle w:val="ListBullet"/>
        <w:spacing w:after="60"/>
        <w:ind w:left="360"/>
      </w:pPr>
      <w:r>
        <w:rPr>
          <w:rFonts w:ascii="Calibri" w:hAnsi="Calibri"/>
          <w:sz w:val="22"/>
        </w:rPr>
        <w:t>Verbindungs-Timeout: 15 Sekunden</w:t>
      </w:r>
    </w:p>
    <w:p>
      <w:pPr>
        <w:pStyle w:val="ListBullet"/>
        <w:spacing w:after="60"/>
        <w:ind w:left="360"/>
      </w:pPr>
      <w:r>
        <w:rPr>
          <w:rFonts w:ascii="Calibri" w:hAnsi="Calibri"/>
          <w:sz w:val="22"/>
        </w:rPr>
        <w:t>Typische Scan-Dauer: 5–30 Sekunden je nach Postfach-Größe</w:t>
      </w:r>
    </w:p>
    <w:p>
      <w:pPr>
        <w:pStyle w:val="ListBullet"/>
        <w:spacing w:after="60"/>
        <w:ind w:left="360"/>
      </w:pPr>
      <w:r>
        <w:rPr>
          <w:rFonts w:ascii="Calibri" w:hAnsi="Calibri"/>
          <w:sz w:val="22"/>
        </w:rPr>
        <w:t>SSL/TLS-verschlüsselte Verbindung (Port 993) immer aktiv</w:t>
      </w:r>
    </w:p>
    <w:p>
      <w:pPr>
        <w:spacing w:after="120"/>
      </w:pPr>
      <w:r>
        <w:rPr>
          <w:rFonts w:ascii="Calibri" w:hAnsi="Calibri"/>
          <w:b w:val="0"/>
          <w:i w:val="0"/>
          <w:sz w:val="22"/>
        </w:rPr>
      </w:r>
    </w:p>
    <w:tbl>
      <w:tblPr>
        <w:tblW w:type="auto" w:w="0"/>
        <w:jc w:val="left"/>
        <w:tblLook w:firstColumn="1" w:firstRow="1" w:lastColumn="0" w:lastRow="0" w:noHBand="0" w:noVBand="1" w:val="04A0"/>
      </w:tblPr>
      <w:tblGrid>
        <w:gridCol w:w="9122"/>
      </w:tblGrid>
      <w:tr>
        <w:tc>
          <w:tcPr>
            <w:tcW w:type="dxa" w:w="8640"/>
            <w:shd w:val="clear" w:color="auto" w:fill="EEF2FF"/>
            <w:tcBorders>
              <w:top w:val="single" w:sz="4" w:space="0" w:color="6366F1"/>
              <w:bottom w:val="single" w:sz="4" w:space="0" w:color="6366F1"/>
              <w:left w:val="single" w:sz="4" w:space="0" w:color="6366F1"/>
              <w:right w:val="single" w:sz="4" w:space="0" w:color="6366F1"/>
            </w:tcBorders>
          </w:tcPr>
          <w:p>
            <w:pPr>
              <w:spacing w:before="80" w:after="40"/>
            </w:pPr>
            <w:r>
              <w:rPr>
                <w:rFonts w:ascii="Calibri" w:hAnsi="Calibri"/>
                <w:b/>
                <w:color w:val="6366F1"/>
                <w:sz w:val="22"/>
              </w:rPr>
              <w:t>🔑  App-Passwörter</w:t>
            </w:r>
          </w:p>
          <w:p>
            <w:pPr>
              <w:spacing w:before="20" w:after="20"/>
            </w:pPr>
            <w:r>
              <w:rPr>
                <w:rFonts w:ascii="Calibri" w:hAnsi="Calibri"/>
                <w:color w:val="111827"/>
                <w:sz w:val="21"/>
              </w:rPr>
              <w:t>Bei Anbietern mit Zwei-Faktor-Authentifizierung (Gmail, Outlook, Yahoo, iCloud)</w:t>
            </w:r>
          </w:p>
          <w:p>
            <w:pPr>
              <w:spacing w:before="20" w:after="20"/>
            </w:pPr>
            <w:r>
              <w:rPr>
                <w:rFonts w:ascii="Calibri" w:hAnsi="Calibri"/>
                <w:color w:val="111827"/>
                <w:sz w:val="21"/>
              </w:rPr>
              <w:t>muss ein App-Passwort verwendet werden – nicht das Hauptpasswort.</w:t>
            </w:r>
          </w:p>
          <w:p>
            <w:pPr>
              <w:spacing w:before="20" w:after="20"/>
            </w:pPr>
            <w:r>
              <w:rPr>
                <w:rFonts w:ascii="Calibri" w:hAnsi="Calibri"/>
                <w:color w:val="111827"/>
                <w:sz w:val="21"/>
              </w:rPr>
              <w:t>App-Passwörter können jederzeit wieder deaktiviert werden.</w:t>
            </w:r>
          </w:p>
          <w:p>
            <w:pPr>
              <w:spacing w:before="20" w:after="20"/>
            </w:pPr>
            <w:r>
              <w:rPr>
                <w:rFonts w:ascii="Calibri" w:hAnsi="Calibri"/>
                <w:color w:val="111827"/>
                <w:sz w:val="21"/>
              </w:rPr>
              <w:t>GhostAccounts speichert das Passwort NICHT – es wird nur für die Scan-Dauer gehalten.</w:t>
            </w:r>
          </w:p>
        </w:tc>
      </w:tr>
    </w:tbl>
    <w:p>
      <w:pPr>
        <w:spacing w:after="80"/>
      </w:pPr>
    </w:p>
    <w:p>
      <w:pPr>
        <w:pStyle w:val="Heading2"/>
        <w:spacing w:before="320" w:after="120"/>
      </w:pPr>
      <w:r>
        <w:rPr>
          <w:color w:val="1E1B4B"/>
        </w:rPr>
        <w:t>5.3  Demo-Scan</w:t>
      </w:r>
    </w:p>
    <w:p>
      <w:pPr>
        <w:spacing w:after="120"/>
      </w:pPr>
      <w:r>
        <w:rPr>
          <w:rFonts w:ascii="Calibri" w:hAnsi="Calibri"/>
          <w:b w:val="0"/>
          <w:i w:val="0"/>
          <w:sz w:val="22"/>
        </w:rPr>
        <w:t>Der Demo-Scan simuliert einen echten Scan mit einem vordefinierten Datensatz von 30 bekannten Online-Diensten (Google, Facebook, Instagram, Amazon, etc.). Er dient zur Demonstration der Funktionen ohne eigene E-Mail-Verbindung.</w:t>
      </w:r>
    </w:p>
    <w:p>
      <w:pPr>
        <w:spacing w:after="120"/>
      </w:pPr>
      <w:r>
        <w:rPr>
          <w:rFonts w:ascii="Calibri" w:hAnsi="Calibri"/>
          <w:b w:val="0"/>
          <w:i w:val="0"/>
          <w:sz w:val="22"/>
        </w:rPr>
        <w:t>Demo-Ergebnisse werden mit 'detection_source: demo' markiert und können jederzeit durch einen echten Scan überschrieben werden. Der Demo-Scan ist für alle Nutzer kostenlos verfügbar.</w:t>
      </w:r>
    </w:p>
    <w:p>
      <w:pPr>
        <w:pStyle w:val="Heading2"/>
        <w:spacing w:before="320" w:after="120"/>
      </w:pPr>
      <w:r>
        <w:rPr>
          <w:color w:val="1E1B4B"/>
        </w:rPr>
        <w:t>5.4  Erkennungslogik &amp; Evidenztypen</w:t>
      </w:r>
    </w:p>
    <w:p>
      <w:pPr>
        <w:spacing w:after="120"/>
      </w:pPr>
      <w:r>
        <w:rPr>
          <w:rFonts w:ascii="Calibri" w:hAnsi="Calibri"/>
          <w:b w:val="0"/>
          <w:i w:val="0"/>
          <w:sz w:val="22"/>
        </w:rPr>
        <w:t>GhostAccounts verwendet ein Gewichtungssystem zur Erkennung von Accounts. Nur E-Mails mit starken Signalen werden als bewiesene Accounts gewertet. Marketing-E-Mails und Newsletter werden explizit ignoriert, um Falsch-Positive zu minimieren.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Evidenztyp</w:t>
            </w:r>
          </w:p>
        </w:tc>
        <w:tc>
          <w:tcPr>
            <w:tcW w:type="dxa" w:w="3041"/>
            <w:shd w:val="clear" w:color="auto" w:fill="6366F1"/>
          </w:tcPr>
          <w:p>
            <w:r>
              <w:rPr>
                <w:rFonts w:ascii="Calibri" w:hAnsi="Calibri"/>
                <w:b/>
                <w:color w:val="FFFFFF"/>
                <w:sz w:val="20"/>
              </w:rPr>
              <w:t>Gewichtung</w:t>
            </w:r>
          </w:p>
        </w:tc>
        <w:tc>
          <w:tcPr>
            <w:tcW w:type="dxa" w:w="3041"/>
            <w:shd w:val="clear" w:color="auto" w:fill="6366F1"/>
          </w:tcPr>
          <w:p>
            <w:r>
              <w:rPr>
                <w:rFonts w:ascii="Calibri" w:hAnsi="Calibri"/>
                <w:b/>
                <w:color w:val="FFFFFF"/>
                <w:sz w:val="20"/>
              </w:rPr>
              <w:t>Beispiele</w:t>
            </w:r>
          </w:p>
        </w:tc>
      </w:tr>
      <w:tr>
        <w:tc>
          <w:tcPr>
            <w:tcW w:type="dxa" w:w="3041"/>
            <w:shd w:val="clear" w:color="auto" w:fill="F5F3FF"/>
          </w:tcPr>
          <w:p>
            <w:r>
              <w:rPr>
                <w:rFonts w:ascii="Calibri" w:hAnsi="Calibri"/>
                <w:color w:val="111827"/>
                <w:sz w:val="20"/>
              </w:rPr>
              <w:t>registration</w:t>
            </w:r>
          </w:p>
        </w:tc>
        <w:tc>
          <w:tcPr>
            <w:tcW w:type="dxa" w:w="3041"/>
            <w:shd w:val="clear" w:color="auto" w:fill="F5F3FF"/>
          </w:tcPr>
          <w:p>
            <w:r>
              <w:rPr>
                <w:rFonts w:ascii="Calibri" w:hAnsi="Calibri"/>
                <w:color w:val="111827"/>
                <w:sz w:val="20"/>
              </w:rPr>
              <w:t>6 (Hoch)</w:t>
            </w:r>
          </w:p>
        </w:tc>
        <w:tc>
          <w:tcPr>
            <w:tcW w:type="dxa" w:w="3041"/>
            <w:shd w:val="clear" w:color="auto" w:fill="F5F3FF"/>
          </w:tcPr>
          <w:p>
            <w:r>
              <w:rPr>
                <w:rFonts w:ascii="Calibri" w:hAnsi="Calibri"/>
                <w:color w:val="111827"/>
                <w:sz w:val="20"/>
              </w:rPr>
              <w:t>E-Mail bestätigen, Konto erstellt, Registrierung erfolgreich</w:t>
            </w:r>
          </w:p>
        </w:tc>
      </w:tr>
      <w:tr>
        <w:tc>
          <w:tcPr>
            <w:tcW w:type="dxa" w:w="3041"/>
            <w:shd w:val="clear" w:color="auto" w:fill="FFFFFF"/>
          </w:tcPr>
          <w:p>
            <w:r>
              <w:rPr>
                <w:rFonts w:ascii="Calibri" w:hAnsi="Calibri"/>
                <w:color w:val="111827"/>
                <w:sz w:val="20"/>
              </w:rPr>
              <w:t>security_alert</w:t>
            </w:r>
          </w:p>
        </w:tc>
        <w:tc>
          <w:tcPr>
            <w:tcW w:type="dxa" w:w="3041"/>
            <w:shd w:val="clear" w:color="auto" w:fill="FFFFFF"/>
          </w:tcPr>
          <w:p>
            <w:r>
              <w:rPr>
                <w:rFonts w:ascii="Calibri" w:hAnsi="Calibri"/>
                <w:color w:val="111827"/>
                <w:sz w:val="20"/>
              </w:rPr>
              <w:t>6 (Hoch)</w:t>
            </w:r>
          </w:p>
        </w:tc>
        <w:tc>
          <w:tcPr>
            <w:tcW w:type="dxa" w:w="3041"/>
            <w:shd w:val="clear" w:color="auto" w:fill="FFFFFF"/>
          </w:tcPr>
          <w:p>
            <w:r>
              <w:rPr>
                <w:rFonts w:ascii="Calibri" w:hAnsi="Calibri"/>
                <w:color w:val="111827"/>
                <w:sz w:val="20"/>
              </w:rPr>
              <w:t>Passwort zurücksetzen, Login-Code, 2FA-Code, neue Anmeldung</w:t>
            </w:r>
          </w:p>
        </w:tc>
      </w:tr>
      <w:tr>
        <w:tc>
          <w:tcPr>
            <w:tcW w:type="dxa" w:w="3041"/>
            <w:shd w:val="clear" w:color="auto" w:fill="F5F3FF"/>
          </w:tcPr>
          <w:p>
            <w:r>
              <w:rPr>
                <w:rFonts w:ascii="Calibri" w:hAnsi="Calibri"/>
                <w:color w:val="111827"/>
                <w:sz w:val="20"/>
              </w:rPr>
              <w:t>invoice</w:t>
            </w:r>
          </w:p>
        </w:tc>
        <w:tc>
          <w:tcPr>
            <w:tcW w:type="dxa" w:w="3041"/>
            <w:shd w:val="clear" w:color="auto" w:fill="F5F3FF"/>
          </w:tcPr>
          <w:p>
            <w:r>
              <w:rPr>
                <w:rFonts w:ascii="Calibri" w:hAnsi="Calibri"/>
                <w:color w:val="111827"/>
                <w:sz w:val="20"/>
              </w:rPr>
              <w:t>5 (Hoch)</w:t>
            </w:r>
          </w:p>
        </w:tc>
        <w:tc>
          <w:tcPr>
            <w:tcW w:type="dxa" w:w="3041"/>
            <w:shd w:val="clear" w:color="auto" w:fill="F5F3FF"/>
          </w:tcPr>
          <w:p>
            <w:r>
              <w:rPr>
                <w:rFonts w:ascii="Calibri" w:hAnsi="Calibri"/>
                <w:color w:val="111827"/>
                <w:sz w:val="20"/>
              </w:rPr>
              <w:t>Rechnung, Bestellbestätigung, Zahlung erfolgreich</w:t>
            </w:r>
          </w:p>
        </w:tc>
      </w:tr>
      <w:tr>
        <w:tc>
          <w:tcPr>
            <w:tcW w:type="dxa" w:w="3041"/>
            <w:shd w:val="clear" w:color="auto" w:fill="FFFFFF"/>
          </w:tcPr>
          <w:p>
            <w:r>
              <w:rPr>
                <w:rFonts w:ascii="Calibri" w:hAnsi="Calibri"/>
                <w:color w:val="111827"/>
                <w:sz w:val="20"/>
              </w:rPr>
              <w:t>password_reset</w:t>
            </w:r>
          </w:p>
        </w:tc>
        <w:tc>
          <w:tcPr>
            <w:tcW w:type="dxa" w:w="3041"/>
            <w:shd w:val="clear" w:color="auto" w:fill="FFFFFF"/>
          </w:tcPr>
          <w:p>
            <w:r>
              <w:rPr>
                <w:rFonts w:ascii="Calibri" w:hAnsi="Calibri"/>
                <w:color w:val="111827"/>
                <w:sz w:val="20"/>
              </w:rPr>
              <w:t>5 (Hoch)</w:t>
            </w:r>
          </w:p>
        </w:tc>
        <w:tc>
          <w:tcPr>
            <w:tcW w:type="dxa" w:w="3041"/>
            <w:shd w:val="clear" w:color="auto" w:fill="FFFFFF"/>
          </w:tcPr>
          <w:p>
            <w:r>
              <w:rPr>
                <w:rFonts w:ascii="Calibri" w:hAnsi="Calibri"/>
                <w:color w:val="111827"/>
                <w:sz w:val="20"/>
              </w:rPr>
              <w:t>Passwort-Reset-Links</w:t>
            </w:r>
          </w:p>
        </w:tc>
      </w:tr>
      <w:tr>
        <w:tc>
          <w:tcPr>
            <w:tcW w:type="dxa" w:w="3041"/>
            <w:shd w:val="clear" w:color="auto" w:fill="F5F3FF"/>
          </w:tcPr>
          <w:p>
            <w:r>
              <w:rPr>
                <w:rFonts w:ascii="Calibri" w:hAnsi="Calibri"/>
                <w:color w:val="111827"/>
                <w:sz w:val="20"/>
              </w:rPr>
              <w:t>newsletter</w:t>
            </w:r>
          </w:p>
        </w:tc>
        <w:tc>
          <w:tcPr>
            <w:tcW w:type="dxa" w:w="3041"/>
            <w:shd w:val="clear" w:color="auto" w:fill="F5F3FF"/>
          </w:tcPr>
          <w:p>
            <w:r>
              <w:rPr>
                <w:rFonts w:ascii="Calibri" w:hAnsi="Calibri"/>
                <w:color w:val="111827"/>
                <w:sz w:val="20"/>
              </w:rPr>
              <w:t>0 (Ignoriert)</w:t>
            </w:r>
          </w:p>
        </w:tc>
        <w:tc>
          <w:tcPr>
            <w:tcW w:type="dxa" w:w="3041"/>
            <w:shd w:val="clear" w:color="auto" w:fill="F5F3FF"/>
          </w:tcPr>
          <w:p>
            <w:r>
              <w:rPr>
                <w:rFonts w:ascii="Calibri" w:hAnsi="Calibri"/>
                <w:color w:val="111827"/>
                <w:sz w:val="20"/>
              </w:rPr>
              <w:t>Werbemails, Marketing, Gutscheine – KEIN Beweis</w:t>
            </w:r>
          </w:p>
        </w:tc>
      </w:tr>
    </w:tbl>
    <w:p>
      <w:pPr>
        <w:spacing w:after="120"/>
      </w:pPr>
    </w:p>
    <w:p>
      <w:pPr>
        <w:spacing w:after="40"/>
      </w:pPr>
      <w:r>
        <w:rPr>
          <w:rFonts w:ascii="Calibri" w:hAnsi="Calibri"/>
          <w:b/>
          <w:i w:val="0"/>
          <w:sz w:val="22"/>
        </w:rPr>
        <w:t>Erkennungs-Konfidenz:</w:t>
      </w:r>
    </w:p>
    <w:p>
      <w:pPr>
        <w:pStyle w:val="ListBullet"/>
        <w:spacing w:after="60"/>
        <w:ind w:left="360"/>
      </w:pPr>
      <w:r>
        <w:rPr>
          <w:rFonts w:ascii="Calibri" w:hAnsi="Calibri"/>
          <w:sz w:val="22"/>
        </w:rPr>
        <w:t>high:  2+ starke Signale oder 1 Registrierungs-Signal</w:t>
      </w:r>
    </w:p>
    <w:p>
      <w:pPr>
        <w:pStyle w:val="ListBullet"/>
        <w:spacing w:after="60"/>
        <w:ind w:left="360"/>
      </w:pPr>
      <w:r>
        <w:rPr>
          <w:rFonts w:ascii="Calibri" w:hAnsi="Calibri"/>
          <w:sz w:val="22"/>
        </w:rPr>
        <w:t>medium:  1 starkes Signal (Rechnung, Sicherheitswarnung)</w:t>
      </w:r>
    </w:p>
    <w:p>
      <w:pPr>
        <w:pStyle w:val="ListBullet"/>
        <w:spacing w:after="60"/>
        <w:ind w:left="360"/>
      </w:pPr>
      <w:r>
        <w:rPr>
          <w:rFonts w:ascii="Calibri" w:hAnsi="Calibri"/>
          <w:sz w:val="22"/>
        </w:rPr>
        <w:t>low:  Nur Absender-Domain erkannt, kein starkes Signal im Betreff</w:t>
      </w:r>
    </w:p>
    <w:p>
      <w:r>
        <w:br w:type="page"/>
      </w:r>
    </w:p>
    <w:p>
      <w:pPr>
        <w:pStyle w:val="Heading1"/>
        <w:spacing w:before="320" w:after="120"/>
      </w:pPr>
      <w:r>
        <w:rPr>
          <w:color w:val="6366F1"/>
        </w:rPr>
        <w:t>6  Konten-Übersicht (Accounts)</w:t>
      </w:r>
    </w:p>
    <w:p>
      <w:pPr>
        <w:spacing w:after="120"/>
      </w:pPr>
      <w:r>
        <w:rPr>
          <w:rFonts w:ascii="Calibri" w:hAnsi="Calibri"/>
          <w:b w:val="0"/>
          <w:i w:val="0"/>
          <w:sz w:val="22"/>
        </w:rPr>
        <w:t>Die Konten-Übersicht ist die zentrale Verwaltungsseite für alle erkannten Online-Accounts. Sie bietet eine vollständige Liste mit Filter-, Such- und Verwaltungsfunktionen.</w:t>
      </w:r>
    </w:p>
    <w:p>
      <w:pPr>
        <w:pStyle w:val="Heading2"/>
        <w:spacing w:before="320" w:after="120"/>
      </w:pPr>
      <w:r>
        <w:rPr>
          <w:color w:val="1E1B4B"/>
        </w:rPr>
        <w:t>6.1  Statistik-Banner</w:t>
      </w:r>
    </w:p>
    <w:p>
      <w:pPr>
        <w:spacing w:after="120"/>
      </w:pPr>
      <w:r>
        <w:rPr>
          <w:rFonts w:ascii="Calibri" w:hAnsi="Calibri"/>
          <w:b w:val="0"/>
          <w:i w:val="0"/>
          <w:sz w:val="22"/>
        </w:rPr>
        <w:t>Oberhalb der Liste werden vier Kennzahlen angezeigt:</w:t>
      </w:r>
    </w:p>
    <w:p>
      <w:pPr>
        <w:pStyle w:val="ListBullet"/>
        <w:spacing w:after="60"/>
        <w:ind w:left="360"/>
      </w:pPr>
      <w:r>
        <w:rPr>
          <w:rFonts w:ascii="Calibri" w:hAnsi="Calibri"/>
          <w:sz w:val="22"/>
        </w:rPr>
        <w:t>Gesamt:  Alle verifizierten Accounts (nur mit starken Signalen)</w:t>
      </w:r>
    </w:p>
    <w:p>
      <w:pPr>
        <w:pStyle w:val="ListBullet"/>
        <w:spacing w:after="60"/>
        <w:ind w:left="360"/>
      </w:pPr>
      <w:r>
        <w:rPr>
          <w:rFonts w:ascii="Calibri" w:hAnsi="Calibri"/>
          <w:sz w:val="22"/>
        </w:rPr>
        <w:t>Kompromittiert:  Accounts mit Breach-Status 'breached' (rot)</w:t>
      </w:r>
    </w:p>
    <w:p>
      <w:pPr>
        <w:pStyle w:val="ListBullet"/>
        <w:spacing w:after="60"/>
        <w:ind w:left="360"/>
      </w:pPr>
      <w:r>
        <w:rPr>
          <w:rFonts w:ascii="Calibri" w:hAnsi="Calibri"/>
          <w:sz w:val="22"/>
        </w:rPr>
        <w:t>Inaktiv:  Aktive Accounts ohne E-Mail-Aktivität seit 3+ Jahren (amber)</w:t>
      </w:r>
    </w:p>
    <w:p>
      <w:pPr>
        <w:pStyle w:val="ListBullet"/>
        <w:spacing w:after="60"/>
        <w:ind w:left="360"/>
      </w:pPr>
      <w:r>
        <w:rPr>
          <w:rFonts w:ascii="Calibri" w:hAnsi="Calibri"/>
          <w:sz w:val="22"/>
        </w:rPr>
        <w:t>Sicher:  Aktive, nicht-kompromittierte Accounts (grün)</w:t>
      </w:r>
    </w:p>
    <w:p>
      <w:pPr>
        <w:pStyle w:val="Heading2"/>
        <w:spacing w:before="320" w:after="120"/>
      </w:pPr>
      <w:r>
        <w:rPr>
          <w:color w:val="1E1B4B"/>
        </w:rPr>
        <w:t>6.2  Filter &amp; Suche</w:t>
      </w:r>
    </w:p>
    <w:p>
      <w:pPr>
        <w:spacing w:after="120"/>
      </w:pPr>
      <w:r>
        <w:rPr>
          <w:rFonts w:ascii="Calibri" w:hAnsi="Calibri"/>
          <w:b w:val="0"/>
          <w:i w:val="0"/>
          <w:sz w:val="22"/>
        </w:rPr>
        <w:t>Status-Filter (Tabs):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6366F1"/>
          </w:tcPr>
          <w:p>
            <w:r>
              <w:rPr>
                <w:rFonts w:ascii="Calibri" w:hAnsi="Calibri"/>
                <w:b/>
                <w:color w:val="FFFFFF"/>
                <w:sz w:val="20"/>
              </w:rPr>
              <w:t>Filter</w:t>
            </w:r>
          </w:p>
        </w:tc>
        <w:tc>
          <w:tcPr>
            <w:tcW w:type="dxa" w:w="4561"/>
            <w:shd w:val="clear" w:color="auto" w:fill="6366F1"/>
          </w:tcPr>
          <w:p>
            <w:r>
              <w:rPr>
                <w:rFonts w:ascii="Calibri" w:hAnsi="Calibri"/>
                <w:b/>
                <w:color w:val="FFFFFF"/>
                <w:sz w:val="20"/>
              </w:rPr>
              <w:t>Zeigt</w:t>
            </w:r>
          </w:p>
        </w:tc>
      </w:tr>
      <w:tr>
        <w:tc>
          <w:tcPr>
            <w:tcW w:type="dxa" w:w="4561"/>
            <w:shd w:val="clear" w:color="auto" w:fill="F5F3FF"/>
          </w:tcPr>
          <w:p>
            <w:r>
              <w:rPr>
                <w:rFonts w:ascii="Calibri" w:hAnsi="Calibri"/>
                <w:color w:val="111827"/>
                <w:sz w:val="20"/>
              </w:rPr>
              <w:t>Alle</w:t>
            </w:r>
          </w:p>
        </w:tc>
        <w:tc>
          <w:tcPr>
            <w:tcW w:type="dxa" w:w="4561"/>
            <w:shd w:val="clear" w:color="auto" w:fill="F5F3FF"/>
          </w:tcPr>
          <w:p>
            <w:r>
              <w:rPr>
                <w:rFonts w:ascii="Calibri" w:hAnsi="Calibri"/>
                <w:color w:val="111827"/>
                <w:sz w:val="20"/>
              </w:rPr>
              <w:t>Alle verifizierten Accounts</w:t>
            </w:r>
          </w:p>
        </w:tc>
      </w:tr>
      <w:tr>
        <w:tc>
          <w:tcPr>
            <w:tcW w:type="dxa" w:w="4561"/>
            <w:shd w:val="clear" w:color="auto" w:fill="FFFFFF"/>
          </w:tcPr>
          <w:p>
            <w:r>
              <w:rPr>
                <w:rFonts w:ascii="Calibri" w:hAnsi="Calibri"/>
                <w:color w:val="111827"/>
                <w:sz w:val="20"/>
              </w:rPr>
              <w:t>Aktiv</w:t>
            </w:r>
          </w:p>
        </w:tc>
        <w:tc>
          <w:tcPr>
            <w:tcW w:type="dxa" w:w="4561"/>
            <w:shd w:val="clear" w:color="auto" w:fill="FFFFFF"/>
          </w:tcPr>
          <w:p>
            <w:r>
              <w:rPr>
                <w:rFonts w:ascii="Calibri" w:hAnsi="Calibri"/>
                <w:color w:val="111827"/>
                <w:sz w:val="20"/>
              </w:rPr>
              <w:t>Accounts mit deletion_status = active</w:t>
            </w:r>
          </w:p>
        </w:tc>
      </w:tr>
      <w:tr>
        <w:tc>
          <w:tcPr>
            <w:tcW w:type="dxa" w:w="4561"/>
            <w:shd w:val="clear" w:color="auto" w:fill="F5F3FF"/>
          </w:tcPr>
          <w:p>
            <w:r>
              <w:rPr>
                <w:rFonts w:ascii="Calibri" w:hAnsi="Calibri"/>
                <w:color w:val="111827"/>
                <w:sz w:val="20"/>
              </w:rPr>
              <w:t>Kompromittiert</w:t>
            </w:r>
          </w:p>
        </w:tc>
        <w:tc>
          <w:tcPr>
            <w:tcW w:type="dxa" w:w="4561"/>
            <w:shd w:val="clear" w:color="auto" w:fill="F5F3FF"/>
          </w:tcPr>
          <w:p>
            <w:r>
              <w:rPr>
                <w:rFonts w:ascii="Calibri" w:hAnsi="Calibri"/>
                <w:color w:val="111827"/>
                <w:sz w:val="20"/>
              </w:rPr>
              <w:t>Accounts mit breach_status = breached</w:t>
            </w:r>
          </w:p>
        </w:tc>
      </w:tr>
      <w:tr>
        <w:tc>
          <w:tcPr>
            <w:tcW w:type="dxa" w:w="4561"/>
            <w:shd w:val="clear" w:color="auto" w:fill="FFFFFF"/>
          </w:tcPr>
          <w:p>
            <w:r>
              <w:rPr>
                <w:rFonts w:ascii="Calibri" w:hAnsi="Calibri"/>
                <w:color w:val="111827"/>
                <w:sz w:val="20"/>
              </w:rPr>
              <w:t>Ignoriert</w:t>
            </w:r>
          </w:p>
        </w:tc>
        <w:tc>
          <w:tcPr>
            <w:tcW w:type="dxa" w:w="4561"/>
            <w:shd w:val="clear" w:color="auto" w:fill="FFFFFF"/>
          </w:tcPr>
          <w:p>
            <w:r>
              <w:rPr>
                <w:rFonts w:ascii="Calibri" w:hAnsi="Calibri"/>
                <w:color w:val="111827"/>
                <w:sz w:val="20"/>
              </w:rPr>
              <w:t>Manuell als ignoriert markierte Accounts</w:t>
            </w:r>
          </w:p>
        </w:tc>
      </w:tr>
      <w:tr>
        <w:tc>
          <w:tcPr>
            <w:tcW w:type="dxa" w:w="4561"/>
            <w:shd w:val="clear" w:color="auto" w:fill="F5F3FF"/>
          </w:tcPr>
          <w:p>
            <w:r>
              <w:rPr>
                <w:rFonts w:ascii="Calibri" w:hAnsi="Calibri"/>
                <w:color w:val="111827"/>
                <w:sz w:val="20"/>
              </w:rPr>
              <w:t>Gelöscht</w:t>
            </w:r>
          </w:p>
        </w:tc>
        <w:tc>
          <w:tcPr>
            <w:tcW w:type="dxa" w:w="4561"/>
            <w:shd w:val="clear" w:color="auto" w:fill="F5F3FF"/>
          </w:tcPr>
          <w:p>
            <w:r>
              <w:rPr>
                <w:rFonts w:ascii="Calibri" w:hAnsi="Calibri"/>
                <w:color w:val="111827"/>
                <w:sz w:val="20"/>
              </w:rPr>
              <w:t>Als gelöscht markierte Accounts</w:t>
            </w:r>
          </w:p>
        </w:tc>
      </w:tr>
    </w:tbl>
    <w:p>
      <w:pPr>
        <w:spacing w:after="120"/>
      </w:pPr>
    </w:p>
    <w:p>
      <w:pPr>
        <w:spacing w:after="120"/>
      </w:pPr>
      <w:r>
        <w:rPr>
          <w:rFonts w:ascii="Calibri" w:hAnsi="Calibri"/>
          <w:b w:val="0"/>
          <w:i w:val="0"/>
          <w:sz w:val="22"/>
        </w:rPr>
        <w:t>Kategorie-Filter (Chips):</w:t>
      </w:r>
    </w:p>
    <w:p>
      <w:pPr>
        <w:pStyle w:val="ListBullet"/>
        <w:spacing w:after="60"/>
        <w:ind w:left="360"/>
      </w:pPr>
      <w:r>
        <w:rPr>
          <w:rFonts w:ascii="Calibri" w:hAnsi="Calibri"/>
          <w:sz w:val="22"/>
        </w:rPr>
        <w:t>Automatische Erkennung der Kategorie anhand der Service-Domain</w:t>
      </w:r>
    </w:p>
    <w:p>
      <w:pPr>
        <w:pStyle w:val="ListBullet"/>
        <w:spacing w:after="60"/>
        <w:ind w:left="360"/>
      </w:pPr>
      <w:r>
        <w:rPr>
          <w:rFonts w:ascii="Calibri" w:hAnsi="Calibri"/>
          <w:sz w:val="22"/>
        </w:rPr>
        <w:t>Kategorien: Social, Shopping, Finance, Work, Streaming, Gaming, Travel, Tools, AI, Other</w:t>
      </w:r>
    </w:p>
    <w:p>
      <w:pPr>
        <w:pStyle w:val="ListBullet"/>
        <w:spacing w:after="60"/>
        <w:ind w:left="360"/>
      </w:pPr>
      <w:r>
        <w:rPr>
          <w:rFonts w:ascii="Calibri" w:hAnsi="Calibri"/>
          <w:sz w:val="22"/>
        </w:rPr>
        <w:t>Chips werden nur für Kategorien angezeigt, die in der Nutzerliste vorhanden sind</w:t>
      </w:r>
    </w:p>
    <w:p>
      <w:pPr>
        <w:spacing w:after="120"/>
      </w:pPr>
      <w:r>
        <w:rPr>
          <w:rFonts w:ascii="Calibri" w:hAnsi="Calibri"/>
          <w:b w:val="0"/>
          <w:i w:val="0"/>
          <w:sz w:val="22"/>
        </w:rPr>
        <w:t>Suchfunktion:</w:t>
      </w:r>
    </w:p>
    <w:p>
      <w:pPr>
        <w:pStyle w:val="ListBullet"/>
        <w:spacing w:after="60"/>
        <w:ind w:left="360"/>
      </w:pPr>
      <w:r>
        <w:rPr>
          <w:rFonts w:ascii="Calibri" w:hAnsi="Calibri"/>
          <w:sz w:val="22"/>
        </w:rPr>
        <w:t>Live-Suche nach Service-Name und Domain</w:t>
      </w:r>
    </w:p>
    <w:p>
      <w:pPr>
        <w:pStyle w:val="ListBullet"/>
        <w:spacing w:after="60"/>
        <w:ind w:left="360"/>
      </w:pPr>
      <w:r>
        <w:rPr>
          <w:rFonts w:ascii="Calibri" w:hAnsi="Calibri"/>
          <w:sz w:val="22"/>
        </w:rPr>
        <w:t>Kombinierbar mit Status- und Kategorie-Filtern</w:t>
      </w:r>
    </w:p>
    <w:p>
      <w:pPr>
        <w:pStyle w:val="Heading2"/>
        <w:spacing w:before="320" w:after="120"/>
      </w:pPr>
      <w:r>
        <w:rPr>
          <w:color w:val="1E1B4B"/>
        </w:rPr>
        <w:t>6.3  Account-Karten</w:t>
      </w:r>
    </w:p>
    <w:p>
      <w:pPr>
        <w:spacing w:after="120"/>
      </w:pPr>
      <w:r>
        <w:rPr>
          <w:rFonts w:ascii="Calibri" w:hAnsi="Calibri"/>
          <w:b w:val="0"/>
          <w:i w:val="0"/>
          <w:sz w:val="22"/>
        </w:rPr>
        <w:t>Jeder Account wird als Karte dargestellt mit folgenden Elementen:</w:t>
      </w:r>
    </w:p>
    <w:p>
      <w:pPr>
        <w:pStyle w:val="ListBullet"/>
        <w:spacing w:after="60"/>
        <w:ind w:left="360"/>
      </w:pPr>
      <w:r>
        <w:rPr>
          <w:rFonts w:ascii="Calibri" w:hAnsi="Calibri"/>
          <w:sz w:val="22"/>
        </w:rPr>
        <w:t>Service-Name &amp; Domain mit Favicon</w:t>
      </w:r>
    </w:p>
    <w:p>
      <w:pPr>
        <w:pStyle w:val="ListBullet"/>
        <w:spacing w:after="60"/>
        <w:ind w:left="360"/>
      </w:pPr>
      <w:r>
        <w:rPr>
          <w:rFonts w:ascii="Calibri" w:hAnsi="Calibri"/>
          <w:sz w:val="22"/>
        </w:rPr>
        <w:t>Kategorie-Badge und Erkennungs-Konfidenz (high / medium / low)</w:t>
      </w:r>
    </w:p>
    <w:p>
      <w:pPr>
        <w:pStyle w:val="ListBullet"/>
        <w:spacing w:after="60"/>
        <w:ind w:left="360"/>
      </w:pPr>
      <w:r>
        <w:rPr>
          <w:rFonts w:ascii="Calibri" w:hAnsi="Calibri"/>
          <w:sz w:val="22"/>
        </w:rPr>
        <w:t>Breach-Status (Safe / Breached / Unknown)</w:t>
      </w:r>
    </w:p>
    <w:p>
      <w:pPr>
        <w:pStyle w:val="ListBullet"/>
        <w:spacing w:after="60"/>
        <w:ind w:left="360"/>
      </w:pPr>
      <w:r>
        <w:rPr>
          <w:rFonts w:ascii="Calibri" w:hAnsi="Calibri"/>
          <w:sz w:val="22"/>
        </w:rPr>
        <w:t>Letztes E-Mail-Datum und Erkennungsquelle (IMAP / Gmail / Demo)</w:t>
      </w:r>
    </w:p>
    <w:p>
      <w:pPr>
        <w:pStyle w:val="ListBullet"/>
        <w:spacing w:after="60"/>
        <w:ind w:left="360"/>
      </w:pPr>
      <w:r>
        <w:rPr>
          <w:rFonts w:ascii="Calibri" w:hAnsi="Calibri"/>
          <w:sz w:val="22"/>
        </w:rPr>
        <w:t>Löschschwierigkeit (Einfach / Mittel / Schwer) wenn bekannt</w:t>
      </w:r>
    </w:p>
    <w:p>
      <w:pPr>
        <w:pStyle w:val="Heading2"/>
        <w:spacing w:before="320" w:after="120"/>
      </w:pPr>
      <w:r>
        <w:rPr>
          <w:color w:val="1E1B4B"/>
        </w:rPr>
        <w:t>6.4  Konto-Aktionen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6366F1"/>
          </w:tcPr>
          <w:p>
            <w:r>
              <w:rPr>
                <w:rFonts w:ascii="Calibri" w:hAnsi="Calibri"/>
                <w:b/>
                <w:color w:val="FFFFFF"/>
                <w:sz w:val="20"/>
              </w:rPr>
              <w:t>Aktion</w:t>
            </w:r>
          </w:p>
        </w:tc>
        <w:tc>
          <w:tcPr>
            <w:tcW w:type="dxa" w:w="4561"/>
            <w:shd w:val="clear" w:color="auto" w:fill="6366F1"/>
          </w:tcPr>
          <w:p>
            <w:r>
              <w:rPr>
                <w:rFonts w:ascii="Calibri" w:hAnsi="Calibri"/>
                <w:b/>
                <w:color w:val="FFFFFF"/>
                <w:sz w:val="20"/>
              </w:rPr>
              <w:t>Funktion</w:t>
            </w:r>
          </w:p>
        </w:tc>
      </w:tr>
      <w:tr>
        <w:tc>
          <w:tcPr>
            <w:tcW w:type="dxa" w:w="4561"/>
            <w:shd w:val="clear" w:color="auto" w:fill="F5F3FF"/>
          </w:tcPr>
          <w:p>
            <w:r>
              <w:rPr>
                <w:rFonts w:ascii="Calibri" w:hAnsi="Calibri"/>
                <w:color w:val="111827"/>
                <w:sz w:val="20"/>
              </w:rPr>
              <w:t>Account löschen (Link)</w:t>
            </w:r>
          </w:p>
        </w:tc>
        <w:tc>
          <w:tcPr>
            <w:tcW w:type="dxa" w:w="4561"/>
            <w:shd w:val="clear" w:color="auto" w:fill="F5F3FF"/>
          </w:tcPr>
          <w:p>
            <w:r>
              <w:rPr>
                <w:rFonts w:ascii="Calibri" w:hAnsi="Calibri"/>
                <w:color w:val="111827"/>
                <w:sz w:val="20"/>
              </w:rPr>
              <w:t>Öffnet die offizielle Lösch-URL des Dienstes in neuem Tab</w:t>
            </w:r>
          </w:p>
        </w:tc>
      </w:tr>
      <w:tr>
        <w:tc>
          <w:tcPr>
            <w:tcW w:type="dxa" w:w="4561"/>
            <w:shd w:val="clear" w:color="auto" w:fill="FFFFFF"/>
          </w:tcPr>
          <w:p>
            <w:r>
              <w:rPr>
                <w:rFonts w:ascii="Calibri" w:hAnsi="Calibri"/>
                <w:color w:val="111827"/>
                <w:sz w:val="20"/>
              </w:rPr>
              <w:t>Als gelöscht markieren</w:t>
            </w:r>
          </w:p>
        </w:tc>
        <w:tc>
          <w:tcPr>
            <w:tcW w:type="dxa" w:w="4561"/>
            <w:shd w:val="clear" w:color="auto" w:fill="FFFFFF"/>
          </w:tcPr>
          <w:p>
            <w:r>
              <w:rPr>
                <w:rFonts w:ascii="Calibri" w:hAnsi="Calibri"/>
                <w:color w:val="111827"/>
                <w:sz w:val="20"/>
              </w:rPr>
              <w:t>Setzt deletion_status = deleted (behält Daten lokal)</w:t>
            </w:r>
          </w:p>
        </w:tc>
      </w:tr>
      <w:tr>
        <w:tc>
          <w:tcPr>
            <w:tcW w:type="dxa" w:w="4561"/>
            <w:shd w:val="clear" w:color="auto" w:fill="F5F3FF"/>
          </w:tcPr>
          <w:p>
            <w:r>
              <w:rPr>
                <w:rFonts w:ascii="Calibri" w:hAnsi="Calibri"/>
                <w:color w:val="111827"/>
                <w:sz w:val="20"/>
              </w:rPr>
              <w:t>Ignorieren</w:t>
            </w:r>
          </w:p>
        </w:tc>
        <w:tc>
          <w:tcPr>
            <w:tcW w:type="dxa" w:w="4561"/>
            <w:shd w:val="clear" w:color="auto" w:fill="F5F3FF"/>
          </w:tcPr>
          <w:p>
            <w:r>
              <w:rPr>
                <w:rFonts w:ascii="Calibri" w:hAnsi="Calibri"/>
                <w:color w:val="111827"/>
                <w:sz w:val="20"/>
              </w:rPr>
              <w:t>Setzt deletion_status = ignored (ausblendet aus Aktiv-Ansicht)</w:t>
            </w:r>
          </w:p>
        </w:tc>
      </w:tr>
      <w:tr>
        <w:tc>
          <w:tcPr>
            <w:tcW w:type="dxa" w:w="4561"/>
            <w:shd w:val="clear" w:color="auto" w:fill="FFFFFF"/>
          </w:tcPr>
          <w:p>
            <w:r>
              <w:rPr>
                <w:rFonts w:ascii="Calibri" w:hAnsi="Calibri"/>
                <w:color w:val="111827"/>
                <w:sz w:val="20"/>
              </w:rPr>
              <w:t>Reaktivieren</w:t>
            </w:r>
          </w:p>
        </w:tc>
        <w:tc>
          <w:tcPr>
            <w:tcW w:type="dxa" w:w="4561"/>
            <w:shd w:val="clear" w:color="auto" w:fill="FFFFFF"/>
          </w:tcPr>
          <w:p>
            <w:r>
              <w:rPr>
                <w:rFonts w:ascii="Calibri" w:hAnsi="Calibri"/>
                <w:color w:val="111827"/>
                <w:sz w:val="20"/>
              </w:rPr>
              <w:t>Setzt deletion_status = active</w:t>
            </w:r>
          </w:p>
        </w:tc>
      </w:tr>
    </w:tbl>
    <w:p>
      <w:pPr>
        <w:spacing w:after="120"/>
      </w:pPr>
    </w:p>
    <w:p>
      <w:pPr>
        <w:pStyle w:val="Heading2"/>
        <w:spacing w:before="320" w:after="120"/>
      </w:pPr>
      <w:r>
        <w:rPr>
          <w:color w:val="1E1B4B"/>
        </w:rPr>
        <w:t>6.5  Evidenz-Ansicht</w:t>
      </w:r>
    </w:p>
    <w:p>
      <w:pPr>
        <w:spacing w:after="120"/>
      </w:pPr>
      <w:r>
        <w:rPr>
          <w:rFonts w:ascii="Calibri" w:hAnsi="Calibri"/>
          <w:b w:val="0"/>
          <w:i w:val="0"/>
          <w:sz w:val="22"/>
        </w:rPr>
        <w:t>Jeder Account kann per Klick auf 'Evidenz anzeigen' erweitert werden. Die Evidenz-Ansicht zeigt transparent, auf Basis welcher E-Mail-Signale der Account erkannt wurde:</w:t>
      </w:r>
    </w:p>
    <w:p>
      <w:pPr>
        <w:pStyle w:val="ListBullet"/>
        <w:spacing w:after="60"/>
        <w:ind w:left="360"/>
      </w:pPr>
      <w:r>
        <w:rPr>
          <w:rFonts w:ascii="Calibri" w:hAnsi="Calibri"/>
          <w:sz w:val="22"/>
        </w:rPr>
        <w:t>Erkennungsquelle (IMAP / Gmail / Demo / Gemischt)</w:t>
      </w:r>
    </w:p>
    <w:p>
      <w:pPr>
        <w:pStyle w:val="ListBullet"/>
        <w:spacing w:after="60"/>
        <w:ind w:left="360"/>
      </w:pPr>
      <w:r>
        <w:rPr>
          <w:rFonts w:ascii="Calibri" w:hAnsi="Calibri"/>
          <w:sz w:val="22"/>
        </w:rPr>
        <w:t>Anzahl der gefundenen E-Mails (evidence_count)</w:t>
      </w:r>
    </w:p>
    <w:p>
      <w:pPr>
        <w:pStyle w:val="ListBullet"/>
        <w:spacing w:after="60"/>
        <w:ind w:left="360"/>
      </w:pPr>
      <w:r>
        <w:rPr>
          <w:rFonts w:ascii="Calibri" w:hAnsi="Calibri"/>
          <w:sz w:val="22"/>
        </w:rPr>
        <w:t>Evidenztypen (Registrierung / Rechnung / Sicherheitswarnung / Passwort-Reset)</w:t>
      </w:r>
    </w:p>
    <w:p>
      <w:pPr>
        <w:pStyle w:val="ListBullet"/>
        <w:spacing w:after="60"/>
        <w:ind w:left="360"/>
      </w:pPr>
      <w:r>
        <w:rPr>
          <w:rFonts w:ascii="Calibri" w:hAnsi="Calibri"/>
          <w:sz w:val="22"/>
        </w:rPr>
        <w:t>Absender-Domains der gefundenen E-Mails</w:t>
      </w:r>
    </w:p>
    <w:p>
      <w:pPr>
        <w:pStyle w:val="Heading2"/>
        <w:spacing w:before="320" w:after="120"/>
      </w:pPr>
      <w:r>
        <w:rPr>
          <w:color w:val="1E1B4B"/>
        </w:rPr>
        <w:t>6.6  Löschanleitungen</w:t>
      </w:r>
    </w:p>
    <w:p>
      <w:pPr>
        <w:spacing w:after="120"/>
      </w:pPr>
      <w:r>
        <w:rPr>
          <w:rFonts w:ascii="Calibri" w:hAnsi="Calibri"/>
          <w:b w:val="0"/>
          <w:i w:val="0"/>
          <w:sz w:val="22"/>
        </w:rPr>
        <w:t>Für viele bekannte Dienste sind direkte Löschlinks hinterlegt. Für Dienste ohne direkten Link erscheint eine manuelle Löschanleitung. Die Anleitung beschreibt Schritt für Schritt, wie das Konto gelöscht werden kann, inkl. Hinweis auf die Schwierigkeit (easy / medium / hard).</w:t>
      </w:r>
    </w:p>
    <w:tbl>
      <w:tblPr>
        <w:tblW w:type="auto" w:w="0"/>
        <w:jc w:val="left"/>
        <w:tblLook w:firstColumn="1" w:firstRow="1" w:lastColumn="0" w:lastRow="0" w:noHBand="0" w:noVBand="1" w:val="04A0"/>
      </w:tblPr>
      <w:tblGrid>
        <w:gridCol w:w="9122"/>
      </w:tblGrid>
      <w:tr>
        <w:tc>
          <w:tcPr>
            <w:tcW w:type="dxa" w:w="8640"/>
            <w:shd w:val="clear" w:color="auto" w:fill="EEF2FF"/>
            <w:tcBorders>
              <w:top w:val="single" w:sz="4" w:space="0" w:color="6366F1"/>
              <w:bottom w:val="single" w:sz="4" w:space="0" w:color="6366F1"/>
              <w:left w:val="single" w:sz="4" w:space="0" w:color="6366F1"/>
              <w:right w:val="single" w:sz="4" w:space="0" w:color="6366F1"/>
            </w:tcBorders>
          </w:tcPr>
          <w:p>
            <w:pPr>
              <w:spacing w:before="80" w:after="40"/>
            </w:pPr>
            <w:r>
              <w:rPr>
                <w:rFonts w:ascii="Calibri" w:hAnsi="Calibri"/>
                <w:b/>
                <w:color w:val="6366F1"/>
                <w:sz w:val="22"/>
              </w:rPr>
              <w:t>💡  Free vs. Pro</w:t>
            </w:r>
          </w:p>
          <w:p>
            <w:pPr>
              <w:spacing w:before="20" w:after="20"/>
            </w:pPr>
            <w:r>
              <w:rPr>
                <w:rFonts w:ascii="Calibri" w:hAnsi="Calibri"/>
                <w:color w:val="111827"/>
                <w:sz w:val="21"/>
              </w:rPr>
              <w:t>Free-Nutzer: Sehen maximal 20 Accounts in der Liste.</w:t>
            </w:r>
          </w:p>
          <w:p>
            <w:pPr>
              <w:spacing w:before="20" w:after="20"/>
            </w:pPr>
            <w:r>
              <w:rPr>
                <w:rFonts w:ascii="Calibri" w:hAnsi="Calibri"/>
                <w:color w:val="111827"/>
                <w:sz w:val="21"/>
              </w:rPr>
              <w:t>Pro-Nutzer: Unlimitierte Accounts + alle Filter-Funktionen.</w:t>
            </w:r>
          </w:p>
          <w:p>
            <w:pPr>
              <w:spacing w:before="20" w:after="20"/>
            </w:pPr>
            <w:r>
              <w:rPr>
                <w:rFonts w:ascii="Calibri" w:hAnsi="Calibri"/>
                <w:color w:val="111827"/>
                <w:sz w:val="21"/>
              </w:rPr>
              <w:t>Das Limit gilt nur für die Anzeige – erkannt werden alle Accounts.</w:t>
            </w:r>
          </w:p>
        </w:tc>
      </w:tr>
    </w:tbl>
    <w:p>
      <w:pPr>
        <w:spacing w:after="80"/>
      </w:pPr>
    </w:p>
    <w:p>
      <w:r>
        <w:br w:type="page"/>
      </w:r>
    </w:p>
    <w:p>
      <w:pPr>
        <w:pStyle w:val="Heading1"/>
        <w:spacing w:before="320" w:after="120"/>
      </w:pPr>
      <w:r>
        <w:rPr>
          <w:color w:val="6366F1"/>
        </w:rPr>
        <w:t>7  Risiko-Score</w:t>
      </w:r>
    </w:p>
    <w:p>
      <w:pPr>
        <w:spacing w:after="120"/>
      </w:pPr>
      <w:r>
        <w:rPr>
          <w:rFonts w:ascii="Calibri" w:hAnsi="Calibri"/>
          <w:b w:val="0"/>
          <w:i w:val="0"/>
          <w:sz w:val="22"/>
        </w:rPr>
        <w:t>Der Risiko-Score ist ein numerischer Wert von 0 bis 100, der den aktuellen Sicherheitsstatus des digitalen Fußabdrucks bewertet. Er wird bei jedem Seitenaufruf in Echtzeit aus den aktuellen Scan-Daten berechnet.</w:t>
      </w:r>
    </w:p>
    <w:p>
      <w:pPr>
        <w:pStyle w:val="Heading2"/>
        <w:spacing w:before="320" w:after="120"/>
      </w:pPr>
      <w:r>
        <w:rPr>
          <w:color w:val="1E1B4B"/>
        </w:rPr>
        <w:t>7.1  Score-Kategorien</w:t>
      </w:r>
    </w:p>
    <w:tbl>
      <w:tblPr>
        <w:tblW w:type="auto" w:w="0"/>
        <w:jc w:val="left"/>
        <w:tblLook w:firstColumn="1" w:firstRow="1" w:lastColumn="0" w:lastRow="0" w:noHBand="0" w:noVBand="1" w:val="04A0"/>
      </w:tblPr>
      <w:tblGrid>
        <w:gridCol w:w="3041"/>
        <w:gridCol w:w="3041"/>
        <w:gridCol w:w="3041"/>
      </w:tblGrid>
      <w:tr>
        <w:tc>
          <w:tcPr>
            <w:tcW w:type="dxa" w:w="1008"/>
            <w:shd w:val="clear" w:color="auto" w:fill="22C55E"/>
          </w:tcPr>
          <w:p>
            <w:pPr>
              <w:jc w:val="center"/>
            </w:pPr>
            <w:r>
              <w:rPr>
                <w:rFonts w:ascii="Calibri" w:hAnsi="Calibri"/>
                <w:b/>
                <w:color w:val="FFFFFF"/>
                <w:sz w:val="32"/>
              </w:rPr>
              <w:t>0–34</w:t>
            </w:r>
          </w:p>
        </w:tc>
        <w:tc>
          <w:tcPr>
            <w:tcW w:type="dxa" w:w="2160"/>
            <w:shd w:val="clear" w:color="auto" w:fill="22C55E"/>
          </w:tcPr>
          <w:p>
            <w:r>
              <w:rPr>
                <w:rFonts w:ascii="Calibri" w:hAnsi="Calibri"/>
                <w:b/>
                <w:color w:val="FFFFFF"/>
                <w:sz w:val="20"/>
              </w:rPr>
              <w:t>Niedriges Risiko</w:t>
            </w:r>
          </w:p>
        </w:tc>
        <w:tc>
          <w:tcPr>
            <w:tcW w:type="dxa" w:w="5472"/>
            <w:shd w:val="clear" w:color="auto" w:fill="F5F3FF"/>
          </w:tcPr>
          <w:p>
            <w:r>
              <w:rPr>
                <w:rFonts w:ascii="Calibri" w:hAnsi="Calibri"/>
                <w:color w:val="111827"/>
                <w:sz w:val="20"/>
              </w:rPr>
              <w:t>Niedriges Risiko – Account-Landschaft gut unter Kontrolle</w:t>
            </w:r>
          </w:p>
        </w:tc>
      </w:tr>
    </w:tbl>
    <w:p>
      <w:pPr>
        <w:spacing w:after="80"/>
      </w:pPr>
    </w:p>
    <w:tbl>
      <w:tblPr>
        <w:tblW w:type="auto" w:w="0"/>
        <w:jc w:val="left"/>
        <w:tblLook w:firstColumn="1" w:firstRow="1" w:lastColumn="0" w:lastRow="0" w:noHBand="0" w:noVBand="1" w:val="04A0"/>
      </w:tblPr>
      <w:tblGrid>
        <w:gridCol w:w="3041"/>
        <w:gridCol w:w="3041"/>
        <w:gridCol w:w="3041"/>
      </w:tblGrid>
      <w:tr>
        <w:tc>
          <w:tcPr>
            <w:tcW w:type="dxa" w:w="1008"/>
            <w:shd w:val="clear" w:color="auto" w:fill="F59E0B"/>
          </w:tcPr>
          <w:p>
            <w:pPr>
              <w:jc w:val="center"/>
            </w:pPr>
            <w:r>
              <w:rPr>
                <w:rFonts w:ascii="Calibri" w:hAnsi="Calibri"/>
                <w:b/>
                <w:color w:val="FFFFFF"/>
                <w:sz w:val="32"/>
              </w:rPr>
              <w:t>35–64</w:t>
            </w:r>
          </w:p>
        </w:tc>
        <w:tc>
          <w:tcPr>
            <w:tcW w:type="dxa" w:w="2160"/>
            <w:shd w:val="clear" w:color="auto" w:fill="F59E0B"/>
          </w:tcPr>
          <w:p>
            <w:r>
              <w:rPr>
                <w:rFonts w:ascii="Calibri" w:hAnsi="Calibri"/>
                <w:b/>
                <w:color w:val="FFFFFF"/>
                <w:sz w:val="20"/>
              </w:rPr>
              <w:t>Mittleres Risiko</w:t>
            </w:r>
          </w:p>
        </w:tc>
        <w:tc>
          <w:tcPr>
            <w:tcW w:type="dxa" w:w="5472"/>
            <w:shd w:val="clear" w:color="auto" w:fill="F5F3FF"/>
          </w:tcPr>
          <w:p>
            <w:r>
              <w:rPr>
                <w:rFonts w:ascii="Calibri" w:hAnsi="Calibri"/>
                <w:color w:val="111827"/>
                <w:sz w:val="20"/>
              </w:rPr>
              <w:t>Mittleres Risiko – Handlungsbedarf vorhanden</w:t>
            </w:r>
          </w:p>
        </w:tc>
      </w:tr>
    </w:tbl>
    <w:p>
      <w:pPr>
        <w:spacing w:after="80"/>
      </w:pPr>
    </w:p>
    <w:tbl>
      <w:tblPr>
        <w:tblW w:type="auto" w:w="0"/>
        <w:jc w:val="left"/>
        <w:tblLook w:firstColumn="1" w:firstRow="1" w:lastColumn="0" w:lastRow="0" w:noHBand="0" w:noVBand="1" w:val="04A0"/>
      </w:tblPr>
      <w:tblGrid>
        <w:gridCol w:w="3041"/>
        <w:gridCol w:w="3041"/>
        <w:gridCol w:w="3041"/>
      </w:tblGrid>
      <w:tr>
        <w:tc>
          <w:tcPr>
            <w:tcW w:type="dxa" w:w="1008"/>
            <w:shd w:val="clear" w:color="auto" w:fill="EF4444"/>
          </w:tcPr>
          <w:p>
            <w:pPr>
              <w:jc w:val="center"/>
            </w:pPr>
            <w:r>
              <w:rPr>
                <w:rFonts w:ascii="Calibri" w:hAnsi="Calibri"/>
                <w:b/>
                <w:color w:val="FFFFFF"/>
                <w:sz w:val="32"/>
              </w:rPr>
              <w:t>65–100</w:t>
            </w:r>
          </w:p>
        </w:tc>
        <w:tc>
          <w:tcPr>
            <w:tcW w:type="dxa" w:w="2160"/>
            <w:shd w:val="clear" w:color="auto" w:fill="EF4444"/>
          </w:tcPr>
          <w:p>
            <w:r>
              <w:rPr>
                <w:rFonts w:ascii="Calibri" w:hAnsi="Calibri"/>
                <w:b/>
                <w:color w:val="FFFFFF"/>
                <w:sz w:val="20"/>
              </w:rPr>
              <w:t>Hohes Risiko</w:t>
            </w:r>
          </w:p>
        </w:tc>
        <w:tc>
          <w:tcPr>
            <w:tcW w:type="dxa" w:w="5472"/>
            <w:shd w:val="clear" w:color="auto" w:fill="F5F3FF"/>
          </w:tcPr>
          <w:p>
            <w:r>
              <w:rPr>
                <w:rFonts w:ascii="Calibri" w:hAnsi="Calibri"/>
                <w:color w:val="111827"/>
                <w:sz w:val="20"/>
              </w:rPr>
              <w:t>Hohes Risiko – sofortige Maßnahmen empfohlen</w:t>
            </w:r>
          </w:p>
        </w:tc>
      </w:tr>
    </w:tbl>
    <w:p>
      <w:pPr>
        <w:spacing w:after="80"/>
      </w:pPr>
    </w:p>
    <w:p>
      <w:pPr>
        <w:pStyle w:val="Heading2"/>
        <w:spacing w:before="320" w:after="120"/>
      </w:pPr>
      <w:r>
        <w:rPr>
          <w:color w:val="1E1B4B"/>
        </w:rPr>
        <w:t>7.2  Score-Berechnung</w:t>
      </w:r>
    </w:p>
    <w:p>
      <w:pPr>
        <w:spacing w:after="120"/>
      </w:pPr>
      <w:r>
        <w:rPr>
          <w:rFonts w:ascii="Calibri" w:hAnsi="Calibri"/>
          <w:b w:val="0"/>
          <w:i w:val="0"/>
          <w:sz w:val="22"/>
        </w:rPr>
        <w:t>Der Score setzt sich aus drei gewichteten Komponenten zusammen: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Komponente</w:t>
            </w:r>
          </w:p>
        </w:tc>
        <w:tc>
          <w:tcPr>
            <w:tcW w:type="dxa" w:w="3041"/>
            <w:shd w:val="clear" w:color="auto" w:fill="6366F1"/>
          </w:tcPr>
          <w:p>
            <w:r>
              <w:rPr>
                <w:rFonts w:ascii="Calibri" w:hAnsi="Calibri"/>
                <w:b/>
                <w:color w:val="FFFFFF"/>
                <w:sz w:val="20"/>
              </w:rPr>
              <w:t>Max. Punkte</w:t>
            </w:r>
          </w:p>
        </w:tc>
        <w:tc>
          <w:tcPr>
            <w:tcW w:type="dxa" w:w="3041"/>
            <w:shd w:val="clear" w:color="auto" w:fill="6366F1"/>
          </w:tcPr>
          <w:p>
            <w:r>
              <w:rPr>
                <w:rFonts w:ascii="Calibri" w:hAnsi="Calibri"/>
                <w:b/>
                <w:color w:val="FFFFFF"/>
                <w:sz w:val="20"/>
              </w:rPr>
              <w:t>Berechnung</w:t>
            </w:r>
          </w:p>
        </w:tc>
      </w:tr>
      <w:tr>
        <w:tc>
          <w:tcPr>
            <w:tcW w:type="dxa" w:w="3041"/>
            <w:shd w:val="clear" w:color="auto" w:fill="F5F3FF"/>
          </w:tcPr>
          <w:p>
            <w:r>
              <w:rPr>
                <w:rFonts w:ascii="Calibri" w:hAnsi="Calibri"/>
                <w:color w:val="111827"/>
                <w:sz w:val="20"/>
              </w:rPr>
              <w:t>Breach-Exposition</w:t>
            </w:r>
          </w:p>
        </w:tc>
        <w:tc>
          <w:tcPr>
            <w:tcW w:type="dxa" w:w="3041"/>
            <w:shd w:val="clear" w:color="auto" w:fill="F5F3FF"/>
          </w:tcPr>
          <w:p>
            <w:r>
              <w:rPr>
                <w:rFonts w:ascii="Calibri" w:hAnsi="Calibri"/>
                <w:color w:val="111827"/>
                <w:sz w:val="20"/>
              </w:rPr>
              <w:t>35 Punkte</w:t>
            </w:r>
          </w:p>
        </w:tc>
        <w:tc>
          <w:tcPr>
            <w:tcW w:type="dxa" w:w="3041"/>
            <w:shd w:val="clear" w:color="auto" w:fill="F5F3FF"/>
          </w:tcPr>
          <w:p>
            <w:r>
              <w:rPr>
                <w:rFonts w:ascii="Calibri" w:hAnsi="Calibri"/>
                <w:color w:val="111827"/>
                <w:sz w:val="20"/>
              </w:rPr>
              <w:t>Anteil kompromittierter Accounts × 35. Jeder Breach-Account erhöht den Score.</w:t>
            </w:r>
          </w:p>
        </w:tc>
      </w:tr>
      <w:tr>
        <w:tc>
          <w:tcPr>
            <w:tcW w:type="dxa" w:w="3041"/>
            <w:shd w:val="clear" w:color="auto" w:fill="FFFFFF"/>
          </w:tcPr>
          <w:p>
            <w:r>
              <w:rPr>
                <w:rFonts w:ascii="Calibri" w:hAnsi="Calibri"/>
                <w:color w:val="111827"/>
                <w:sz w:val="20"/>
              </w:rPr>
              <w:t>Inaktive Accounts</w:t>
            </w:r>
          </w:p>
        </w:tc>
        <w:tc>
          <w:tcPr>
            <w:tcW w:type="dxa" w:w="3041"/>
            <w:shd w:val="clear" w:color="auto" w:fill="FFFFFF"/>
          </w:tcPr>
          <w:p>
            <w:r>
              <w:rPr>
                <w:rFonts w:ascii="Calibri" w:hAnsi="Calibri"/>
                <w:color w:val="111827"/>
                <w:sz w:val="20"/>
              </w:rPr>
              <w:t>40 Punkte</w:t>
            </w:r>
          </w:p>
        </w:tc>
        <w:tc>
          <w:tcPr>
            <w:tcW w:type="dxa" w:w="3041"/>
            <w:shd w:val="clear" w:color="auto" w:fill="FFFFFF"/>
          </w:tcPr>
          <w:p>
            <w:r>
              <w:rPr>
                <w:rFonts w:ascii="Calibri" w:hAnsi="Calibri"/>
                <w:color w:val="111827"/>
                <w:sz w:val="20"/>
              </w:rPr>
              <w:t>Anteil inaktiver Accounts (keine Mail &gt;3 Jahre) × 40. Viele Karteileichen = hohes Risiko.</w:t>
            </w:r>
          </w:p>
        </w:tc>
      </w:tr>
      <w:tr>
        <w:tc>
          <w:tcPr>
            <w:tcW w:type="dxa" w:w="3041"/>
            <w:shd w:val="clear" w:color="auto" w:fill="F5F3FF"/>
          </w:tcPr>
          <w:p>
            <w:r>
              <w:rPr>
                <w:rFonts w:ascii="Calibri" w:hAnsi="Calibri"/>
                <w:color w:val="111827"/>
                <w:sz w:val="20"/>
              </w:rPr>
              <w:t>Account-Fußabdruck</w:t>
            </w:r>
          </w:p>
        </w:tc>
        <w:tc>
          <w:tcPr>
            <w:tcW w:type="dxa" w:w="3041"/>
            <w:shd w:val="clear" w:color="auto" w:fill="F5F3FF"/>
          </w:tcPr>
          <w:p>
            <w:r>
              <w:rPr>
                <w:rFonts w:ascii="Calibri" w:hAnsi="Calibri"/>
                <w:color w:val="111827"/>
                <w:sz w:val="20"/>
              </w:rPr>
              <w:t>25 Punkte</w:t>
            </w:r>
          </w:p>
        </w:tc>
        <w:tc>
          <w:tcPr>
            <w:tcW w:type="dxa" w:w="3041"/>
            <w:shd w:val="clear" w:color="auto" w:fill="F5F3FF"/>
          </w:tcPr>
          <w:p>
            <w:r>
              <w:rPr>
                <w:rFonts w:ascii="Calibri" w:hAnsi="Calibri"/>
                <w:color w:val="111827"/>
                <w:sz w:val="20"/>
              </w:rPr>
              <w:t>Logarithmische Skala der Gesamtanzahl aktiver Accounts (ab 20 Accounts voller Beitrag).</w:t>
            </w:r>
          </w:p>
        </w:tc>
      </w:tr>
    </w:tbl>
    <w:p>
      <w:pPr>
        <w:spacing w:after="120"/>
      </w:pPr>
    </w:p>
    <w:p>
      <w:pPr>
        <w:spacing w:after="40"/>
      </w:pPr>
      <w:r>
        <w:rPr>
          <w:rFonts w:ascii="Calibri" w:hAnsi="Calibri"/>
          <w:b/>
          <w:i w:val="0"/>
          <w:sz w:val="22"/>
        </w:rPr>
        <w:t>Formel:</w:t>
      </w:r>
    </w:p>
    <w:p>
      <w:pPr>
        <w:spacing w:after="160"/>
        <w:ind w:left="432"/>
      </w:pPr>
      <w:r>
        <w:rPr>
          <w:rFonts w:ascii="Courier New" w:hAnsi="Courier New"/>
          <w:color w:val="6366F1"/>
          <w:sz w:val="20"/>
        </w:rPr>
        <w:t>Score = (breachedAccounts / totalAccounts × 35) + (inactiveAccounts / totalAccounts × 40) + (min(log₁₀(totalActive + 1) / log₁₀(21), 1.0) × 25)</w:t>
      </w:r>
    </w:p>
    <w:p>
      <w:pPr>
        <w:pStyle w:val="Heading2"/>
        <w:spacing w:before="320" w:after="120"/>
      </w:pPr>
      <w:r>
        <w:rPr>
          <w:color w:val="1E1B4B"/>
        </w:rPr>
        <w:t>7.3  Score-Insights</w:t>
      </w:r>
    </w:p>
    <w:p>
      <w:pPr>
        <w:spacing w:after="120"/>
      </w:pPr>
      <w:r>
        <w:rPr>
          <w:rFonts w:ascii="Calibri" w:hAnsi="Calibri"/>
          <w:b w:val="0"/>
          <w:i w:val="0"/>
          <w:sz w:val="22"/>
        </w:rPr>
        <w:t>Unterhalb des Scores werden 'Main Risk Drivers' angezeigt – die drei Hauptkomponenten mit ihrem aktuellen Beitrag zum Gesamtscore. Jede Komponente zeigt ihren Anteil in Punkten und gibt kontextuelle Handlungsempfehlungen.</w:t>
      </w:r>
    </w:p>
    <w:p>
      <w:r>
        <w:br w:type="page"/>
      </w:r>
    </w:p>
    <w:p>
      <w:pPr>
        <w:pStyle w:val="Heading1"/>
        <w:spacing w:before="320" w:after="120"/>
      </w:pPr>
      <w:r>
        <w:rPr>
          <w:color w:val="6366F1"/>
        </w:rPr>
        <w:t>8  Risiko-Prognose (Forecast)</w:t>
      </w:r>
    </w:p>
    <w:p>
      <w:pPr>
        <w:spacing w:after="120"/>
      </w:pPr>
      <w:r>
        <w:rPr>
          <w:rFonts w:ascii="Calibri" w:hAnsi="Calibri"/>
          <w:b w:val="0"/>
          <w:i w:val="0"/>
          <w:sz w:val="22"/>
        </w:rPr>
        <w:t>Die Risiko-Prognose berechnet, wie sich der Risiko-Score in den nächsten 6 Monaten entwickeln wird, wenn der Nutzer nichts unternimmt. Die Prognose basiert auf dem aktuellen Account-Zustand und bekannten Breach-Trends.</w:t>
      </w:r>
    </w:p>
    <w:p>
      <w:pPr>
        <w:pStyle w:val="Heading2"/>
        <w:spacing w:before="320" w:after="120"/>
      </w:pPr>
      <w:r>
        <w:rPr>
          <w:color w:val="1E1B4B"/>
        </w:rPr>
        <w:t>8.1  Prognose-Darstellung</w:t>
      </w:r>
    </w:p>
    <w:p>
      <w:pPr>
        <w:spacing w:after="120"/>
      </w:pPr>
      <w:r>
        <w:rPr>
          <w:rFonts w:ascii="Calibri" w:hAnsi="Calibri"/>
          <w:b w:val="0"/>
          <w:i w:val="0"/>
          <w:sz w:val="22"/>
        </w:rPr>
        <w:t>Die Seite zeigt:</w:t>
      </w:r>
    </w:p>
    <w:p>
      <w:pPr>
        <w:pStyle w:val="ListBullet"/>
        <w:spacing w:after="60"/>
        <w:ind w:left="360"/>
      </w:pPr>
      <w:r>
        <w:rPr>
          <w:rFonts w:ascii="Calibri" w:hAnsi="Calibri"/>
          <w:sz w:val="22"/>
        </w:rPr>
        <w:t>Sparkline-Grafik:  SVG-basierter Linien-Graph für die Monate 0–6</w:t>
      </w:r>
    </w:p>
    <w:p>
      <w:pPr>
        <w:pStyle w:val="ListBullet"/>
        <w:spacing w:after="60"/>
        <w:ind w:left="360"/>
      </w:pPr>
      <w:r>
        <w:rPr>
          <w:rFonts w:ascii="Calibri" w:hAnsi="Calibri"/>
          <w:sz w:val="22"/>
        </w:rPr>
        <w:t>Trend-Badge:  'Stabil', '+X Punkte' oder '−X Punkte'</w:t>
      </w:r>
    </w:p>
    <w:p>
      <w:pPr>
        <w:pStyle w:val="ListBullet"/>
        <w:spacing w:after="60"/>
        <w:ind w:left="360"/>
      </w:pPr>
      <w:r>
        <w:rPr>
          <w:rFonts w:ascii="Calibri" w:hAnsi="Calibri"/>
          <w:sz w:val="22"/>
        </w:rPr>
        <w:t>Headline-Text:  Kurzbewertung der Prognose ('Ihr Risiko ist stabil...')</w:t>
      </w:r>
    </w:p>
    <w:p>
      <w:pPr>
        <w:pStyle w:val="ListBullet"/>
        <w:spacing w:after="60"/>
        <w:ind w:left="360"/>
      </w:pPr>
      <w:r>
        <w:rPr>
          <w:rFonts w:ascii="Calibri" w:hAnsi="Calibri"/>
          <w:sz w:val="22"/>
        </w:rPr>
        <w:t>Empfohlene Aktionen:  3 priorisierte Maßnahmen zur Risikoreduktion</w:t>
      </w:r>
    </w:p>
    <w:p>
      <w:pPr>
        <w:pStyle w:val="Heading2"/>
        <w:spacing w:before="320" w:after="120"/>
      </w:pPr>
      <w:r>
        <w:rPr>
          <w:color w:val="1E1B4B"/>
        </w:rPr>
        <w:t>8.2  Prognose-Algorithmus</w:t>
      </w:r>
    </w:p>
    <w:p>
      <w:pPr>
        <w:spacing w:after="120"/>
      </w:pPr>
      <w:r>
        <w:rPr>
          <w:rFonts w:ascii="Calibri" w:hAnsi="Calibri"/>
          <w:b w:val="0"/>
          <w:i w:val="0"/>
          <w:sz w:val="22"/>
        </w:rPr>
        <w:t>Die Prognose simuliert für jeden Monat den zukünftigen Score unter der Annahme, dass keine Maßnahmen ergriffen werden:</w:t>
      </w:r>
    </w:p>
    <w:p>
      <w:pPr>
        <w:pStyle w:val="ListBullet"/>
        <w:spacing w:after="60"/>
        <w:ind w:left="360"/>
      </w:pPr>
      <w:r>
        <w:rPr>
          <w:rFonts w:ascii="Calibri" w:hAnsi="Calibri"/>
          <w:sz w:val="22"/>
        </w:rPr>
        <w:t>Accounts, die kurz vor dem 3-Jahres-Inaktivitäts-Schwellwert stehen, erhöhen den Score</w:t>
      </w:r>
    </w:p>
    <w:p>
      <w:pPr>
        <w:pStyle w:val="ListBullet"/>
        <w:spacing w:after="60"/>
        <w:ind w:left="360"/>
      </w:pPr>
      <w:r>
        <w:rPr>
          <w:rFonts w:ascii="Calibri" w:hAnsi="Calibri"/>
          <w:sz w:val="22"/>
        </w:rPr>
        <w:t>Bekannte Breach-Trends (historische Leak-Frequenz) fließen ein</w:t>
      </w:r>
    </w:p>
    <w:p>
      <w:pPr>
        <w:pStyle w:val="ListBullet"/>
        <w:spacing w:after="60"/>
        <w:ind w:left="360"/>
      </w:pPr>
      <w:r>
        <w:rPr>
          <w:rFonts w:ascii="Calibri" w:hAnsi="Calibri"/>
          <w:sz w:val="22"/>
        </w:rPr>
        <w:t>Die Kurvenform wird farbig kodiert: Grün (sicher) → Amber (mittel) → Rot (hoch)</w:t>
      </w:r>
    </w:p>
    <w:p>
      <w:r>
        <w:br w:type="page"/>
      </w:r>
    </w:p>
    <w:p>
      <w:pPr>
        <w:pStyle w:val="Heading1"/>
        <w:spacing w:before="320" w:after="120"/>
      </w:pPr>
      <w:r>
        <w:rPr>
          <w:color w:val="6366F1"/>
        </w:rPr>
        <w:t>9  Digital Twin – Netzwerk-Visualisierung</w:t>
      </w:r>
    </w:p>
    <w:p>
      <w:pPr>
        <w:spacing w:after="120"/>
      </w:pPr>
      <w:r>
        <w:rPr>
          <w:rFonts w:ascii="Calibri" w:hAnsi="Calibri"/>
          <w:b w:val="0"/>
          <w:i w:val="0"/>
          <w:sz w:val="22"/>
        </w:rPr>
        <w:t>Der Digital Twin ist eine interaktive Netzwerk-Visualisierung aller erkannten Online-Accounts. Er stellt den gesamten digitalen Fußabdruck als Graphen dar und macht Zusammenhänge und Risiken intuitiv sichtbar.</w:t>
      </w:r>
    </w:p>
    <w:p>
      <w:pPr>
        <w:pStyle w:val="Heading2"/>
        <w:spacing w:before="320" w:after="120"/>
      </w:pPr>
      <w:r>
        <w:rPr>
          <w:color w:val="1E1B4B"/>
        </w:rPr>
        <w:t>9.1  Technische Umsetzung</w:t>
      </w:r>
    </w:p>
    <w:p>
      <w:pPr>
        <w:spacing w:after="120"/>
      </w:pPr>
      <w:r>
        <w:rPr>
          <w:rFonts w:ascii="Calibri" w:hAnsi="Calibri"/>
          <w:b w:val="0"/>
          <w:i w:val="0"/>
          <w:sz w:val="22"/>
        </w:rPr>
        <w:t>Die Visualisierung verwendet D3.js mit einem Force-Directed Graph Layout. Physik-basierte Simulation sorgt für eine organische, übersichtliche Anordnung der Knoten.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6366F1"/>
          </w:tcPr>
          <w:p>
            <w:r>
              <w:rPr>
                <w:rFonts w:ascii="Calibri" w:hAnsi="Calibri"/>
                <w:b/>
                <w:color w:val="FFFFFF"/>
                <w:sz w:val="20"/>
              </w:rPr>
              <w:t>Element</w:t>
            </w:r>
          </w:p>
        </w:tc>
        <w:tc>
          <w:tcPr>
            <w:tcW w:type="dxa" w:w="4561"/>
            <w:shd w:val="clear" w:color="auto" w:fill="6366F1"/>
          </w:tcPr>
          <w:p>
            <w:r>
              <w:rPr>
                <w:rFonts w:ascii="Calibri" w:hAnsi="Calibri"/>
                <w:b/>
                <w:color w:val="FFFFFF"/>
                <w:sz w:val="20"/>
              </w:rPr>
              <w:t>Beschreibung</w:t>
            </w:r>
          </w:p>
        </w:tc>
      </w:tr>
      <w:tr>
        <w:tc>
          <w:tcPr>
            <w:tcW w:type="dxa" w:w="4561"/>
            <w:shd w:val="clear" w:color="auto" w:fill="F5F3FF"/>
          </w:tcPr>
          <w:p>
            <w:r>
              <w:rPr>
                <w:rFonts w:ascii="Calibri" w:hAnsi="Calibri"/>
                <w:color w:val="111827"/>
                <w:sz w:val="20"/>
              </w:rPr>
              <w:t>Zentraler Knoten</w:t>
            </w:r>
          </w:p>
        </w:tc>
        <w:tc>
          <w:tcPr>
            <w:tcW w:type="dxa" w:w="4561"/>
            <w:shd w:val="clear" w:color="auto" w:fill="F5F3FF"/>
          </w:tcPr>
          <w:p>
            <w:r>
              <w:rPr>
                <w:rFonts w:ascii="Calibri" w:hAnsi="Calibri"/>
                <w:color w:val="111827"/>
                <w:sz w:val="20"/>
              </w:rPr>
              <w:t>E-Mail-Adresse des Nutzers – blau, groß, fixiert in der Mitte</w:t>
            </w:r>
          </w:p>
        </w:tc>
      </w:tr>
      <w:tr>
        <w:tc>
          <w:tcPr>
            <w:tcW w:type="dxa" w:w="4561"/>
            <w:shd w:val="clear" w:color="auto" w:fill="FFFFFF"/>
          </w:tcPr>
          <w:p>
            <w:r>
              <w:rPr>
                <w:rFonts w:ascii="Calibri" w:hAnsi="Calibri"/>
                <w:color w:val="111827"/>
                <w:sz w:val="20"/>
              </w:rPr>
              <w:t>Service-Knoten</w:t>
            </w:r>
          </w:p>
        </w:tc>
        <w:tc>
          <w:tcPr>
            <w:tcW w:type="dxa" w:w="4561"/>
            <w:shd w:val="clear" w:color="auto" w:fill="FFFFFF"/>
          </w:tcPr>
          <w:p>
            <w:r>
              <w:rPr>
                <w:rFonts w:ascii="Calibri" w:hAnsi="Calibri"/>
                <w:color w:val="111827"/>
                <w:sz w:val="20"/>
              </w:rPr>
              <w:t>Jeder erkannte Account als Kreis, Größe = Anzahl der Evidence-E-Mails</w:t>
            </w:r>
          </w:p>
        </w:tc>
      </w:tr>
      <w:tr>
        <w:tc>
          <w:tcPr>
            <w:tcW w:type="dxa" w:w="4561"/>
            <w:shd w:val="clear" w:color="auto" w:fill="F5F3FF"/>
          </w:tcPr>
          <w:p>
            <w:r>
              <w:rPr>
                <w:rFonts w:ascii="Calibri" w:hAnsi="Calibri"/>
                <w:color w:val="111827"/>
                <w:sz w:val="20"/>
              </w:rPr>
              <w:t>Verbindungslinien</w:t>
            </w:r>
          </w:p>
        </w:tc>
        <w:tc>
          <w:tcPr>
            <w:tcW w:type="dxa" w:w="4561"/>
            <w:shd w:val="clear" w:color="auto" w:fill="F5F3FF"/>
          </w:tcPr>
          <w:p>
            <w:r>
              <w:rPr>
                <w:rFonts w:ascii="Calibri" w:hAnsi="Calibri"/>
                <w:color w:val="111827"/>
                <w:sz w:val="20"/>
              </w:rPr>
              <w:t>Linien zeigen Verknüpfung; Farbe = Risikostufe des Accounts</w:t>
            </w:r>
          </w:p>
        </w:tc>
      </w:tr>
      <w:tr>
        <w:tc>
          <w:tcPr>
            <w:tcW w:type="dxa" w:w="4561"/>
            <w:shd w:val="clear" w:color="auto" w:fill="FFFFFF"/>
          </w:tcPr>
          <w:p>
            <w:r>
              <w:rPr>
                <w:rFonts w:ascii="Calibri" w:hAnsi="Calibri"/>
                <w:color w:val="111827"/>
                <w:sz w:val="20"/>
              </w:rPr>
              <w:t>Farb-Kodierung</w:t>
            </w:r>
          </w:p>
        </w:tc>
        <w:tc>
          <w:tcPr>
            <w:tcW w:type="dxa" w:w="4561"/>
            <w:shd w:val="clear" w:color="auto" w:fill="FFFFFF"/>
          </w:tcPr>
          <w:p>
            <w:r>
              <w:rPr>
                <w:rFonts w:ascii="Calibri" w:hAnsi="Calibri"/>
                <w:color w:val="111827"/>
                <w:sz w:val="20"/>
              </w:rPr>
              <w:t>Rot = Breached, Amber = Inaktiv, Grün = Aktiv &amp; Sicher</w:t>
            </w:r>
          </w:p>
        </w:tc>
      </w:tr>
      <w:tr>
        <w:tc>
          <w:tcPr>
            <w:tcW w:type="dxa" w:w="4561"/>
            <w:shd w:val="clear" w:color="auto" w:fill="F5F3FF"/>
          </w:tcPr>
          <w:p>
            <w:r>
              <w:rPr>
                <w:rFonts w:ascii="Calibri" w:hAnsi="Calibri"/>
                <w:color w:val="111827"/>
                <w:sz w:val="20"/>
              </w:rPr>
              <w:t>Kategorie-Farben</w:t>
            </w:r>
          </w:p>
        </w:tc>
        <w:tc>
          <w:tcPr>
            <w:tcW w:type="dxa" w:w="4561"/>
            <w:shd w:val="clear" w:color="auto" w:fill="F5F3FF"/>
          </w:tcPr>
          <w:p>
            <w:r>
              <w:rPr>
                <w:rFonts w:ascii="Calibri" w:hAnsi="Calibri"/>
                <w:color w:val="111827"/>
                <w:sz w:val="20"/>
              </w:rPr>
              <w:t>Social=Pink, Shopping=Orange, Finance=Grün, Streaming=Lila, AI=Violett</w:t>
            </w:r>
          </w:p>
        </w:tc>
      </w:tr>
      <w:tr>
        <w:tc>
          <w:tcPr>
            <w:tcW w:type="dxa" w:w="4561"/>
            <w:shd w:val="clear" w:color="auto" w:fill="FFFFFF"/>
          </w:tcPr>
          <w:p>
            <w:r>
              <w:rPr>
                <w:rFonts w:ascii="Calibri" w:hAnsi="Calibri"/>
                <w:color w:val="111827"/>
                <w:sz w:val="20"/>
              </w:rPr>
              <w:t>Glow-Effekt</w:t>
            </w:r>
          </w:p>
        </w:tc>
        <w:tc>
          <w:tcPr>
            <w:tcW w:type="dxa" w:w="4561"/>
            <w:shd w:val="clear" w:color="auto" w:fill="FFFFFF"/>
          </w:tcPr>
          <w:p>
            <w:r>
              <w:rPr>
                <w:rFonts w:ascii="Calibri" w:hAnsi="Calibri"/>
                <w:color w:val="111827"/>
                <w:sz w:val="20"/>
              </w:rPr>
              <w:t>Kompromittierte Accounts leuchten rot – sofort erkennbar</w:t>
            </w:r>
          </w:p>
        </w:tc>
      </w:tr>
    </w:tbl>
    <w:p>
      <w:pPr>
        <w:spacing w:after="120"/>
      </w:pPr>
    </w:p>
    <w:p>
      <w:pPr>
        <w:pStyle w:val="Heading2"/>
        <w:spacing w:before="320" w:after="120"/>
      </w:pPr>
      <w:r>
        <w:rPr>
          <w:color w:val="1E1B4B"/>
        </w:rPr>
        <w:t>9.2  Interaktionsmöglichkeiten</w:t>
      </w:r>
    </w:p>
    <w:p>
      <w:pPr>
        <w:pStyle w:val="ListBullet"/>
        <w:spacing w:after="60"/>
        <w:ind w:left="360"/>
      </w:pPr>
      <w:r>
        <w:rPr>
          <w:rFonts w:ascii="Calibri" w:hAnsi="Calibri"/>
          <w:sz w:val="22"/>
        </w:rPr>
        <w:t>Zoom:  Mausrad oder Pinch-Geste zum Vergrößern/Verkleinern (0.3× bis 3×)</w:t>
      </w:r>
    </w:p>
    <w:p>
      <w:pPr>
        <w:pStyle w:val="ListBullet"/>
        <w:spacing w:after="60"/>
        <w:ind w:left="360"/>
      </w:pPr>
      <w:r>
        <w:rPr>
          <w:rFonts w:ascii="Calibri" w:hAnsi="Calibri"/>
          <w:sz w:val="22"/>
        </w:rPr>
        <w:t>Drag:  Einzelne Knoten per Drag &amp; Drop verschieben</w:t>
      </w:r>
    </w:p>
    <w:p>
      <w:pPr>
        <w:pStyle w:val="ListBullet"/>
        <w:spacing w:after="60"/>
        <w:ind w:left="360"/>
      </w:pPr>
      <w:r>
        <w:rPr>
          <w:rFonts w:ascii="Calibri" w:hAnsi="Calibri"/>
          <w:sz w:val="22"/>
        </w:rPr>
        <w:t>Pan:  Gesamten Graph verschieben</w:t>
      </w:r>
    </w:p>
    <w:p>
      <w:pPr>
        <w:pStyle w:val="ListBullet"/>
        <w:spacing w:after="60"/>
        <w:ind w:left="360"/>
      </w:pPr>
      <w:r>
        <w:rPr>
          <w:rFonts w:ascii="Calibri" w:hAnsi="Calibri"/>
          <w:sz w:val="22"/>
        </w:rPr>
        <w:t>Hover/Tooltip:  Mouseover zeigt Service-Name, Domain und Risk-Level</w:t>
      </w:r>
    </w:p>
    <w:p>
      <w:pPr>
        <w:pStyle w:val="ListBullet"/>
        <w:spacing w:after="60"/>
        <w:ind w:left="360"/>
      </w:pPr>
      <w:r>
        <w:rPr>
          <w:rFonts w:ascii="Calibri" w:hAnsi="Calibri"/>
          <w:sz w:val="22"/>
        </w:rPr>
        <w:t>Klick:  Öffnet die Account-Detail-Seite des jeweiligen Dienstes</w:t>
      </w:r>
    </w:p>
    <w:p>
      <w:pPr>
        <w:pStyle w:val="ListBullet"/>
        <w:spacing w:after="60"/>
        <w:ind w:left="360"/>
      </w:pPr>
      <w:r>
        <w:rPr>
          <w:rFonts w:ascii="Calibri" w:hAnsi="Calibri"/>
          <w:sz w:val="22"/>
        </w:rPr>
        <w:t>Kategorie-Filter:  Chips oben filtern den Graph nach Kategorie</w:t>
      </w:r>
    </w:p>
    <w:p>
      <w:pPr>
        <w:pStyle w:val="ListBullet"/>
        <w:spacing w:after="60"/>
        <w:ind w:left="360"/>
      </w:pPr>
      <w:r>
        <w:rPr>
          <w:rFonts w:ascii="Calibri" w:hAnsi="Calibri"/>
          <w:sz w:val="22"/>
        </w:rPr>
        <w:t>Legende:  Farb-Legende zum Verständnis der Risiko-Kodierung</w:t>
      </w:r>
    </w:p>
    <w:p>
      <w:pPr>
        <w:pStyle w:val="Heading2"/>
        <w:spacing w:before="320" w:after="120"/>
      </w:pPr>
      <w:r>
        <w:rPr>
          <w:color w:val="1E1B4B"/>
        </w:rPr>
        <w:t>9.3  Legende &amp; Risiko-Indikation</w:t>
      </w:r>
    </w:p>
    <w:p>
      <w:pPr>
        <w:spacing w:after="120"/>
      </w:pPr>
      <w:r>
        <w:rPr>
          <w:rFonts w:ascii="Calibri" w:hAnsi="Calibri"/>
          <w:b w:val="0"/>
          <w:i w:val="0"/>
          <w:sz w:val="22"/>
        </w:rPr>
        <w:t>Die Legende zeigt die Farbzuordnung für Risikoniveaus:</w:t>
      </w:r>
    </w:p>
    <w:p>
      <w:pPr>
        <w:pStyle w:val="ListBullet"/>
        <w:spacing w:after="60"/>
        <w:ind w:left="360"/>
      </w:pPr>
      <w:r>
        <w:rPr>
          <w:rFonts w:ascii="Calibri" w:hAnsi="Calibri"/>
          <w:sz w:val="22"/>
        </w:rPr>
        <w:t>🟢  Grün:  Aktiver, nicht-kompromittierter Account</w:t>
      </w:r>
    </w:p>
    <w:p>
      <w:pPr>
        <w:pStyle w:val="ListBullet"/>
        <w:spacing w:after="60"/>
        <w:ind w:left="360"/>
      </w:pPr>
      <w:r>
        <w:rPr>
          <w:rFonts w:ascii="Calibri" w:hAnsi="Calibri"/>
          <w:sz w:val="22"/>
        </w:rPr>
        <w:t>🟡  Amber:  Inaktiver Account (keine Aktivität seit 3+ Jahren)</w:t>
      </w:r>
    </w:p>
    <w:p>
      <w:pPr>
        <w:pStyle w:val="ListBullet"/>
        <w:spacing w:after="60"/>
        <w:ind w:left="360"/>
      </w:pPr>
      <w:r>
        <w:rPr>
          <w:rFonts w:ascii="Calibri" w:hAnsi="Calibri"/>
          <w:sz w:val="22"/>
        </w:rPr>
        <w:t>🔴  Rot:  Kompromittierter Account (Datenleck bekannt)</w:t>
      </w:r>
    </w:p>
    <w:p>
      <w:r>
        <w:br w:type="page"/>
      </w:r>
    </w:p>
    <w:p>
      <w:pPr>
        <w:pStyle w:val="Heading1"/>
        <w:spacing w:before="320" w:after="120"/>
      </w:pPr>
      <w:r>
        <w:rPr>
          <w:color w:val="6366F1"/>
        </w:rPr>
        <w:t>10  Digital Will – Digitales Testament</w:t>
      </w:r>
    </w:p>
    <w:p>
      <w:pPr>
        <w:spacing w:after="120"/>
      </w:pPr>
      <w:r>
        <w:rPr>
          <w:rFonts w:ascii="Calibri" w:hAnsi="Calibri"/>
          <w:b w:val="0"/>
          <w:i w:val="0"/>
          <w:sz w:val="22"/>
        </w:rPr>
        <w:t>Das Digital Will (Digitales Testament) ist eine einzigartige Funktion, mit der Nutzer festlegen können, was mit ihren Online-Accounts passiert, wenn sie für eine definierte Zeit inaktiv waren. Die Funktion adressiert ein wachsendes gesellschaftliches Problem: den digitalen Nachlass.</w:t>
      </w:r>
    </w:p>
    <w:p>
      <w:pPr>
        <w:pStyle w:val="Heading2"/>
        <w:spacing w:before="320" w:after="120"/>
      </w:pPr>
      <w:r>
        <w:rPr>
          <w:color w:val="1E1B4B"/>
        </w:rPr>
        <w:t>10.1  Aktivierung und Konfiguration</w:t>
      </w:r>
    </w:p>
    <w:p>
      <w:pPr>
        <w:spacing w:after="120"/>
      </w:pPr>
      <w:r>
        <w:rPr>
          <w:rFonts w:ascii="Calibri" w:hAnsi="Calibri"/>
          <w:b w:val="0"/>
          <w:i w:val="0"/>
          <w:sz w:val="22"/>
        </w:rPr>
        <w:t>Das Will wird über einen Aktivierungs-Toggle ein- und ausgeschaltet. Im aktivierten Zustand können folgende Parameter konfiguriert werden: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Parameter</w:t>
            </w:r>
          </w:p>
        </w:tc>
        <w:tc>
          <w:tcPr>
            <w:tcW w:type="dxa" w:w="3041"/>
            <w:shd w:val="clear" w:color="auto" w:fill="6366F1"/>
          </w:tcPr>
          <w:p>
            <w:r>
              <w:rPr>
                <w:rFonts w:ascii="Calibri" w:hAnsi="Calibri"/>
                <w:b/>
                <w:color w:val="FFFFFF"/>
                <w:sz w:val="20"/>
              </w:rPr>
              <w:t>Optionen</w:t>
            </w:r>
          </w:p>
        </w:tc>
        <w:tc>
          <w:tcPr>
            <w:tcW w:type="dxa" w:w="3041"/>
            <w:shd w:val="clear" w:color="auto" w:fill="6366F1"/>
          </w:tcPr>
          <w:p>
            <w:r>
              <w:rPr>
                <w:rFonts w:ascii="Calibri" w:hAnsi="Calibri"/>
                <w:b/>
                <w:color w:val="FFFFFF"/>
                <w:sz w:val="20"/>
              </w:rPr>
              <w:t>Beschreibung</w:t>
            </w:r>
          </w:p>
        </w:tc>
      </w:tr>
      <w:tr>
        <w:tc>
          <w:tcPr>
            <w:tcW w:type="dxa" w:w="3041"/>
            <w:shd w:val="clear" w:color="auto" w:fill="F5F3FF"/>
          </w:tcPr>
          <w:p>
            <w:r>
              <w:rPr>
                <w:rFonts w:ascii="Calibri" w:hAnsi="Calibri"/>
                <w:color w:val="111827"/>
                <w:sz w:val="20"/>
              </w:rPr>
              <w:t>Inaktivitätsfrist</w:t>
            </w:r>
          </w:p>
        </w:tc>
        <w:tc>
          <w:tcPr>
            <w:tcW w:type="dxa" w:w="3041"/>
            <w:shd w:val="clear" w:color="auto" w:fill="F5F3FF"/>
          </w:tcPr>
          <w:p>
            <w:r>
              <w:rPr>
                <w:rFonts w:ascii="Calibri" w:hAnsi="Calibri"/>
                <w:color w:val="111827"/>
                <w:sz w:val="20"/>
              </w:rPr>
              <w:t>1, 3, 6, 12, 24 Monate</w:t>
            </w:r>
          </w:p>
        </w:tc>
        <w:tc>
          <w:tcPr>
            <w:tcW w:type="dxa" w:w="3041"/>
            <w:shd w:val="clear" w:color="auto" w:fill="F5F3FF"/>
          </w:tcPr>
          <w:p>
            <w:r>
              <w:rPr>
                <w:rFonts w:ascii="Calibri" w:hAnsi="Calibri"/>
                <w:color w:val="111827"/>
                <w:sz w:val="20"/>
              </w:rPr>
              <w:t>Zeitraum ohne Login, nach dem das Will ausgeführt wird</w:t>
            </w:r>
          </w:p>
        </w:tc>
      </w:tr>
      <w:tr>
        <w:tc>
          <w:tcPr>
            <w:tcW w:type="dxa" w:w="3041"/>
            <w:shd w:val="clear" w:color="auto" w:fill="FFFFFF"/>
          </w:tcPr>
          <w:p>
            <w:r>
              <w:rPr>
                <w:rFonts w:ascii="Calibri" w:hAnsi="Calibri"/>
                <w:color w:val="111827"/>
                <w:sz w:val="20"/>
              </w:rPr>
              <w:t>Globale Aktion</w:t>
            </w:r>
          </w:p>
        </w:tc>
        <w:tc>
          <w:tcPr>
            <w:tcW w:type="dxa" w:w="3041"/>
            <w:shd w:val="clear" w:color="auto" w:fill="FFFFFF"/>
          </w:tcPr>
          <w:p>
            <w:r>
              <w:rPr>
                <w:rFonts w:ascii="Calibri" w:hAnsi="Calibri"/>
                <w:color w:val="111827"/>
                <w:sz w:val="20"/>
              </w:rPr>
              <w:t>Löschen / Übertragen / Archivieren</w:t>
            </w:r>
          </w:p>
        </w:tc>
        <w:tc>
          <w:tcPr>
            <w:tcW w:type="dxa" w:w="3041"/>
            <w:shd w:val="clear" w:color="auto" w:fill="FFFFFF"/>
          </w:tcPr>
          <w:p>
            <w:r>
              <w:rPr>
                <w:rFonts w:ascii="Calibri" w:hAnsi="Calibri"/>
                <w:color w:val="111827"/>
                <w:sz w:val="20"/>
              </w:rPr>
              <w:t>Standard-Aktion für alle Accounts (kann pro Account überschrieben werden)</w:t>
            </w:r>
          </w:p>
        </w:tc>
      </w:tr>
      <w:tr>
        <w:tc>
          <w:tcPr>
            <w:tcW w:type="dxa" w:w="3041"/>
            <w:shd w:val="clear" w:color="auto" w:fill="F5F3FF"/>
          </w:tcPr>
          <w:p>
            <w:r>
              <w:rPr>
                <w:rFonts w:ascii="Calibri" w:hAnsi="Calibri"/>
                <w:color w:val="111827"/>
                <w:sz w:val="20"/>
              </w:rPr>
              <w:t>Erben-E-Mail</w:t>
            </w:r>
          </w:p>
        </w:tc>
        <w:tc>
          <w:tcPr>
            <w:tcW w:type="dxa" w:w="3041"/>
            <w:shd w:val="clear" w:color="auto" w:fill="F5F3FF"/>
          </w:tcPr>
          <w:p>
            <w:r>
              <w:rPr>
                <w:rFonts w:ascii="Calibri" w:hAnsi="Calibri"/>
                <w:color w:val="111827"/>
                <w:sz w:val="20"/>
              </w:rPr>
              <w:t>E-Mail-Adresse</w:t>
            </w:r>
          </w:p>
        </w:tc>
        <w:tc>
          <w:tcPr>
            <w:tcW w:type="dxa" w:w="3041"/>
            <w:shd w:val="clear" w:color="auto" w:fill="F5F3FF"/>
          </w:tcPr>
          <w:p>
            <w:r>
              <w:rPr>
                <w:rFonts w:ascii="Calibri" w:hAnsi="Calibri"/>
                <w:color w:val="111827"/>
                <w:sz w:val="20"/>
              </w:rPr>
              <w:t>Bei Aktion 'Übertragen': Empfänger der Zugangsdaten</w:t>
            </w:r>
          </w:p>
        </w:tc>
      </w:tr>
      <w:tr>
        <w:tc>
          <w:tcPr>
            <w:tcW w:type="dxa" w:w="3041"/>
            <w:shd w:val="clear" w:color="auto" w:fill="FFFFFF"/>
          </w:tcPr>
          <w:p>
            <w:r>
              <w:rPr>
                <w:rFonts w:ascii="Calibri" w:hAnsi="Calibri"/>
                <w:color w:val="111827"/>
                <w:sz w:val="20"/>
              </w:rPr>
              <w:t>Erben-Name</w:t>
            </w:r>
          </w:p>
        </w:tc>
        <w:tc>
          <w:tcPr>
            <w:tcW w:type="dxa" w:w="3041"/>
            <w:shd w:val="clear" w:color="auto" w:fill="FFFFFF"/>
          </w:tcPr>
          <w:p>
            <w:r>
              <w:rPr>
                <w:rFonts w:ascii="Calibri" w:hAnsi="Calibri"/>
                <w:color w:val="111827"/>
                <w:sz w:val="20"/>
              </w:rPr>
              <w:t>Text</w:t>
            </w:r>
          </w:p>
        </w:tc>
        <w:tc>
          <w:tcPr>
            <w:tcW w:type="dxa" w:w="3041"/>
            <w:shd w:val="clear" w:color="auto" w:fill="FFFFFF"/>
          </w:tcPr>
          <w:p>
            <w:r>
              <w:rPr>
                <w:rFonts w:ascii="Calibri" w:hAnsi="Calibri"/>
                <w:color w:val="111827"/>
                <w:sz w:val="20"/>
              </w:rPr>
              <w:t>Anzeigename des Erben für die Übergabe-Kommunikation</w:t>
            </w:r>
          </w:p>
        </w:tc>
      </w:tr>
      <w:tr>
        <w:tc>
          <w:tcPr>
            <w:tcW w:type="dxa" w:w="3041"/>
            <w:shd w:val="clear" w:color="auto" w:fill="F5F3FF"/>
          </w:tcPr>
          <w:p>
            <w:r>
              <w:rPr>
                <w:rFonts w:ascii="Calibri" w:hAnsi="Calibri"/>
                <w:color w:val="111827"/>
                <w:sz w:val="20"/>
              </w:rPr>
              <w:t>Persönliche Nachricht</w:t>
            </w:r>
          </w:p>
        </w:tc>
        <w:tc>
          <w:tcPr>
            <w:tcW w:type="dxa" w:w="3041"/>
            <w:shd w:val="clear" w:color="auto" w:fill="F5F3FF"/>
          </w:tcPr>
          <w:p>
            <w:r>
              <w:rPr>
                <w:rFonts w:ascii="Calibri" w:hAnsi="Calibri"/>
                <w:color w:val="111827"/>
                <w:sz w:val="20"/>
              </w:rPr>
              <w:t>Freitext</w:t>
            </w:r>
          </w:p>
        </w:tc>
        <w:tc>
          <w:tcPr>
            <w:tcW w:type="dxa" w:w="3041"/>
            <w:shd w:val="clear" w:color="auto" w:fill="F5F3FF"/>
          </w:tcPr>
          <w:p>
            <w:r>
              <w:rPr>
                <w:rFonts w:ascii="Calibri" w:hAnsi="Calibri"/>
                <w:color w:val="111827"/>
                <w:sz w:val="20"/>
              </w:rPr>
              <w:t>Optionale persönliche Botschaft an den Erben oder Hinterbliebene</w:t>
            </w:r>
          </w:p>
        </w:tc>
      </w:tr>
    </w:tbl>
    <w:p>
      <w:pPr>
        <w:spacing w:after="120"/>
      </w:pPr>
    </w:p>
    <w:p>
      <w:pPr>
        <w:pStyle w:val="Heading2"/>
        <w:spacing w:before="320" w:after="120"/>
      </w:pPr>
      <w:r>
        <w:rPr>
          <w:color w:val="1E1B4B"/>
        </w:rPr>
        <w:t>10.2  Globale Aktionen</w:t>
      </w:r>
    </w:p>
    <w:p>
      <w:pPr>
        <w:spacing w:after="40"/>
      </w:pPr>
      <w:r>
        <w:rPr>
          <w:rFonts w:ascii="Calibri" w:hAnsi="Calibri"/>
          <w:b/>
          <w:i w:val="0"/>
          <w:color w:val="1E1B4B"/>
          <w:sz w:val="22"/>
        </w:rPr>
        <w:t>🗑️  Löschen</w:t>
      </w:r>
    </w:p>
    <w:p>
      <w:pPr>
        <w:spacing w:after="120"/>
        <w:ind w:left="288"/>
      </w:pPr>
      <w:r>
        <w:rPr>
          <w:rFonts w:ascii="Calibri" w:hAnsi="Calibri"/>
          <w:b w:val="0"/>
          <w:i w:val="0"/>
          <w:sz w:val="22"/>
        </w:rPr>
        <w:t>Alle betroffenen Accounts werden über ihre offiziellen Lösch-URLs entfernt. GhostAccounts führt keine automatische Löschung durch – die Aktion ist als Aufgabe für den Erben oder einen Verwalter dokumentiert.</w:t>
      </w:r>
    </w:p>
    <w:p>
      <w:pPr>
        <w:spacing w:after="40"/>
      </w:pPr>
      <w:r>
        <w:rPr>
          <w:rFonts w:ascii="Calibri" w:hAnsi="Calibri"/>
          <w:b/>
          <w:i w:val="0"/>
          <w:color w:val="1E1B4B"/>
          <w:sz w:val="22"/>
        </w:rPr>
        <w:t>👥  Übertragen</w:t>
      </w:r>
    </w:p>
    <w:p>
      <w:pPr>
        <w:spacing w:after="120"/>
        <w:ind w:left="288"/>
      </w:pPr>
      <w:r>
        <w:rPr>
          <w:rFonts w:ascii="Calibri" w:hAnsi="Calibri"/>
          <w:b w:val="0"/>
          <w:i w:val="0"/>
          <w:sz w:val="22"/>
        </w:rPr>
        <w:t>Zugangsdaten und Kontoinformationen werden an die hinterlegte Erben-E-Mail-Adresse weitergeleitet. Die persönliche Nachricht wird beigefügt.</w:t>
      </w:r>
    </w:p>
    <w:p>
      <w:pPr>
        <w:spacing w:after="40"/>
      </w:pPr>
      <w:r>
        <w:rPr>
          <w:rFonts w:ascii="Calibri" w:hAnsi="Calibri"/>
          <w:b/>
          <w:i w:val="0"/>
          <w:color w:val="1E1B4B"/>
          <w:sz w:val="22"/>
        </w:rPr>
        <w:t>📦  Archivieren</w:t>
      </w:r>
    </w:p>
    <w:p>
      <w:pPr>
        <w:spacing w:after="120"/>
        <w:ind w:left="288"/>
      </w:pPr>
      <w:r>
        <w:rPr>
          <w:rFonts w:ascii="Calibri" w:hAnsi="Calibri"/>
          <w:b w:val="0"/>
          <w:i w:val="0"/>
          <w:sz w:val="22"/>
        </w:rPr>
        <w:t>Accounts werden in einen Inaktivitätszustand versetzt. Kein Löschen – der digitale Fußabdruck bleibt erhalten, wird aber als 'archiviert' markiert.</w:t>
      </w:r>
    </w:p>
    <w:p>
      <w:pPr>
        <w:pStyle w:val="Heading2"/>
        <w:spacing w:before="320" w:after="120"/>
      </w:pPr>
      <w:r>
        <w:rPr>
          <w:color w:val="1E1B4B"/>
        </w:rPr>
        <w:t>10.3  Per-Account-Überschreibungen</w:t>
      </w:r>
    </w:p>
    <w:p>
      <w:pPr>
        <w:spacing w:after="120"/>
      </w:pPr>
      <w:r>
        <w:rPr>
          <w:rFonts w:ascii="Calibri" w:hAnsi="Calibri"/>
          <w:b w:val="0"/>
          <w:i w:val="0"/>
          <w:sz w:val="22"/>
        </w:rPr>
        <w:t>Für jeden einzelnen erkannten Account kann die globale Aktion individuell überschrieben werden. Dies ermöglicht differenzierte Regelungen, z.B.:</w:t>
      </w:r>
    </w:p>
    <w:p>
      <w:pPr>
        <w:pStyle w:val="ListBullet"/>
        <w:spacing w:after="60"/>
        <w:ind w:left="360"/>
      </w:pPr>
      <w:r>
        <w:rPr>
          <w:rFonts w:ascii="Calibri" w:hAnsi="Calibri"/>
          <w:sz w:val="22"/>
        </w:rPr>
        <w:t>Finance-Accounts → 'Übertragen' (an Erben für steuerliche Abwicklung)</w:t>
      </w:r>
    </w:p>
    <w:p>
      <w:pPr>
        <w:pStyle w:val="ListBullet"/>
        <w:spacing w:after="60"/>
        <w:ind w:left="360"/>
      </w:pPr>
      <w:r>
        <w:rPr>
          <w:rFonts w:ascii="Calibri" w:hAnsi="Calibri"/>
          <w:sz w:val="22"/>
        </w:rPr>
        <w:t>Social-Accounts → 'Löschen' (Datenschutz)</w:t>
      </w:r>
    </w:p>
    <w:p>
      <w:pPr>
        <w:pStyle w:val="ListBullet"/>
        <w:spacing w:after="60"/>
        <w:ind w:left="360"/>
      </w:pPr>
      <w:r>
        <w:rPr>
          <w:rFonts w:ascii="Calibri" w:hAnsi="Calibri"/>
          <w:sz w:val="22"/>
        </w:rPr>
        <w:t>Kreativ-Accounts (GitHub, Behance) → 'Archivieren' (Werk erhalten)</w:t>
      </w:r>
    </w:p>
    <w:p>
      <w:pPr>
        <w:spacing w:after="120"/>
      </w:pPr>
      <w:r>
        <w:rPr>
          <w:rFonts w:ascii="Calibri" w:hAnsi="Calibri"/>
          <w:b w:val="0"/>
          <w:i w:val="0"/>
          <w:sz w:val="22"/>
        </w:rPr>
        <w:t>Die erweiterte Account-Liste zeigt alle Accounts mit ihrem aktuellen Will-Status und ermöglicht per Dropdown-Aktion die sofortige Änderung.</w:t>
      </w:r>
    </w:p>
    <w:p>
      <w:pPr>
        <w:pStyle w:val="Heading2"/>
        <w:spacing w:before="320" w:after="120"/>
      </w:pPr>
      <w:r>
        <w:rPr>
          <w:color w:val="1E1B4B"/>
        </w:rPr>
        <w:t>10.4  Statistik-Übersicht</w:t>
      </w:r>
    </w:p>
    <w:p>
      <w:pPr>
        <w:spacing w:after="120"/>
      </w:pPr>
      <w:r>
        <w:rPr>
          <w:rFonts w:ascii="Calibri" w:hAnsi="Calibri"/>
          <w:b w:val="0"/>
          <w:i w:val="0"/>
          <w:sz w:val="22"/>
        </w:rPr>
        <w:t>Eine kompakte Statistik zeigt die Verteilung der Will-Aktionen auf einen Blick:</w:t>
      </w:r>
    </w:p>
    <w:p>
      <w:pPr>
        <w:pStyle w:val="ListBullet"/>
        <w:spacing w:after="60"/>
        <w:ind w:left="360"/>
      </w:pPr>
      <w:r>
        <w:rPr>
          <w:rFonts w:ascii="Calibri" w:hAnsi="Calibri"/>
          <w:sz w:val="22"/>
        </w:rPr>
        <w:t>Anzahl 'Löschen'-Accounts</w:t>
      </w:r>
    </w:p>
    <w:p>
      <w:pPr>
        <w:pStyle w:val="ListBullet"/>
        <w:spacing w:after="60"/>
        <w:ind w:left="360"/>
      </w:pPr>
      <w:r>
        <w:rPr>
          <w:rFonts w:ascii="Calibri" w:hAnsi="Calibri"/>
          <w:sz w:val="22"/>
        </w:rPr>
        <w:t>Anzahl 'Übertragen'-Accounts</w:t>
      </w:r>
    </w:p>
    <w:p>
      <w:pPr>
        <w:pStyle w:val="ListBullet"/>
        <w:spacing w:after="60"/>
        <w:ind w:left="360"/>
      </w:pPr>
      <w:r>
        <w:rPr>
          <w:rFonts w:ascii="Calibri" w:hAnsi="Calibri"/>
          <w:sz w:val="22"/>
        </w:rPr>
        <w:t>Anzahl 'Archivieren'-Accounts</w:t>
      </w:r>
    </w:p>
    <w:p>
      <w:pPr>
        <w:pStyle w:val="ListBullet"/>
        <w:spacing w:after="60"/>
        <w:ind w:left="360"/>
      </w:pPr>
      <w:r>
        <w:rPr>
          <w:rFonts w:ascii="Calibri" w:hAnsi="Calibri"/>
          <w:sz w:val="22"/>
        </w:rPr>
        <w:t>Anzahl 'Behalten'-Accounts</w:t>
      </w:r>
    </w:p>
    <w:p>
      <w:pPr>
        <w:pStyle w:val="ListBullet"/>
        <w:spacing w:after="60"/>
        <w:ind w:left="360"/>
      </w:pPr>
      <w:r>
        <w:rPr>
          <w:rFonts w:ascii="Calibri" w:hAnsi="Calibri"/>
          <w:sz w:val="22"/>
        </w:rPr>
        <w:t>Anzahl 'Erbt Global'-Accounts (noch nicht individuell konfiguriert)</w:t>
      </w:r>
    </w:p>
    <w:p>
      <w:r>
        <w:br w:type="page"/>
      </w:r>
    </w:p>
    <w:p>
      <w:pPr>
        <w:pStyle w:val="Heading1"/>
        <w:spacing w:before="320" w:after="120"/>
      </w:pPr>
      <w:r>
        <w:rPr>
          <w:color w:val="6366F1"/>
        </w:rPr>
        <w:t>11  Einstellungen</w:t>
      </w:r>
    </w:p>
    <w:p>
      <w:pPr>
        <w:spacing w:after="120"/>
      </w:pPr>
      <w:r>
        <w:rPr>
          <w:rFonts w:ascii="Calibri" w:hAnsi="Calibri"/>
          <w:b w:val="0"/>
          <w:i w:val="0"/>
          <w:sz w:val="22"/>
        </w:rPr>
        <w:t>Der Einstellungsbereich ermöglicht die vollständige Verwaltung des Profils, der Benachrichtigungen, des App-Themes und der eigenen Daten.</w:t>
      </w:r>
    </w:p>
    <w:p>
      <w:pPr>
        <w:pStyle w:val="Heading2"/>
        <w:spacing w:before="320" w:after="120"/>
      </w:pPr>
      <w:r>
        <w:rPr>
          <w:color w:val="1E1B4B"/>
        </w:rPr>
        <w:t>11.1  Profil-Verwaltung</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Feld</w:t>
            </w:r>
          </w:p>
        </w:tc>
        <w:tc>
          <w:tcPr>
            <w:tcW w:type="dxa" w:w="3041"/>
            <w:shd w:val="clear" w:color="auto" w:fill="6366F1"/>
          </w:tcPr>
          <w:p>
            <w:r>
              <w:rPr>
                <w:rFonts w:ascii="Calibri" w:hAnsi="Calibri"/>
                <w:b/>
                <w:color w:val="FFFFFF"/>
                <w:sz w:val="20"/>
              </w:rPr>
              <w:t>Bearbeitbar</w:t>
            </w:r>
          </w:p>
        </w:tc>
        <w:tc>
          <w:tcPr>
            <w:tcW w:type="dxa" w:w="3041"/>
            <w:shd w:val="clear" w:color="auto" w:fill="6366F1"/>
          </w:tcPr>
          <w:p>
            <w:r>
              <w:rPr>
                <w:rFonts w:ascii="Calibri" w:hAnsi="Calibri"/>
                <w:b/>
                <w:color w:val="FFFFFF"/>
                <w:sz w:val="20"/>
              </w:rPr>
              <w:t>Beschreibung</w:t>
            </w:r>
          </w:p>
        </w:tc>
      </w:tr>
      <w:tr>
        <w:tc>
          <w:tcPr>
            <w:tcW w:type="dxa" w:w="3041"/>
            <w:shd w:val="clear" w:color="auto" w:fill="F5F3FF"/>
          </w:tcPr>
          <w:p>
            <w:r>
              <w:rPr>
                <w:rFonts w:ascii="Calibri" w:hAnsi="Calibri"/>
                <w:color w:val="111827"/>
                <w:sz w:val="20"/>
              </w:rPr>
              <w:t>Vollständiger Name</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Anzeigename (wird im Dashboard-Greeting verwendet)</w:t>
            </w:r>
          </w:p>
        </w:tc>
      </w:tr>
      <w:tr>
        <w:tc>
          <w:tcPr>
            <w:tcW w:type="dxa" w:w="3041"/>
            <w:shd w:val="clear" w:color="auto" w:fill="FFFFFF"/>
          </w:tcPr>
          <w:p>
            <w:r>
              <w:rPr>
                <w:rFonts w:ascii="Calibri" w:hAnsi="Calibri"/>
                <w:color w:val="111827"/>
                <w:sz w:val="20"/>
              </w:rPr>
              <w:t>E-Mail-Adresse</w:t>
            </w:r>
          </w:p>
        </w:tc>
        <w:tc>
          <w:tcPr>
            <w:tcW w:type="dxa" w:w="3041"/>
            <w:shd w:val="clear" w:color="auto" w:fill="FFFFFF"/>
          </w:tcPr>
          <w:p>
            <w:r>
              <w:rPr>
                <w:rFonts w:ascii="Calibri" w:hAnsi="Calibri"/>
                <w:color w:val="111827"/>
                <w:sz w:val="20"/>
              </w:rPr>
              <w:t>❌ Nein</w:t>
            </w:r>
          </w:p>
        </w:tc>
        <w:tc>
          <w:tcPr>
            <w:tcW w:type="dxa" w:w="3041"/>
            <w:shd w:val="clear" w:color="auto" w:fill="FFFFFF"/>
          </w:tcPr>
          <w:p>
            <w:r>
              <w:rPr>
                <w:rFonts w:ascii="Calibri" w:hAnsi="Calibri"/>
                <w:color w:val="111827"/>
                <w:sz w:val="20"/>
              </w:rPr>
              <w:t>Login-E-Mail – Änderung über Supabase Auth</w:t>
            </w:r>
          </w:p>
        </w:tc>
      </w:tr>
      <w:tr>
        <w:tc>
          <w:tcPr>
            <w:tcW w:type="dxa" w:w="3041"/>
            <w:shd w:val="clear" w:color="auto" w:fill="F5F3FF"/>
          </w:tcPr>
          <w:p>
            <w:r>
              <w:rPr>
                <w:rFonts w:ascii="Calibri" w:hAnsi="Calibri"/>
                <w:color w:val="111827"/>
                <w:sz w:val="20"/>
              </w:rPr>
              <w:t>Plan</w:t>
            </w:r>
          </w:p>
        </w:tc>
        <w:tc>
          <w:tcPr>
            <w:tcW w:type="dxa" w:w="3041"/>
            <w:shd w:val="clear" w:color="auto" w:fill="F5F3FF"/>
          </w:tcPr>
          <w:p>
            <w:r>
              <w:rPr>
                <w:rFonts w:ascii="Calibri" w:hAnsi="Calibri"/>
                <w:color w:val="111827"/>
                <w:sz w:val="20"/>
              </w:rPr>
              <w:t>❌ Nein</w:t>
            </w:r>
          </w:p>
        </w:tc>
        <w:tc>
          <w:tcPr>
            <w:tcW w:type="dxa" w:w="3041"/>
            <w:shd w:val="clear" w:color="auto" w:fill="F5F3FF"/>
          </w:tcPr>
          <w:p>
            <w:r>
              <w:rPr>
                <w:rFonts w:ascii="Calibri" w:hAnsi="Calibri"/>
                <w:color w:val="111827"/>
                <w:sz w:val="20"/>
              </w:rPr>
              <w:t>free / pro (Upgrade über Vercel/Support)</w:t>
            </w:r>
          </w:p>
        </w:tc>
      </w:tr>
    </w:tbl>
    <w:p>
      <w:pPr>
        <w:spacing w:after="120"/>
      </w:pPr>
    </w:p>
    <w:p>
      <w:pPr>
        <w:pStyle w:val="Heading2"/>
        <w:spacing w:before="320" w:after="120"/>
      </w:pPr>
      <w:r>
        <w:rPr>
          <w:color w:val="1E1B4B"/>
        </w:rPr>
        <w:t>11.2  Benachrichtigungen</w:t>
      </w:r>
    </w:p>
    <w:p>
      <w:pPr>
        <w:spacing w:after="120"/>
      </w:pPr>
      <w:r>
        <w:rPr>
          <w:rFonts w:ascii="Calibri" w:hAnsi="Calibri"/>
          <w:b w:val="0"/>
          <w:i w:val="0"/>
          <w:sz w:val="22"/>
        </w:rPr>
        <w:t>Zwei Benachrichtigungs-Toggles:</w:t>
      </w:r>
    </w:p>
    <w:p>
      <w:pPr>
        <w:pStyle w:val="ListBullet"/>
        <w:spacing w:after="60"/>
        <w:ind w:left="360"/>
      </w:pPr>
      <w:r>
        <w:rPr>
          <w:rFonts w:ascii="Calibri" w:hAnsi="Calibri"/>
          <w:sz w:val="22"/>
        </w:rPr>
        <w:t>Breach-Warnungen:  Benachrichtigung bei neuen Datenlecks (Standard: Aktiviert)</w:t>
      </w:r>
    </w:p>
    <w:p>
      <w:pPr>
        <w:pStyle w:val="ListBullet"/>
        <w:spacing w:after="60"/>
        <w:ind w:left="360"/>
      </w:pPr>
      <w:r>
        <w:rPr>
          <w:rFonts w:ascii="Calibri" w:hAnsi="Calibri"/>
          <w:sz w:val="22"/>
        </w:rPr>
        <w:t>Neue Accounts:  Benachrichtigung wenn neue Accounts per Scan entdeckt wurden (Standard: Deaktiviert)</w:t>
      </w:r>
    </w:p>
    <w:p>
      <w:pPr>
        <w:pStyle w:val="Heading2"/>
        <w:spacing w:before="320" w:after="120"/>
      </w:pPr>
      <w:r>
        <w:rPr>
          <w:color w:val="1E1B4B"/>
        </w:rPr>
        <w:t>11.3  Erscheinungsbild (Theme)</w:t>
      </w:r>
    </w:p>
    <w:p>
      <w:pPr>
        <w:spacing w:after="120"/>
      </w:pPr>
      <w:r>
        <w:rPr>
          <w:rFonts w:ascii="Calibri" w:hAnsi="Calibri"/>
          <w:b w:val="0"/>
          <w:i w:val="0"/>
          <w:sz w:val="22"/>
        </w:rPr>
        <w:t>GhostAccounts unterstützt drei Theme-Modi:</w:t>
      </w:r>
    </w:p>
    <w:p>
      <w:pPr>
        <w:pStyle w:val="ListBullet"/>
        <w:spacing w:after="60"/>
        <w:ind w:left="360"/>
      </w:pPr>
      <w:r>
        <w:rPr>
          <w:rFonts w:ascii="Calibri" w:hAnsi="Calibri"/>
          <w:sz w:val="22"/>
        </w:rPr>
        <w:t>☀️  Hell:  Weißes Theme mit dunkelgrauem Text</w:t>
      </w:r>
    </w:p>
    <w:p>
      <w:pPr>
        <w:pStyle w:val="ListBullet"/>
        <w:spacing w:after="60"/>
        <w:ind w:left="360"/>
      </w:pPr>
      <w:r>
        <w:rPr>
          <w:rFonts w:ascii="Calibri" w:hAnsi="Calibri"/>
          <w:sz w:val="22"/>
        </w:rPr>
        <w:t>🌙  Dunkel:  Dunkles Theme mit hellem Text (Standard)</w:t>
      </w:r>
    </w:p>
    <w:p>
      <w:pPr>
        <w:pStyle w:val="ListBullet"/>
        <w:spacing w:after="60"/>
        <w:ind w:left="360"/>
      </w:pPr>
      <w:r>
        <w:rPr>
          <w:rFonts w:ascii="Calibri" w:hAnsi="Calibri"/>
          <w:sz w:val="22"/>
        </w:rPr>
        <w:t>💻  System:  Automatische Anpassung an Betriebssystem-Einstellung</w:t>
      </w:r>
    </w:p>
    <w:p>
      <w:pPr>
        <w:pStyle w:val="Heading2"/>
        <w:spacing w:before="320" w:after="120"/>
      </w:pPr>
      <w:r>
        <w:rPr>
          <w:color w:val="1E1B4B"/>
        </w:rPr>
        <w:t>11.4  Daten-Export</w:t>
      </w:r>
    </w:p>
    <w:p>
      <w:pPr>
        <w:spacing w:after="120"/>
      </w:pPr>
      <w:r>
        <w:rPr>
          <w:rFonts w:ascii="Calibri" w:hAnsi="Calibri"/>
          <w:b w:val="0"/>
          <w:i w:val="0"/>
          <w:sz w:val="22"/>
        </w:rPr>
        <w:t>Zwei Export-Formate stehen zur Verfügung:</w:t>
      </w:r>
    </w:p>
    <w:p>
      <w:pPr>
        <w:pStyle w:val="ListBullet"/>
        <w:spacing w:after="60"/>
        <w:ind w:left="360"/>
      </w:pPr>
      <w:r>
        <w:rPr>
          <w:rFonts w:ascii="Calibri" w:hAnsi="Calibri"/>
          <w:sz w:val="22"/>
        </w:rPr>
        <w:t>JSON-Export:  Vollständiger Export aller Scan-Ergebnisse und Profildaten als strukturierte JSON-Datei (ghostaccounts-data.json)</w:t>
      </w:r>
    </w:p>
    <w:p>
      <w:pPr>
        <w:pStyle w:val="ListBullet"/>
        <w:spacing w:after="60"/>
        <w:ind w:left="360"/>
      </w:pPr>
      <w:r>
        <w:rPr>
          <w:rFonts w:ascii="Calibri" w:hAnsi="Calibri"/>
          <w:sz w:val="22"/>
        </w:rPr>
        <w:t>CSV-Export:  Tabellarkischer Export der Account-Daten mit Feldern: service_name, service_domain, breach_status, deletion_status, detection_confidence, last_email_date, first_detected_at, evidence_count (ghostaccounts-accounts.csv)</w:t>
      </w:r>
    </w:p>
    <w:p>
      <w:pPr>
        <w:pStyle w:val="Heading2"/>
        <w:spacing w:before="320" w:after="120"/>
      </w:pPr>
      <w:r>
        <w:rPr>
          <w:color w:val="1E1B4B"/>
        </w:rPr>
        <w:t>11.5  Konto-Löschung (Account-Deletion)</w:t>
      </w:r>
    </w:p>
    <w:p>
      <w:pPr>
        <w:spacing w:after="120"/>
      </w:pPr>
      <w:r>
        <w:rPr>
          <w:rFonts w:ascii="Calibri" w:hAnsi="Calibri"/>
          <w:b w:val="0"/>
          <w:i w:val="0"/>
          <w:sz w:val="22"/>
        </w:rPr>
        <w:t>Nutzer können ihren GhostAccounts-Account und alle zugehörigen Daten permanent löschen. Zur Sicherheit muss das Wort 'DELETE' (Englisch) oder 'LÖSCHEN' (Deutsch) in ein Bestätigungsfeld eingegeben werden. Nach Bestätigung werden gelöscht:</w:t>
      </w:r>
    </w:p>
    <w:p>
      <w:pPr>
        <w:pStyle w:val="ListBullet"/>
        <w:spacing w:after="60"/>
        <w:ind w:left="360"/>
      </w:pPr>
      <w:r>
        <w:rPr>
          <w:rFonts w:ascii="Calibri" w:hAnsi="Calibri"/>
          <w:sz w:val="22"/>
        </w:rPr>
        <w:t>Alle scan_results des Nutzers</w:t>
      </w:r>
    </w:p>
    <w:p>
      <w:pPr>
        <w:pStyle w:val="ListBullet"/>
        <w:spacing w:after="60"/>
        <w:ind w:left="360"/>
      </w:pPr>
      <w:r>
        <w:rPr>
          <w:rFonts w:ascii="Calibri" w:hAnsi="Calibri"/>
          <w:sz w:val="22"/>
        </w:rPr>
        <w:t>Alle breach_alerts des Nutzers</w:t>
      </w:r>
    </w:p>
    <w:p>
      <w:pPr>
        <w:pStyle w:val="ListBullet"/>
        <w:spacing w:after="60"/>
        <w:ind w:left="360"/>
      </w:pPr>
      <w:r>
        <w:rPr>
          <w:rFonts w:ascii="Calibri" w:hAnsi="Calibri"/>
          <w:sz w:val="22"/>
        </w:rPr>
        <w:t>Das Profil-Eintrag in der profiles-Tabelle</w:t>
      </w:r>
    </w:p>
    <w:p>
      <w:pPr>
        <w:pStyle w:val="ListBullet"/>
        <w:spacing w:after="60"/>
        <w:ind w:left="360"/>
      </w:pPr>
      <w:r>
        <w:rPr>
          <w:rFonts w:ascii="Calibri" w:hAnsi="Calibri"/>
          <w:sz w:val="22"/>
        </w:rPr>
        <w:t>Der Auth-Account (Login nicht mehr möglich)</w:t>
      </w:r>
    </w:p>
    <w:tbl>
      <w:tblPr>
        <w:tblW w:type="auto" w:w="0"/>
        <w:jc w:val="left"/>
        <w:tblLook w:firstColumn="1" w:firstRow="1" w:lastColumn="0" w:lastRow="0" w:noHBand="0" w:noVBand="1" w:val="04A0"/>
      </w:tblPr>
      <w:tblGrid>
        <w:gridCol w:w="9122"/>
      </w:tblGrid>
      <w:tr>
        <w:tc>
          <w:tcPr>
            <w:tcW w:type="dxa" w:w="8640"/>
            <w:shd w:val="clear" w:color="auto" w:fill="FEF2F2"/>
            <w:tcBorders>
              <w:top w:val="single" w:sz="4" w:space="0" w:color="EF4444"/>
              <w:bottom w:val="single" w:sz="4" w:space="0" w:color="EF4444"/>
              <w:left w:val="single" w:sz="4" w:space="0" w:color="EF4444"/>
              <w:right w:val="single" w:sz="4" w:space="0" w:color="EF4444"/>
            </w:tcBorders>
          </w:tcPr>
          <w:p>
            <w:pPr>
              <w:spacing w:before="80" w:after="40"/>
            </w:pPr>
            <w:r>
              <w:rPr>
                <w:rFonts w:ascii="Calibri" w:hAnsi="Calibri"/>
                <w:b/>
                <w:color w:val="EF4444"/>
                <w:sz w:val="22"/>
              </w:rPr>
              <w:t>⚠️  Unwiderruflich</w:t>
            </w:r>
          </w:p>
          <w:p>
            <w:pPr>
              <w:spacing w:before="20" w:after="20"/>
            </w:pPr>
            <w:r>
              <w:rPr>
                <w:rFonts w:ascii="Calibri" w:hAnsi="Calibri"/>
                <w:color w:val="111827"/>
                <w:sz w:val="21"/>
              </w:rPr>
              <w:t>Die Konto-Löschung ist NICHT rückgängig zu machen.</w:t>
            </w:r>
          </w:p>
          <w:p>
            <w:pPr>
              <w:spacing w:before="20" w:after="20"/>
            </w:pPr>
            <w:r>
              <w:rPr>
                <w:rFonts w:ascii="Calibri" w:hAnsi="Calibri"/>
                <w:color w:val="111827"/>
                <w:sz w:val="21"/>
              </w:rPr>
              <w:t>Alle Scan-Daten, der Risiko-Score und der Digital Will werden permanent gelöscht.</w:t>
            </w:r>
          </w:p>
          <w:p>
            <w:pPr>
              <w:spacing w:before="20" w:after="20"/>
            </w:pPr>
            <w:r>
              <w:rPr>
                <w:rFonts w:ascii="Calibri" w:hAnsi="Calibri"/>
                <w:color w:val="111827"/>
                <w:sz w:val="21"/>
              </w:rPr>
              <w:t>Ein Daten-Export vor der Löschung wird empfohlen.</w:t>
            </w:r>
          </w:p>
        </w:tc>
      </w:tr>
    </w:tbl>
    <w:p>
      <w:pPr>
        <w:spacing w:after="80"/>
      </w:pPr>
    </w:p>
    <w:p>
      <w:r>
        <w:br w:type="page"/>
      </w:r>
    </w:p>
    <w:p>
      <w:pPr>
        <w:pStyle w:val="Heading1"/>
        <w:spacing w:before="320" w:after="120"/>
      </w:pPr>
      <w:r>
        <w:rPr>
          <w:color w:val="6366F1"/>
        </w:rPr>
        <w:t>12  Sprachunterstützung &amp; Lokalisierung</w:t>
      </w:r>
    </w:p>
    <w:p>
      <w:pPr>
        <w:spacing w:after="120"/>
      </w:pPr>
      <w:r>
        <w:rPr>
          <w:rFonts w:ascii="Calibri" w:hAnsi="Calibri"/>
          <w:b w:val="0"/>
          <w:i w:val="0"/>
          <w:sz w:val="22"/>
        </w:rPr>
        <w:t>GhostAccounts ist vollständig zweisprachig implementiert. Beide Sprachen sind vollständig gleichwertig – keine Funktionen sind in einer Sprache eingeschränkt.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Sprache</w:t>
            </w:r>
          </w:p>
        </w:tc>
        <w:tc>
          <w:tcPr>
            <w:tcW w:type="dxa" w:w="3041"/>
            <w:shd w:val="clear" w:color="auto" w:fill="6366F1"/>
          </w:tcPr>
          <w:p>
            <w:r>
              <w:rPr>
                <w:rFonts w:ascii="Calibri" w:hAnsi="Calibri"/>
                <w:b/>
                <w:color w:val="FFFFFF"/>
                <w:sz w:val="20"/>
              </w:rPr>
              <w:t>URL-Prefix</w:t>
            </w:r>
          </w:p>
        </w:tc>
        <w:tc>
          <w:tcPr>
            <w:tcW w:type="dxa" w:w="3041"/>
            <w:shd w:val="clear" w:color="auto" w:fill="6366F1"/>
          </w:tcPr>
          <w:p>
            <w:r>
              <w:rPr>
                <w:rFonts w:ascii="Calibri" w:hAnsi="Calibri"/>
                <w:b/>
                <w:color w:val="FFFFFF"/>
                <w:sz w:val="20"/>
              </w:rPr>
              <w:t>Lokalisierungsdatei</w:t>
            </w:r>
          </w:p>
        </w:tc>
      </w:tr>
      <w:tr>
        <w:tc>
          <w:tcPr>
            <w:tcW w:type="dxa" w:w="3041"/>
            <w:shd w:val="clear" w:color="auto" w:fill="F5F3FF"/>
          </w:tcPr>
          <w:p>
            <w:r>
              <w:rPr>
                <w:rFonts w:ascii="Calibri" w:hAnsi="Calibri"/>
                <w:color w:val="111827"/>
                <w:sz w:val="20"/>
              </w:rPr>
              <w:t>Deutsch (DE)</w:t>
            </w:r>
          </w:p>
        </w:tc>
        <w:tc>
          <w:tcPr>
            <w:tcW w:type="dxa" w:w="3041"/>
            <w:shd w:val="clear" w:color="auto" w:fill="F5F3FF"/>
          </w:tcPr>
          <w:p>
            <w:r>
              <w:rPr>
                <w:rFonts w:ascii="Calibri" w:hAnsi="Calibri"/>
                <w:color w:val="111827"/>
                <w:sz w:val="20"/>
              </w:rPr>
              <w:t>/de/...</w:t>
            </w:r>
          </w:p>
        </w:tc>
        <w:tc>
          <w:tcPr>
            <w:tcW w:type="dxa" w:w="3041"/>
            <w:shd w:val="clear" w:color="auto" w:fill="F5F3FF"/>
          </w:tcPr>
          <w:p>
            <w:r>
              <w:rPr>
                <w:rFonts w:ascii="Calibri" w:hAnsi="Calibri"/>
                <w:color w:val="111827"/>
                <w:sz w:val="20"/>
              </w:rPr>
              <w:t>src/messages/de.json</w:t>
            </w:r>
          </w:p>
        </w:tc>
      </w:tr>
      <w:tr>
        <w:tc>
          <w:tcPr>
            <w:tcW w:type="dxa" w:w="3041"/>
            <w:shd w:val="clear" w:color="auto" w:fill="FFFFFF"/>
          </w:tcPr>
          <w:p>
            <w:r>
              <w:rPr>
                <w:rFonts w:ascii="Calibri" w:hAnsi="Calibri"/>
                <w:color w:val="111827"/>
                <w:sz w:val="20"/>
              </w:rPr>
              <w:t>Englisch (EN)</w:t>
            </w:r>
          </w:p>
        </w:tc>
        <w:tc>
          <w:tcPr>
            <w:tcW w:type="dxa" w:w="3041"/>
            <w:shd w:val="clear" w:color="auto" w:fill="FFFFFF"/>
          </w:tcPr>
          <w:p>
            <w:r>
              <w:rPr>
                <w:rFonts w:ascii="Calibri" w:hAnsi="Calibri"/>
                <w:color w:val="111827"/>
                <w:sz w:val="20"/>
              </w:rPr>
              <w:t>/en/...</w:t>
            </w:r>
          </w:p>
        </w:tc>
        <w:tc>
          <w:tcPr>
            <w:tcW w:type="dxa" w:w="3041"/>
            <w:shd w:val="clear" w:color="auto" w:fill="FFFFFF"/>
          </w:tcPr>
          <w:p>
            <w:r>
              <w:rPr>
                <w:rFonts w:ascii="Calibri" w:hAnsi="Calibri"/>
                <w:color w:val="111827"/>
                <w:sz w:val="20"/>
              </w:rPr>
              <w:t>src/messages/en.json</w:t>
            </w:r>
          </w:p>
        </w:tc>
      </w:tr>
    </w:tbl>
    <w:p>
      <w:pPr>
        <w:spacing w:after="120"/>
      </w:pPr>
    </w:p>
    <w:p>
      <w:pPr>
        <w:spacing w:after="120"/>
      </w:pPr>
      <w:r>
        <w:rPr>
          <w:rFonts w:ascii="Calibri" w:hAnsi="Calibri"/>
          <w:b w:val="0"/>
          <w:i w:val="0"/>
          <w:sz w:val="22"/>
        </w:rPr>
        <w:t>Die Sprachumschaltung ist jederzeit über den Header-Button verfügbar. Die gewählte Sprache wird in der URL kodiert und kann direkt verlinkt werden. Datumsformate werden sprachabhängig angepasst (DD.MM.YYYY für DE, DD/MM/YYYY für EN).</w:t>
      </w:r>
    </w:p>
    <w:p>
      <w:pPr>
        <w:spacing w:after="120"/>
      </w:pPr>
      <w:r>
        <w:rPr>
          <w:rFonts w:ascii="Calibri" w:hAnsi="Calibri"/>
          <w:b w:val="0"/>
          <w:i w:val="0"/>
          <w:sz w:val="22"/>
        </w:rPr>
        <w:t>Technisch basiert die Lokalisierung auf next-intl, optimiert für den Next.js App Router. Alle Übersetzungen werden serverseitig gerendert (Server Components) oder clientseitig via useTranslations()-Hook geladen.</w:t>
      </w:r>
    </w:p>
    <w:p>
      <w:r>
        <w:br w:type="page"/>
      </w:r>
    </w:p>
    <w:p>
      <w:pPr>
        <w:pStyle w:val="Heading1"/>
        <w:spacing w:before="320" w:after="120"/>
      </w:pPr>
      <w:r>
        <w:rPr>
          <w:color w:val="6366F1"/>
        </w:rPr>
        <w:t>13  Datenschutz &amp; Sicherheitsarchitektur</w:t>
      </w:r>
    </w:p>
    <w:p>
      <w:pPr>
        <w:pStyle w:val="Heading2"/>
        <w:spacing w:before="320" w:after="120"/>
      </w:pPr>
      <w:r>
        <w:rPr>
          <w:color w:val="1E1B4B"/>
        </w:rPr>
        <w:t>13.1  Datenminimierung</w:t>
      </w:r>
    </w:p>
    <w:p>
      <w:pPr>
        <w:spacing w:after="120"/>
      </w:pPr>
      <w:r>
        <w:rPr>
          <w:rFonts w:ascii="Calibri" w:hAnsi="Calibri"/>
          <w:b w:val="0"/>
          <w:i w:val="0"/>
          <w:sz w:val="22"/>
        </w:rPr>
        <w:t>GhostAccounts speichert nur das absolut Notwendige:</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Datenkategorie</w:t>
            </w:r>
          </w:p>
        </w:tc>
        <w:tc>
          <w:tcPr>
            <w:tcW w:type="dxa" w:w="3041"/>
            <w:shd w:val="clear" w:color="auto" w:fill="6366F1"/>
          </w:tcPr>
          <w:p>
            <w:r>
              <w:rPr>
                <w:rFonts w:ascii="Calibri" w:hAnsi="Calibri"/>
                <w:b/>
                <w:color w:val="FFFFFF"/>
                <w:sz w:val="20"/>
              </w:rPr>
              <w:t>Gespeichert</w:t>
            </w:r>
          </w:p>
        </w:tc>
        <w:tc>
          <w:tcPr>
            <w:tcW w:type="dxa" w:w="3041"/>
            <w:shd w:val="clear" w:color="auto" w:fill="6366F1"/>
          </w:tcPr>
          <w:p>
            <w:r>
              <w:rPr>
                <w:rFonts w:ascii="Calibri" w:hAnsi="Calibri"/>
                <w:b/>
                <w:color w:val="FFFFFF"/>
                <w:sz w:val="20"/>
              </w:rPr>
              <w:t>Nicht gespeichert</w:t>
            </w:r>
          </w:p>
        </w:tc>
      </w:tr>
      <w:tr>
        <w:tc>
          <w:tcPr>
            <w:tcW w:type="dxa" w:w="3041"/>
            <w:shd w:val="clear" w:color="auto" w:fill="F5F3FF"/>
          </w:tcPr>
          <w:p>
            <w:r>
              <w:rPr>
                <w:rFonts w:ascii="Calibri" w:hAnsi="Calibri"/>
                <w:color w:val="111827"/>
                <w:sz w:val="20"/>
              </w:rPr>
              <w:t>E-Mail-Inhalte</w:t>
            </w:r>
          </w:p>
        </w:tc>
        <w:tc>
          <w:tcPr>
            <w:tcW w:type="dxa" w:w="3041"/>
            <w:shd w:val="clear" w:color="auto" w:fill="F5F3FF"/>
          </w:tcPr>
          <w:p>
            <w:r>
              <w:rPr>
                <w:rFonts w:ascii="Calibri" w:hAnsi="Calibri"/>
                <w:color w:val="111827"/>
                <w:sz w:val="20"/>
              </w:rPr>
              <w:t>❌ Nein</w:t>
            </w:r>
          </w:p>
        </w:tc>
        <w:tc>
          <w:tcPr>
            <w:tcW w:type="dxa" w:w="3041"/>
            <w:shd w:val="clear" w:color="auto" w:fill="F5F3FF"/>
          </w:tcPr>
          <w:p>
            <w:r>
              <w:rPr>
                <w:rFonts w:ascii="Calibri" w:hAnsi="Calibri"/>
                <w:color w:val="111827"/>
                <w:sz w:val="20"/>
              </w:rPr>
              <w:t>Textkörper, Anhänge, HTML</w:t>
            </w:r>
          </w:p>
        </w:tc>
      </w:tr>
      <w:tr>
        <w:tc>
          <w:tcPr>
            <w:tcW w:type="dxa" w:w="3041"/>
            <w:shd w:val="clear" w:color="auto" w:fill="FFFFFF"/>
          </w:tcPr>
          <w:p>
            <w:r>
              <w:rPr>
                <w:rFonts w:ascii="Calibri" w:hAnsi="Calibri"/>
                <w:color w:val="111827"/>
                <w:sz w:val="20"/>
              </w:rPr>
              <w:t>E-Mail-Metadaten</w:t>
            </w:r>
          </w:p>
        </w:tc>
        <w:tc>
          <w:tcPr>
            <w:tcW w:type="dxa" w:w="3041"/>
            <w:shd w:val="clear" w:color="auto" w:fill="FFFFFF"/>
          </w:tcPr>
          <w:p>
            <w:r>
              <w:rPr>
                <w:rFonts w:ascii="Calibri" w:hAnsi="Calibri"/>
                <w:color w:val="111827"/>
                <w:sz w:val="20"/>
              </w:rPr>
              <w:t>Teilweise</w:t>
            </w:r>
          </w:p>
        </w:tc>
        <w:tc>
          <w:tcPr>
            <w:tcW w:type="dxa" w:w="3041"/>
            <w:shd w:val="clear" w:color="auto" w:fill="FFFFFF"/>
          </w:tcPr>
          <w:p>
            <w:r>
              <w:rPr>
                <w:rFonts w:ascii="Calibri" w:hAnsi="Calibri"/>
                <w:color w:val="111827"/>
                <w:sz w:val="20"/>
              </w:rPr>
              <w:t>Nur Domain, Erkennungstyp, Datum</w:t>
            </w:r>
          </w:p>
        </w:tc>
      </w:tr>
      <w:tr>
        <w:tc>
          <w:tcPr>
            <w:tcW w:type="dxa" w:w="3041"/>
            <w:shd w:val="clear" w:color="auto" w:fill="F5F3FF"/>
          </w:tcPr>
          <w:p>
            <w:r>
              <w:rPr>
                <w:rFonts w:ascii="Calibri" w:hAnsi="Calibri"/>
                <w:color w:val="111827"/>
                <w:sz w:val="20"/>
              </w:rPr>
              <w:t>IMAP-Passwort</w:t>
            </w:r>
          </w:p>
        </w:tc>
        <w:tc>
          <w:tcPr>
            <w:tcW w:type="dxa" w:w="3041"/>
            <w:shd w:val="clear" w:color="auto" w:fill="F5F3FF"/>
          </w:tcPr>
          <w:p>
            <w:r>
              <w:rPr>
                <w:rFonts w:ascii="Calibri" w:hAnsi="Calibri"/>
                <w:color w:val="111827"/>
                <w:sz w:val="20"/>
              </w:rPr>
              <w:t>❌ Nein</w:t>
            </w:r>
          </w:p>
        </w:tc>
        <w:tc>
          <w:tcPr>
            <w:tcW w:type="dxa" w:w="3041"/>
            <w:shd w:val="clear" w:color="auto" w:fill="F5F3FF"/>
          </w:tcPr>
          <w:p>
            <w:r>
              <w:rPr>
                <w:rFonts w:ascii="Calibri" w:hAnsi="Calibri"/>
                <w:color w:val="111827"/>
                <w:sz w:val="20"/>
              </w:rPr>
              <w:t>Wird nur für Scan-Dauer im RAM gehalten</w:t>
            </w:r>
          </w:p>
        </w:tc>
      </w:tr>
      <w:tr>
        <w:tc>
          <w:tcPr>
            <w:tcW w:type="dxa" w:w="3041"/>
            <w:shd w:val="clear" w:color="auto" w:fill="FFFFFF"/>
          </w:tcPr>
          <w:p>
            <w:r>
              <w:rPr>
                <w:rFonts w:ascii="Calibri" w:hAnsi="Calibri"/>
                <w:color w:val="111827"/>
                <w:sz w:val="20"/>
              </w:rPr>
              <w:t>OAuth-Token</w:t>
            </w:r>
          </w:p>
        </w:tc>
        <w:tc>
          <w:tcPr>
            <w:tcW w:type="dxa" w:w="3041"/>
            <w:shd w:val="clear" w:color="auto" w:fill="FFFFFF"/>
          </w:tcPr>
          <w:p>
            <w:r>
              <w:rPr>
                <w:rFonts w:ascii="Calibri" w:hAnsi="Calibri"/>
                <w:color w:val="111827"/>
                <w:sz w:val="20"/>
              </w:rPr>
              <w:t>❌ Nein</w:t>
            </w:r>
          </w:p>
        </w:tc>
        <w:tc>
          <w:tcPr>
            <w:tcW w:type="dxa" w:w="3041"/>
            <w:shd w:val="clear" w:color="auto" w:fill="FFFFFF"/>
          </w:tcPr>
          <w:p>
            <w:r>
              <w:rPr>
                <w:rFonts w:ascii="Calibri" w:hAnsi="Calibri"/>
                <w:color w:val="111827"/>
                <w:sz w:val="20"/>
              </w:rPr>
              <w:t>Kein persistentes Token-Storage</w:t>
            </w:r>
          </w:p>
        </w:tc>
      </w:tr>
      <w:tr>
        <w:tc>
          <w:tcPr>
            <w:tcW w:type="dxa" w:w="3041"/>
            <w:shd w:val="clear" w:color="auto" w:fill="F5F3FF"/>
          </w:tcPr>
          <w:p>
            <w:r>
              <w:rPr>
                <w:rFonts w:ascii="Calibri" w:hAnsi="Calibri"/>
                <w:color w:val="111827"/>
                <w:sz w:val="20"/>
              </w:rPr>
              <w:t>Nutzer-E-Mail</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Für Authentifizierung</w:t>
            </w:r>
          </w:p>
        </w:tc>
      </w:tr>
      <w:tr>
        <w:tc>
          <w:tcPr>
            <w:tcW w:type="dxa" w:w="3041"/>
            <w:shd w:val="clear" w:color="auto" w:fill="FFFFFF"/>
          </w:tcPr>
          <w:p>
            <w:r>
              <w:rPr>
                <w:rFonts w:ascii="Calibri" w:hAnsi="Calibri"/>
                <w:color w:val="111827"/>
                <w:sz w:val="20"/>
              </w:rPr>
              <w:t>Erkannte Services</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Service-Name, Domain, Risiko-Status</w:t>
            </w:r>
          </w:p>
        </w:tc>
      </w:tr>
      <w:tr>
        <w:tc>
          <w:tcPr>
            <w:tcW w:type="dxa" w:w="3041"/>
            <w:shd w:val="clear" w:color="auto" w:fill="F5F3FF"/>
          </w:tcPr>
          <w:p>
            <w:r>
              <w:rPr>
                <w:rFonts w:ascii="Calibri" w:hAnsi="Calibri"/>
                <w:color w:val="111827"/>
                <w:sz w:val="20"/>
              </w:rPr>
              <w:t>Scan-Zeitpunkte</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last_scan_at im Profil</w:t>
            </w:r>
          </w:p>
        </w:tc>
      </w:tr>
    </w:tbl>
    <w:p>
      <w:pPr>
        <w:spacing w:after="120"/>
      </w:pPr>
    </w:p>
    <w:p>
      <w:pPr>
        <w:pStyle w:val="Heading2"/>
        <w:spacing w:before="320" w:after="120"/>
      </w:pPr>
      <w:r>
        <w:rPr>
          <w:color w:val="1E1B4B"/>
        </w:rPr>
        <w:t>13.2  Authentifizierungssicherheit</w:t>
      </w:r>
    </w:p>
    <w:p>
      <w:pPr>
        <w:pStyle w:val="ListBullet"/>
        <w:spacing w:after="60"/>
        <w:ind w:left="360"/>
      </w:pPr>
      <w:r>
        <w:rPr>
          <w:rFonts w:ascii="Calibri" w:hAnsi="Calibri"/>
          <w:sz w:val="22"/>
        </w:rPr>
        <w:t>Supabase Auth mit JWT-basierter Session-Verwaltung</w:t>
      </w:r>
    </w:p>
    <w:p>
      <w:pPr>
        <w:pStyle w:val="ListBullet"/>
        <w:spacing w:after="60"/>
        <w:ind w:left="360"/>
      </w:pPr>
      <w:r>
        <w:rPr>
          <w:rFonts w:ascii="Calibri" w:hAnsi="Calibri"/>
          <w:sz w:val="22"/>
        </w:rPr>
        <w:t>Passwörter: bcrypt-gehashed, niemals Klartext</w:t>
      </w:r>
    </w:p>
    <w:p>
      <w:pPr>
        <w:pStyle w:val="ListBullet"/>
        <w:spacing w:after="60"/>
        <w:ind w:left="360"/>
      </w:pPr>
      <w:r>
        <w:rPr>
          <w:rFonts w:ascii="Calibri" w:hAnsi="Calibri"/>
          <w:sz w:val="22"/>
        </w:rPr>
        <w:t>OAuth 2.0 + PKCE (Proof Key for Code Exchange) – verhindert Token-Interception</w:t>
      </w:r>
    </w:p>
    <w:p>
      <w:pPr>
        <w:pStyle w:val="ListBullet"/>
        <w:spacing w:after="60"/>
        <w:ind w:left="360"/>
      </w:pPr>
      <w:r>
        <w:rPr>
          <w:rFonts w:ascii="Calibri" w:hAnsi="Calibri"/>
          <w:sz w:val="22"/>
        </w:rPr>
        <w:t>HTTP-Only Cookies für Session-Token (kein JavaScript-Zugriff)</w:t>
      </w:r>
    </w:p>
    <w:p>
      <w:pPr>
        <w:pStyle w:val="ListBullet"/>
        <w:spacing w:after="60"/>
        <w:ind w:left="360"/>
      </w:pPr>
      <w:r>
        <w:rPr>
          <w:rFonts w:ascii="Calibri" w:hAnsi="Calibri"/>
          <w:sz w:val="22"/>
        </w:rPr>
        <w:t>Row Level Security (RLS) auf allen Datenbanktabellen</w:t>
      </w:r>
    </w:p>
    <w:p>
      <w:pPr>
        <w:pStyle w:val="Heading2"/>
        <w:spacing w:before="320" w:after="120"/>
      </w:pPr>
      <w:r>
        <w:rPr>
          <w:color w:val="1E1B4B"/>
        </w:rPr>
        <w:t>13.3  Row Level Security (RLS)</w:t>
      </w:r>
    </w:p>
    <w:p>
      <w:pPr>
        <w:spacing w:after="120"/>
      </w:pPr>
      <w:r>
        <w:rPr>
          <w:rFonts w:ascii="Calibri" w:hAnsi="Calibri"/>
          <w:b w:val="0"/>
          <w:i w:val="0"/>
          <w:sz w:val="22"/>
        </w:rPr>
        <w:t>Alle Datenbanktabellen sind mit Supabase Row Level Security geschützt. Jede Datenbankabfrage wird auf Datenbankebene auf den authentifizierten Nutzer beschränkt. Auch mit dem öffentlichen API-Key (anon key) kann kein Nutzer die Daten eines anderen Nutzers lesen oder schreiben.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6366F1"/>
          </w:tcPr>
          <w:p>
            <w:r>
              <w:rPr>
                <w:rFonts w:ascii="Calibri" w:hAnsi="Calibri"/>
                <w:b/>
                <w:color w:val="FFFFFF"/>
                <w:sz w:val="20"/>
              </w:rPr>
              <w:t>Tabelle</w:t>
            </w:r>
          </w:p>
        </w:tc>
        <w:tc>
          <w:tcPr>
            <w:tcW w:type="dxa" w:w="4561"/>
            <w:shd w:val="clear" w:color="auto" w:fill="6366F1"/>
          </w:tcPr>
          <w:p>
            <w:r>
              <w:rPr>
                <w:rFonts w:ascii="Calibri" w:hAnsi="Calibri"/>
                <w:b/>
                <w:color w:val="FFFFFF"/>
                <w:sz w:val="20"/>
              </w:rPr>
              <w:t>RLS-Policy</w:t>
            </w:r>
          </w:p>
        </w:tc>
      </w:tr>
      <w:tr>
        <w:tc>
          <w:tcPr>
            <w:tcW w:type="dxa" w:w="4561"/>
            <w:shd w:val="clear" w:color="auto" w:fill="F5F3FF"/>
          </w:tcPr>
          <w:p>
            <w:r>
              <w:rPr>
                <w:rFonts w:ascii="Calibri" w:hAnsi="Calibri"/>
                <w:color w:val="111827"/>
                <w:sz w:val="20"/>
              </w:rPr>
              <w:t>profiles</w:t>
            </w:r>
          </w:p>
        </w:tc>
        <w:tc>
          <w:tcPr>
            <w:tcW w:type="dxa" w:w="4561"/>
            <w:shd w:val="clear" w:color="auto" w:fill="F5F3FF"/>
          </w:tcPr>
          <w:p>
            <w:r>
              <w:rPr>
                <w:rFonts w:ascii="Calibri" w:hAnsi="Calibri"/>
                <w:color w:val="111827"/>
                <w:sz w:val="20"/>
              </w:rPr>
              <w:t>auth.uid() = id – SELECT, UPDATE, DELETE nur eigenes Profil</w:t>
            </w:r>
          </w:p>
        </w:tc>
      </w:tr>
      <w:tr>
        <w:tc>
          <w:tcPr>
            <w:tcW w:type="dxa" w:w="4561"/>
            <w:shd w:val="clear" w:color="auto" w:fill="FFFFFF"/>
          </w:tcPr>
          <w:p>
            <w:r>
              <w:rPr>
                <w:rFonts w:ascii="Calibri" w:hAnsi="Calibri"/>
                <w:color w:val="111827"/>
                <w:sz w:val="20"/>
              </w:rPr>
              <w:t>scan_results</w:t>
            </w:r>
          </w:p>
        </w:tc>
        <w:tc>
          <w:tcPr>
            <w:tcW w:type="dxa" w:w="4561"/>
            <w:shd w:val="clear" w:color="auto" w:fill="FFFFFF"/>
          </w:tcPr>
          <w:p>
            <w:r>
              <w:rPr>
                <w:rFonts w:ascii="Calibri" w:hAnsi="Calibri"/>
                <w:color w:val="111827"/>
                <w:sz w:val="20"/>
              </w:rPr>
              <w:t>auth.uid() = user_id – alle Operationen nur eigene Daten</w:t>
            </w:r>
          </w:p>
        </w:tc>
      </w:tr>
      <w:tr>
        <w:tc>
          <w:tcPr>
            <w:tcW w:type="dxa" w:w="4561"/>
            <w:shd w:val="clear" w:color="auto" w:fill="F5F3FF"/>
          </w:tcPr>
          <w:p>
            <w:r>
              <w:rPr>
                <w:rFonts w:ascii="Calibri" w:hAnsi="Calibri"/>
                <w:color w:val="111827"/>
                <w:sz w:val="20"/>
              </w:rPr>
              <w:t>breach_alerts</w:t>
            </w:r>
          </w:p>
        </w:tc>
        <w:tc>
          <w:tcPr>
            <w:tcW w:type="dxa" w:w="4561"/>
            <w:shd w:val="clear" w:color="auto" w:fill="F5F3FF"/>
          </w:tcPr>
          <w:p>
            <w:r>
              <w:rPr>
                <w:rFonts w:ascii="Calibri" w:hAnsi="Calibri"/>
                <w:color w:val="111827"/>
                <w:sz w:val="20"/>
              </w:rPr>
              <w:t>auth.uid() = user_id – alle Operationen nur eigene Daten</w:t>
            </w:r>
          </w:p>
        </w:tc>
      </w:tr>
      <w:tr>
        <w:tc>
          <w:tcPr>
            <w:tcW w:type="dxa" w:w="4561"/>
            <w:shd w:val="clear" w:color="auto" w:fill="FFFFFF"/>
          </w:tcPr>
          <w:p>
            <w:r>
              <w:rPr>
                <w:rFonts w:ascii="Calibri" w:hAnsi="Calibri"/>
                <w:color w:val="111827"/>
                <w:sz w:val="20"/>
              </w:rPr>
              <w:t>digital_will</w:t>
            </w:r>
          </w:p>
        </w:tc>
        <w:tc>
          <w:tcPr>
            <w:tcW w:type="dxa" w:w="4561"/>
            <w:shd w:val="clear" w:color="auto" w:fill="FFFFFF"/>
          </w:tcPr>
          <w:p>
            <w:r>
              <w:rPr>
                <w:rFonts w:ascii="Calibri" w:hAnsi="Calibri"/>
                <w:color w:val="111827"/>
                <w:sz w:val="20"/>
              </w:rPr>
              <w:t>auth.uid() = user_id – alle Operationen nur eigenes Will</w:t>
            </w:r>
          </w:p>
        </w:tc>
      </w:tr>
      <w:tr>
        <w:tc>
          <w:tcPr>
            <w:tcW w:type="dxa" w:w="4561"/>
            <w:shd w:val="clear" w:color="auto" w:fill="F5F3FF"/>
          </w:tcPr>
          <w:p>
            <w:r>
              <w:rPr>
                <w:rFonts w:ascii="Calibri" w:hAnsi="Calibri"/>
                <w:color w:val="111827"/>
                <w:sz w:val="20"/>
              </w:rPr>
              <w:t>digital_will_items</w:t>
            </w:r>
          </w:p>
        </w:tc>
        <w:tc>
          <w:tcPr>
            <w:tcW w:type="dxa" w:w="4561"/>
            <w:shd w:val="clear" w:color="auto" w:fill="F5F3FF"/>
          </w:tcPr>
          <w:p>
            <w:r>
              <w:rPr>
                <w:rFonts w:ascii="Calibri" w:hAnsi="Calibri"/>
                <w:color w:val="111827"/>
                <w:sz w:val="20"/>
              </w:rPr>
              <w:t>auth.uid() = user_id – alle Operationen nur eigene Items</w:t>
            </w:r>
          </w:p>
        </w:tc>
      </w:tr>
    </w:tbl>
    <w:p>
      <w:pPr>
        <w:spacing w:after="120"/>
      </w:pPr>
    </w:p>
    <w:p>
      <w:pPr>
        <w:pStyle w:val="Heading2"/>
        <w:spacing w:before="320" w:after="120"/>
      </w:pPr>
      <w:r>
        <w:rPr>
          <w:color w:val="1E1B4B"/>
        </w:rPr>
        <w:t>13.4  DSGVO-Konformität</w:t>
      </w:r>
    </w:p>
    <w:p>
      <w:pPr>
        <w:pStyle w:val="ListBullet"/>
        <w:spacing w:after="60"/>
        <w:ind w:left="360"/>
      </w:pPr>
      <w:r>
        <w:rPr>
          <w:rFonts w:ascii="Calibri" w:hAnsi="Calibri"/>
          <w:sz w:val="22"/>
        </w:rPr>
        <w:t>Datenspeicherung in der EU (West EU Ireland / Frankfurt)</w:t>
      </w:r>
    </w:p>
    <w:p>
      <w:pPr>
        <w:pStyle w:val="ListBullet"/>
        <w:spacing w:after="60"/>
        <w:ind w:left="360"/>
      </w:pPr>
      <w:r>
        <w:rPr>
          <w:rFonts w:ascii="Calibri" w:hAnsi="Calibri"/>
          <w:sz w:val="22"/>
        </w:rPr>
        <w:t>Vollständiger Daten-Export (Recht auf Datenportabilität – Art. 20 DSGVO)</w:t>
      </w:r>
    </w:p>
    <w:p>
      <w:pPr>
        <w:pStyle w:val="ListBullet"/>
        <w:spacing w:after="60"/>
        <w:ind w:left="360"/>
      </w:pPr>
      <w:r>
        <w:rPr>
          <w:rFonts w:ascii="Calibri" w:hAnsi="Calibri"/>
          <w:sz w:val="22"/>
        </w:rPr>
        <w:t>Vollständige Konto-Löschung (Recht auf Vergessenwerden – Art. 17 DSGVO)</w:t>
      </w:r>
    </w:p>
    <w:p>
      <w:pPr>
        <w:pStyle w:val="ListBullet"/>
        <w:spacing w:after="60"/>
        <w:ind w:left="360"/>
      </w:pPr>
      <w:r>
        <w:rPr>
          <w:rFonts w:ascii="Calibri" w:hAnsi="Calibri"/>
          <w:sz w:val="22"/>
        </w:rPr>
        <w:t>Cookie-Banner mit Zustimmung vor Tracking</w:t>
      </w:r>
    </w:p>
    <w:p>
      <w:pPr>
        <w:pStyle w:val="ListBullet"/>
        <w:spacing w:after="60"/>
        <w:ind w:left="360"/>
      </w:pPr>
      <w:r>
        <w:rPr>
          <w:rFonts w:ascii="Calibri" w:hAnsi="Calibri"/>
          <w:sz w:val="22"/>
        </w:rPr>
        <w:t>Datenschutzerklärung, Impressum und AGB verlinkt im Footer</w:t>
      </w:r>
    </w:p>
    <w:p>
      <w:pPr>
        <w:pStyle w:val="ListBullet"/>
        <w:spacing w:after="60"/>
        <w:ind w:left="360"/>
      </w:pPr>
      <w:r>
        <w:rPr>
          <w:rFonts w:ascii="Calibri" w:hAnsi="Calibri"/>
          <w:sz w:val="22"/>
        </w:rPr>
        <w:t>Betreiber: WAMOCON GmbH, HRB 123666, Eschborn, Deutschland</w:t>
      </w:r>
    </w:p>
    <w:p>
      <w:r>
        <w:br w:type="page"/>
      </w:r>
    </w:p>
    <w:p>
      <w:pPr>
        <w:pStyle w:val="Heading1"/>
        <w:spacing w:before="320" w:after="120"/>
      </w:pPr>
      <w:r>
        <w:rPr>
          <w:color w:val="6366F1"/>
        </w:rPr>
        <w:t>14  Technische Architektur</w:t>
      </w:r>
    </w:p>
    <w:p>
      <w:pPr>
        <w:pStyle w:val="Heading2"/>
        <w:spacing w:before="320" w:after="120"/>
      </w:pPr>
      <w:r>
        <w:rPr>
          <w:color w:val="1E1B4B"/>
        </w:rPr>
        <w:t>14.1  Tech-Stack</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Schicht</w:t>
            </w:r>
          </w:p>
        </w:tc>
        <w:tc>
          <w:tcPr>
            <w:tcW w:type="dxa" w:w="3041"/>
            <w:shd w:val="clear" w:color="auto" w:fill="6366F1"/>
          </w:tcPr>
          <w:p>
            <w:r>
              <w:rPr>
                <w:rFonts w:ascii="Calibri" w:hAnsi="Calibri"/>
                <w:b/>
                <w:color w:val="FFFFFF"/>
                <w:sz w:val="20"/>
              </w:rPr>
              <w:t>Technologie</w:t>
            </w:r>
          </w:p>
        </w:tc>
        <w:tc>
          <w:tcPr>
            <w:tcW w:type="dxa" w:w="3041"/>
            <w:shd w:val="clear" w:color="auto" w:fill="6366F1"/>
          </w:tcPr>
          <w:p>
            <w:r>
              <w:rPr>
                <w:rFonts w:ascii="Calibri" w:hAnsi="Calibri"/>
                <w:b/>
                <w:color w:val="FFFFFF"/>
                <w:sz w:val="20"/>
              </w:rPr>
              <w:t>Version / Details</w:t>
            </w:r>
          </w:p>
        </w:tc>
      </w:tr>
      <w:tr>
        <w:tc>
          <w:tcPr>
            <w:tcW w:type="dxa" w:w="3041"/>
            <w:shd w:val="clear" w:color="auto" w:fill="F5F3FF"/>
          </w:tcPr>
          <w:p>
            <w:r>
              <w:rPr>
                <w:rFonts w:ascii="Calibri" w:hAnsi="Calibri"/>
                <w:color w:val="111827"/>
                <w:sz w:val="20"/>
              </w:rPr>
              <w:t>Frontend Framework</w:t>
            </w:r>
          </w:p>
        </w:tc>
        <w:tc>
          <w:tcPr>
            <w:tcW w:type="dxa" w:w="3041"/>
            <w:shd w:val="clear" w:color="auto" w:fill="F5F3FF"/>
          </w:tcPr>
          <w:p>
            <w:r>
              <w:rPr>
                <w:rFonts w:ascii="Calibri" w:hAnsi="Calibri"/>
                <w:color w:val="111827"/>
                <w:sz w:val="20"/>
              </w:rPr>
              <w:t>Next.js (App Router)</w:t>
            </w:r>
          </w:p>
        </w:tc>
        <w:tc>
          <w:tcPr>
            <w:tcW w:type="dxa" w:w="3041"/>
            <w:shd w:val="clear" w:color="auto" w:fill="F5F3FF"/>
          </w:tcPr>
          <w:p>
            <w:r>
              <w:rPr>
                <w:rFonts w:ascii="Calibri" w:hAnsi="Calibri"/>
                <w:color w:val="111827"/>
                <w:sz w:val="20"/>
              </w:rPr>
              <w:t>16.x – Server Components, Streaming</w:t>
            </w:r>
          </w:p>
        </w:tc>
      </w:tr>
      <w:tr>
        <w:tc>
          <w:tcPr>
            <w:tcW w:type="dxa" w:w="3041"/>
            <w:shd w:val="clear" w:color="auto" w:fill="FFFFFF"/>
          </w:tcPr>
          <w:p>
            <w:r>
              <w:rPr>
                <w:rFonts w:ascii="Calibri" w:hAnsi="Calibri"/>
                <w:color w:val="111827"/>
                <w:sz w:val="20"/>
              </w:rPr>
              <w:t>Sprache</w:t>
            </w:r>
          </w:p>
        </w:tc>
        <w:tc>
          <w:tcPr>
            <w:tcW w:type="dxa" w:w="3041"/>
            <w:shd w:val="clear" w:color="auto" w:fill="FFFFFF"/>
          </w:tcPr>
          <w:p>
            <w:r>
              <w:rPr>
                <w:rFonts w:ascii="Calibri" w:hAnsi="Calibri"/>
                <w:color w:val="111827"/>
                <w:sz w:val="20"/>
              </w:rPr>
              <w:t>TypeScript</w:t>
            </w:r>
          </w:p>
        </w:tc>
        <w:tc>
          <w:tcPr>
            <w:tcW w:type="dxa" w:w="3041"/>
            <w:shd w:val="clear" w:color="auto" w:fill="FFFFFF"/>
          </w:tcPr>
          <w:p>
            <w:r>
              <w:rPr>
                <w:rFonts w:ascii="Calibri" w:hAnsi="Calibri"/>
                <w:color w:val="111827"/>
                <w:sz w:val="20"/>
              </w:rPr>
              <w:t>Strict Mode</w:t>
            </w:r>
          </w:p>
        </w:tc>
      </w:tr>
      <w:tr>
        <w:tc>
          <w:tcPr>
            <w:tcW w:type="dxa" w:w="3041"/>
            <w:shd w:val="clear" w:color="auto" w:fill="F5F3FF"/>
          </w:tcPr>
          <w:p>
            <w:r>
              <w:rPr>
                <w:rFonts w:ascii="Calibri" w:hAnsi="Calibri"/>
                <w:color w:val="111827"/>
                <w:sz w:val="20"/>
              </w:rPr>
              <w:t>Styling</w:t>
            </w:r>
          </w:p>
        </w:tc>
        <w:tc>
          <w:tcPr>
            <w:tcW w:type="dxa" w:w="3041"/>
            <w:shd w:val="clear" w:color="auto" w:fill="F5F3FF"/>
          </w:tcPr>
          <w:p>
            <w:r>
              <w:rPr>
                <w:rFonts w:ascii="Calibri" w:hAnsi="Calibri"/>
                <w:color w:val="111827"/>
                <w:sz w:val="20"/>
              </w:rPr>
              <w:t>Tailwind CSS v4</w:t>
            </w:r>
          </w:p>
        </w:tc>
        <w:tc>
          <w:tcPr>
            <w:tcW w:type="dxa" w:w="3041"/>
            <w:shd w:val="clear" w:color="auto" w:fill="F5F3FF"/>
          </w:tcPr>
          <w:p>
            <w:r>
              <w:rPr>
                <w:rFonts w:ascii="Calibri" w:hAnsi="Calibri"/>
                <w:color w:val="111827"/>
                <w:sz w:val="20"/>
              </w:rPr>
              <w:t>Utility-First, Dark Mode</w:t>
            </w:r>
          </w:p>
        </w:tc>
      </w:tr>
      <w:tr>
        <w:tc>
          <w:tcPr>
            <w:tcW w:type="dxa" w:w="3041"/>
            <w:shd w:val="clear" w:color="auto" w:fill="FFFFFF"/>
          </w:tcPr>
          <w:p>
            <w:r>
              <w:rPr>
                <w:rFonts w:ascii="Calibri" w:hAnsi="Calibri"/>
                <w:color w:val="111827"/>
                <w:sz w:val="20"/>
              </w:rPr>
              <w:t>Datenbank</w:t>
            </w:r>
          </w:p>
        </w:tc>
        <w:tc>
          <w:tcPr>
            <w:tcW w:type="dxa" w:w="3041"/>
            <w:shd w:val="clear" w:color="auto" w:fill="FFFFFF"/>
          </w:tcPr>
          <w:p>
            <w:r>
              <w:rPr>
                <w:rFonts w:ascii="Calibri" w:hAnsi="Calibri"/>
                <w:color w:val="111827"/>
                <w:sz w:val="20"/>
              </w:rPr>
              <w:t>Supabase (PostgreSQL)</w:t>
            </w:r>
          </w:p>
        </w:tc>
        <w:tc>
          <w:tcPr>
            <w:tcW w:type="dxa" w:w="3041"/>
            <w:shd w:val="clear" w:color="auto" w:fill="FFFFFF"/>
          </w:tcPr>
          <w:p>
            <w:r>
              <w:rPr>
                <w:rFonts w:ascii="Calibri" w:hAnsi="Calibri"/>
                <w:color w:val="111827"/>
                <w:sz w:val="20"/>
              </w:rPr>
              <w:t>Row Level Security, Auth, Real-time</w:t>
            </w:r>
          </w:p>
        </w:tc>
      </w:tr>
      <w:tr>
        <w:tc>
          <w:tcPr>
            <w:tcW w:type="dxa" w:w="3041"/>
            <w:shd w:val="clear" w:color="auto" w:fill="F5F3FF"/>
          </w:tcPr>
          <w:p>
            <w:r>
              <w:rPr>
                <w:rFonts w:ascii="Calibri" w:hAnsi="Calibri"/>
                <w:color w:val="111827"/>
                <w:sz w:val="20"/>
              </w:rPr>
              <w:t>Auth</w:t>
            </w:r>
          </w:p>
        </w:tc>
        <w:tc>
          <w:tcPr>
            <w:tcW w:type="dxa" w:w="3041"/>
            <w:shd w:val="clear" w:color="auto" w:fill="F5F3FF"/>
          </w:tcPr>
          <w:p>
            <w:r>
              <w:rPr>
                <w:rFonts w:ascii="Calibri" w:hAnsi="Calibri"/>
                <w:color w:val="111827"/>
                <w:sz w:val="20"/>
              </w:rPr>
              <w:t>Supabase Auth</w:t>
            </w:r>
          </w:p>
        </w:tc>
        <w:tc>
          <w:tcPr>
            <w:tcW w:type="dxa" w:w="3041"/>
            <w:shd w:val="clear" w:color="auto" w:fill="F5F3FF"/>
          </w:tcPr>
          <w:p>
            <w:r>
              <w:rPr>
                <w:rFonts w:ascii="Calibri" w:hAnsi="Calibri"/>
                <w:color w:val="111827"/>
                <w:sz w:val="20"/>
              </w:rPr>
              <w:t>OAuth 2.0, PKCE, JWT, Magic Links</w:t>
            </w:r>
          </w:p>
        </w:tc>
      </w:tr>
      <w:tr>
        <w:tc>
          <w:tcPr>
            <w:tcW w:type="dxa" w:w="3041"/>
            <w:shd w:val="clear" w:color="auto" w:fill="FFFFFF"/>
          </w:tcPr>
          <w:p>
            <w:r>
              <w:rPr>
                <w:rFonts w:ascii="Calibri" w:hAnsi="Calibri"/>
                <w:color w:val="111827"/>
                <w:sz w:val="20"/>
              </w:rPr>
              <w:t>Deployment</w:t>
            </w:r>
          </w:p>
        </w:tc>
        <w:tc>
          <w:tcPr>
            <w:tcW w:type="dxa" w:w="3041"/>
            <w:shd w:val="clear" w:color="auto" w:fill="FFFFFF"/>
          </w:tcPr>
          <w:p>
            <w:r>
              <w:rPr>
                <w:rFonts w:ascii="Calibri" w:hAnsi="Calibri"/>
                <w:color w:val="111827"/>
                <w:sz w:val="20"/>
              </w:rPr>
              <w:t>Vercel</w:t>
            </w:r>
          </w:p>
        </w:tc>
        <w:tc>
          <w:tcPr>
            <w:tcW w:type="dxa" w:w="3041"/>
            <w:shd w:val="clear" w:color="auto" w:fill="FFFFFF"/>
          </w:tcPr>
          <w:p>
            <w:r>
              <w:rPr>
                <w:rFonts w:ascii="Calibri" w:hAnsi="Calibri"/>
                <w:color w:val="111827"/>
                <w:sz w:val="20"/>
              </w:rPr>
              <w:t>Edge Network, CI/CD via GitHub Actions</w:t>
            </w:r>
          </w:p>
        </w:tc>
      </w:tr>
      <w:tr>
        <w:tc>
          <w:tcPr>
            <w:tcW w:type="dxa" w:w="3041"/>
            <w:shd w:val="clear" w:color="auto" w:fill="F5F3FF"/>
          </w:tcPr>
          <w:p>
            <w:r>
              <w:rPr>
                <w:rFonts w:ascii="Calibri" w:hAnsi="Calibri"/>
                <w:color w:val="111827"/>
                <w:sz w:val="20"/>
              </w:rPr>
              <w:t>i18n</w:t>
            </w:r>
          </w:p>
        </w:tc>
        <w:tc>
          <w:tcPr>
            <w:tcW w:type="dxa" w:w="3041"/>
            <w:shd w:val="clear" w:color="auto" w:fill="F5F3FF"/>
          </w:tcPr>
          <w:p>
            <w:r>
              <w:rPr>
                <w:rFonts w:ascii="Calibri" w:hAnsi="Calibri"/>
                <w:color w:val="111827"/>
                <w:sz w:val="20"/>
              </w:rPr>
              <w:t>next-intl</w:t>
            </w:r>
          </w:p>
        </w:tc>
        <w:tc>
          <w:tcPr>
            <w:tcW w:type="dxa" w:w="3041"/>
            <w:shd w:val="clear" w:color="auto" w:fill="F5F3FF"/>
          </w:tcPr>
          <w:p>
            <w:r>
              <w:rPr>
                <w:rFonts w:ascii="Calibri" w:hAnsi="Calibri"/>
                <w:color w:val="111827"/>
                <w:sz w:val="20"/>
              </w:rPr>
              <w:t>App Router Optimiert, DE + EN</w:t>
            </w:r>
          </w:p>
        </w:tc>
      </w:tr>
      <w:tr>
        <w:tc>
          <w:tcPr>
            <w:tcW w:type="dxa" w:w="3041"/>
            <w:shd w:val="clear" w:color="auto" w:fill="FFFFFF"/>
          </w:tcPr>
          <w:p>
            <w:r>
              <w:rPr>
                <w:rFonts w:ascii="Calibri" w:hAnsi="Calibri"/>
                <w:color w:val="111827"/>
                <w:sz w:val="20"/>
              </w:rPr>
              <w:t>Visualisierung</w:t>
            </w:r>
          </w:p>
        </w:tc>
        <w:tc>
          <w:tcPr>
            <w:tcW w:type="dxa" w:w="3041"/>
            <w:shd w:val="clear" w:color="auto" w:fill="FFFFFF"/>
          </w:tcPr>
          <w:p>
            <w:r>
              <w:rPr>
                <w:rFonts w:ascii="Calibri" w:hAnsi="Calibri"/>
                <w:color w:val="111827"/>
                <w:sz w:val="20"/>
              </w:rPr>
              <w:t>D3.js</w:t>
            </w:r>
          </w:p>
        </w:tc>
        <w:tc>
          <w:tcPr>
            <w:tcW w:type="dxa" w:w="3041"/>
            <w:shd w:val="clear" w:color="auto" w:fill="FFFFFF"/>
          </w:tcPr>
          <w:p>
            <w:r>
              <w:rPr>
                <w:rFonts w:ascii="Calibri" w:hAnsi="Calibri"/>
                <w:color w:val="111827"/>
                <w:sz w:val="20"/>
              </w:rPr>
              <w:t>Force-Directed Graph</w:t>
            </w:r>
          </w:p>
        </w:tc>
      </w:tr>
      <w:tr>
        <w:tc>
          <w:tcPr>
            <w:tcW w:type="dxa" w:w="3041"/>
            <w:shd w:val="clear" w:color="auto" w:fill="F5F3FF"/>
          </w:tcPr>
          <w:p>
            <w:r>
              <w:rPr>
                <w:rFonts w:ascii="Calibri" w:hAnsi="Calibri"/>
                <w:color w:val="111827"/>
                <w:sz w:val="20"/>
              </w:rPr>
              <w:t>IMAP-Client</w:t>
            </w:r>
          </w:p>
        </w:tc>
        <w:tc>
          <w:tcPr>
            <w:tcW w:type="dxa" w:w="3041"/>
            <w:shd w:val="clear" w:color="auto" w:fill="F5F3FF"/>
          </w:tcPr>
          <w:p>
            <w:r>
              <w:rPr>
                <w:rFonts w:ascii="Calibri" w:hAnsi="Calibri"/>
                <w:color w:val="111827"/>
                <w:sz w:val="20"/>
              </w:rPr>
              <w:t>imapflow</w:t>
            </w:r>
          </w:p>
        </w:tc>
        <w:tc>
          <w:tcPr>
            <w:tcW w:type="dxa" w:w="3041"/>
            <w:shd w:val="clear" w:color="auto" w:fill="F5F3FF"/>
          </w:tcPr>
          <w:p>
            <w:r>
              <w:rPr>
                <w:rFonts w:ascii="Calibri" w:hAnsi="Calibri"/>
                <w:color w:val="111827"/>
                <w:sz w:val="20"/>
              </w:rPr>
              <w:t>Node.js IMAP Library</w:t>
            </w:r>
          </w:p>
        </w:tc>
      </w:tr>
    </w:tbl>
    <w:p>
      <w:pPr>
        <w:spacing w:after="120"/>
      </w:pPr>
    </w:p>
    <w:p>
      <w:pPr>
        <w:pStyle w:val="Heading2"/>
        <w:spacing w:before="320" w:after="120"/>
      </w:pPr>
      <w:r>
        <w:rPr>
          <w:color w:val="1E1B4B"/>
        </w:rPr>
        <w:t>14.2  Datenbankschema</w:t>
      </w:r>
    </w:p>
    <w:p>
      <w:pPr>
        <w:spacing w:after="120"/>
      </w:pPr>
      <w:r>
        <w:rPr>
          <w:rFonts w:ascii="Calibri" w:hAnsi="Calibri"/>
          <w:b w:val="0"/>
          <w:i w:val="0"/>
          <w:sz w:val="22"/>
        </w:rPr>
        <w:t>Die Datenbank besteht aus 5 Tabellen im public-Schema:</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Tabelle</w:t>
            </w:r>
          </w:p>
        </w:tc>
        <w:tc>
          <w:tcPr>
            <w:tcW w:type="dxa" w:w="3041"/>
            <w:shd w:val="clear" w:color="auto" w:fill="6366F1"/>
          </w:tcPr>
          <w:p>
            <w:r>
              <w:rPr>
                <w:rFonts w:ascii="Calibri" w:hAnsi="Calibri"/>
                <w:b/>
                <w:color w:val="FFFFFF"/>
                <w:sz w:val="20"/>
              </w:rPr>
              <w:t>Primärschlüssel</w:t>
            </w:r>
          </w:p>
        </w:tc>
        <w:tc>
          <w:tcPr>
            <w:tcW w:type="dxa" w:w="3041"/>
            <w:shd w:val="clear" w:color="auto" w:fill="6366F1"/>
          </w:tcPr>
          <w:p>
            <w:r>
              <w:rPr>
                <w:rFonts w:ascii="Calibri" w:hAnsi="Calibri"/>
                <w:b/>
                <w:color w:val="FFFFFF"/>
                <w:sz w:val="20"/>
              </w:rPr>
              <w:t>Wichtige Felder</w:t>
            </w:r>
          </w:p>
        </w:tc>
      </w:tr>
      <w:tr>
        <w:tc>
          <w:tcPr>
            <w:tcW w:type="dxa" w:w="3041"/>
            <w:shd w:val="clear" w:color="auto" w:fill="F5F3FF"/>
          </w:tcPr>
          <w:p>
            <w:r>
              <w:rPr>
                <w:rFonts w:ascii="Calibri" w:hAnsi="Calibri"/>
                <w:color w:val="111827"/>
                <w:sz w:val="20"/>
              </w:rPr>
              <w:t>profiles</w:t>
            </w:r>
          </w:p>
        </w:tc>
        <w:tc>
          <w:tcPr>
            <w:tcW w:type="dxa" w:w="3041"/>
            <w:shd w:val="clear" w:color="auto" w:fill="F5F3FF"/>
          </w:tcPr>
          <w:p>
            <w:r>
              <w:rPr>
                <w:rFonts w:ascii="Calibri" w:hAnsi="Calibri"/>
                <w:color w:val="111827"/>
                <w:sz w:val="20"/>
              </w:rPr>
              <w:t>id (uuid, FK auth.users)</w:t>
            </w:r>
          </w:p>
        </w:tc>
        <w:tc>
          <w:tcPr>
            <w:tcW w:type="dxa" w:w="3041"/>
            <w:shd w:val="clear" w:color="auto" w:fill="F5F3FF"/>
          </w:tcPr>
          <w:p>
            <w:r>
              <w:rPr>
                <w:rFonts w:ascii="Calibri" w:hAnsi="Calibri"/>
                <w:color w:val="111827"/>
                <w:sz w:val="20"/>
              </w:rPr>
              <w:t>email, full_name, plan, language, last_scan_at, notify_breach</w:t>
            </w:r>
          </w:p>
        </w:tc>
      </w:tr>
      <w:tr>
        <w:tc>
          <w:tcPr>
            <w:tcW w:type="dxa" w:w="3041"/>
            <w:shd w:val="clear" w:color="auto" w:fill="FFFFFF"/>
          </w:tcPr>
          <w:p>
            <w:r>
              <w:rPr>
                <w:rFonts w:ascii="Calibri" w:hAnsi="Calibri"/>
                <w:color w:val="111827"/>
                <w:sz w:val="20"/>
              </w:rPr>
              <w:t>scan_results</w:t>
            </w:r>
          </w:p>
        </w:tc>
        <w:tc>
          <w:tcPr>
            <w:tcW w:type="dxa" w:w="3041"/>
            <w:shd w:val="clear" w:color="auto" w:fill="FFFFFF"/>
          </w:tcPr>
          <w:p>
            <w:r>
              <w:rPr>
                <w:rFonts w:ascii="Calibri" w:hAnsi="Calibri"/>
                <w:color w:val="111827"/>
                <w:sz w:val="20"/>
              </w:rPr>
              <w:t>id (uuid)</w:t>
            </w:r>
          </w:p>
        </w:tc>
        <w:tc>
          <w:tcPr>
            <w:tcW w:type="dxa" w:w="3041"/>
            <w:shd w:val="clear" w:color="auto" w:fill="FFFFFF"/>
          </w:tcPr>
          <w:p>
            <w:r>
              <w:rPr>
                <w:rFonts w:ascii="Calibri" w:hAnsi="Calibri"/>
                <w:color w:val="111827"/>
                <w:sz w:val="20"/>
              </w:rPr>
              <w:t>user_id, service_name, service_domain, breach_status, deletion_status, detection_source, evidence_types, evidence_count</w:t>
            </w:r>
          </w:p>
        </w:tc>
      </w:tr>
      <w:tr>
        <w:tc>
          <w:tcPr>
            <w:tcW w:type="dxa" w:w="3041"/>
            <w:shd w:val="clear" w:color="auto" w:fill="F5F3FF"/>
          </w:tcPr>
          <w:p>
            <w:r>
              <w:rPr>
                <w:rFonts w:ascii="Calibri" w:hAnsi="Calibri"/>
                <w:color w:val="111827"/>
                <w:sz w:val="20"/>
              </w:rPr>
              <w:t>breach_alerts</w:t>
            </w:r>
          </w:p>
        </w:tc>
        <w:tc>
          <w:tcPr>
            <w:tcW w:type="dxa" w:w="3041"/>
            <w:shd w:val="clear" w:color="auto" w:fill="F5F3FF"/>
          </w:tcPr>
          <w:p>
            <w:r>
              <w:rPr>
                <w:rFonts w:ascii="Calibri" w:hAnsi="Calibri"/>
                <w:color w:val="111827"/>
                <w:sz w:val="20"/>
              </w:rPr>
              <w:t>id (uuid)</w:t>
            </w:r>
          </w:p>
        </w:tc>
        <w:tc>
          <w:tcPr>
            <w:tcW w:type="dxa" w:w="3041"/>
            <w:shd w:val="clear" w:color="auto" w:fill="F5F3FF"/>
          </w:tcPr>
          <w:p>
            <w:r>
              <w:rPr>
                <w:rFonts w:ascii="Calibri" w:hAnsi="Calibri"/>
                <w:color w:val="111827"/>
                <w:sz w:val="20"/>
              </w:rPr>
              <w:t>user_id, service_name, breach_name, data_types, is_read</w:t>
            </w:r>
          </w:p>
        </w:tc>
      </w:tr>
      <w:tr>
        <w:tc>
          <w:tcPr>
            <w:tcW w:type="dxa" w:w="3041"/>
            <w:shd w:val="clear" w:color="auto" w:fill="FFFFFF"/>
          </w:tcPr>
          <w:p>
            <w:r>
              <w:rPr>
                <w:rFonts w:ascii="Calibri" w:hAnsi="Calibri"/>
                <w:color w:val="111827"/>
                <w:sz w:val="20"/>
              </w:rPr>
              <w:t>digital_will</w:t>
            </w:r>
          </w:p>
        </w:tc>
        <w:tc>
          <w:tcPr>
            <w:tcW w:type="dxa" w:w="3041"/>
            <w:shd w:val="clear" w:color="auto" w:fill="FFFFFF"/>
          </w:tcPr>
          <w:p>
            <w:r>
              <w:rPr>
                <w:rFonts w:ascii="Calibri" w:hAnsi="Calibri"/>
                <w:color w:val="111827"/>
                <w:sz w:val="20"/>
              </w:rPr>
              <w:t>id (uuid), UNIQUE user_id</w:t>
            </w:r>
          </w:p>
        </w:tc>
        <w:tc>
          <w:tcPr>
            <w:tcW w:type="dxa" w:w="3041"/>
            <w:shd w:val="clear" w:color="auto" w:fill="FFFFFF"/>
          </w:tcPr>
          <w:p>
            <w:r>
              <w:rPr>
                <w:rFonts w:ascii="Calibri" w:hAnsi="Calibri"/>
                <w:color w:val="111827"/>
                <w:sz w:val="20"/>
              </w:rPr>
              <w:t>is_active, inactivity_months, global_action, transfer_email</w:t>
            </w:r>
          </w:p>
        </w:tc>
      </w:tr>
      <w:tr>
        <w:tc>
          <w:tcPr>
            <w:tcW w:type="dxa" w:w="3041"/>
            <w:shd w:val="clear" w:color="auto" w:fill="F5F3FF"/>
          </w:tcPr>
          <w:p>
            <w:r>
              <w:rPr>
                <w:rFonts w:ascii="Calibri" w:hAnsi="Calibri"/>
                <w:color w:val="111827"/>
                <w:sz w:val="20"/>
              </w:rPr>
              <w:t>digital_will_items</w:t>
            </w:r>
          </w:p>
        </w:tc>
        <w:tc>
          <w:tcPr>
            <w:tcW w:type="dxa" w:w="3041"/>
            <w:shd w:val="clear" w:color="auto" w:fill="F5F3FF"/>
          </w:tcPr>
          <w:p>
            <w:r>
              <w:rPr>
                <w:rFonts w:ascii="Calibri" w:hAnsi="Calibri"/>
                <w:color w:val="111827"/>
                <w:sz w:val="20"/>
              </w:rPr>
              <w:t>id (uuid), UNIQUE (user_id, scan_result_id)</w:t>
            </w:r>
          </w:p>
        </w:tc>
        <w:tc>
          <w:tcPr>
            <w:tcW w:type="dxa" w:w="3041"/>
            <w:shd w:val="clear" w:color="auto" w:fill="F5F3FF"/>
          </w:tcPr>
          <w:p>
            <w:r>
              <w:rPr>
                <w:rFonts w:ascii="Calibri" w:hAnsi="Calibri"/>
                <w:color w:val="111827"/>
                <w:sz w:val="20"/>
              </w:rPr>
              <w:t>action, transfer_email, note</w:t>
            </w:r>
          </w:p>
        </w:tc>
      </w:tr>
    </w:tbl>
    <w:p>
      <w:pPr>
        <w:spacing w:after="120"/>
      </w:pPr>
    </w:p>
    <w:p>
      <w:pPr>
        <w:pStyle w:val="Heading2"/>
        <w:spacing w:before="320" w:after="120"/>
      </w:pPr>
      <w:r>
        <w:rPr>
          <w:color w:val="1E1B4B"/>
        </w:rPr>
        <w:t>14.3  API-Routen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Route</w:t>
            </w:r>
          </w:p>
        </w:tc>
        <w:tc>
          <w:tcPr>
            <w:tcW w:type="dxa" w:w="3041"/>
            <w:shd w:val="clear" w:color="auto" w:fill="6366F1"/>
          </w:tcPr>
          <w:p>
            <w:r>
              <w:rPr>
                <w:rFonts w:ascii="Calibri" w:hAnsi="Calibri"/>
                <w:b/>
                <w:color w:val="FFFFFF"/>
                <w:sz w:val="20"/>
              </w:rPr>
              <w:t>Methode</w:t>
            </w:r>
          </w:p>
        </w:tc>
        <w:tc>
          <w:tcPr>
            <w:tcW w:type="dxa" w:w="3041"/>
            <w:shd w:val="clear" w:color="auto" w:fill="6366F1"/>
          </w:tcPr>
          <w:p>
            <w:r>
              <w:rPr>
                <w:rFonts w:ascii="Calibri" w:hAnsi="Calibri"/>
                <w:b/>
                <w:color w:val="FFFFFF"/>
                <w:sz w:val="20"/>
              </w:rPr>
              <w:t>Funktion</w:t>
            </w:r>
          </w:p>
        </w:tc>
      </w:tr>
      <w:tr>
        <w:tc>
          <w:tcPr>
            <w:tcW w:type="dxa" w:w="3041"/>
            <w:shd w:val="clear" w:color="auto" w:fill="F5F3FF"/>
          </w:tcPr>
          <w:p>
            <w:r>
              <w:rPr>
                <w:rFonts w:ascii="Calibri" w:hAnsi="Calibri"/>
                <w:color w:val="111827"/>
                <w:sz w:val="20"/>
              </w:rPr>
              <w:t>/api/imap-scan</w:t>
            </w:r>
          </w:p>
        </w:tc>
        <w:tc>
          <w:tcPr>
            <w:tcW w:type="dxa" w:w="3041"/>
            <w:shd w:val="clear" w:color="auto" w:fill="F5F3FF"/>
          </w:tcPr>
          <w:p>
            <w:r>
              <w:rPr>
                <w:rFonts w:ascii="Calibri" w:hAnsi="Calibri"/>
                <w:color w:val="111827"/>
                <w:sz w:val="20"/>
              </w:rPr>
              <w:t>POST</w:t>
            </w:r>
          </w:p>
        </w:tc>
        <w:tc>
          <w:tcPr>
            <w:tcW w:type="dxa" w:w="3041"/>
            <w:shd w:val="clear" w:color="auto" w:fill="F5F3FF"/>
          </w:tcPr>
          <w:p>
            <w:r>
              <w:rPr>
                <w:rFonts w:ascii="Calibri" w:hAnsi="Calibri"/>
                <w:color w:val="111827"/>
                <w:sz w:val="20"/>
              </w:rPr>
              <w:t>IMAP-Verbindung, Scan, gibt FoundService[] zurück</w:t>
            </w:r>
          </w:p>
        </w:tc>
      </w:tr>
      <w:tr>
        <w:tc>
          <w:tcPr>
            <w:tcW w:type="dxa" w:w="3041"/>
            <w:shd w:val="clear" w:color="auto" w:fill="FFFFFF"/>
          </w:tcPr>
          <w:p>
            <w:r>
              <w:rPr>
                <w:rFonts w:ascii="Calibri" w:hAnsi="Calibri"/>
                <w:color w:val="111827"/>
                <w:sz w:val="20"/>
              </w:rPr>
              <w:t>/api/hibp</w:t>
            </w:r>
          </w:p>
        </w:tc>
        <w:tc>
          <w:tcPr>
            <w:tcW w:type="dxa" w:w="3041"/>
            <w:shd w:val="clear" w:color="auto" w:fill="FFFFFF"/>
          </w:tcPr>
          <w:p>
            <w:r>
              <w:rPr>
                <w:rFonts w:ascii="Calibri" w:hAnsi="Calibri"/>
                <w:color w:val="111827"/>
                <w:sz w:val="20"/>
              </w:rPr>
              <w:t>GET</w:t>
            </w:r>
          </w:p>
        </w:tc>
        <w:tc>
          <w:tcPr>
            <w:tcW w:type="dxa" w:w="3041"/>
            <w:shd w:val="clear" w:color="auto" w:fill="FFFFFF"/>
          </w:tcPr>
          <w:p>
            <w:r>
              <w:rPr>
                <w:rFonts w:ascii="Calibri" w:hAnsi="Calibri"/>
                <w:color w:val="111827"/>
                <w:sz w:val="20"/>
              </w:rPr>
              <w:t>Have I Been Pwned Breach-Check für eine Domain</w:t>
            </w:r>
          </w:p>
        </w:tc>
      </w:tr>
      <w:tr>
        <w:tc>
          <w:tcPr>
            <w:tcW w:type="dxa" w:w="3041"/>
            <w:shd w:val="clear" w:color="auto" w:fill="F5F3FF"/>
          </w:tcPr>
          <w:p>
            <w:r>
              <w:rPr>
                <w:rFonts w:ascii="Calibri" w:hAnsi="Calibri"/>
                <w:color w:val="111827"/>
                <w:sz w:val="20"/>
              </w:rPr>
              <w:t>/api/auth/callback</w:t>
            </w:r>
          </w:p>
        </w:tc>
        <w:tc>
          <w:tcPr>
            <w:tcW w:type="dxa" w:w="3041"/>
            <w:shd w:val="clear" w:color="auto" w:fill="F5F3FF"/>
          </w:tcPr>
          <w:p>
            <w:r>
              <w:rPr>
                <w:rFonts w:ascii="Calibri" w:hAnsi="Calibri"/>
                <w:color w:val="111827"/>
                <w:sz w:val="20"/>
              </w:rPr>
              <w:t>GET</w:t>
            </w:r>
          </w:p>
        </w:tc>
        <w:tc>
          <w:tcPr>
            <w:tcW w:type="dxa" w:w="3041"/>
            <w:shd w:val="clear" w:color="auto" w:fill="F5F3FF"/>
          </w:tcPr>
          <w:p>
            <w:r>
              <w:rPr>
                <w:rFonts w:ascii="Calibri" w:hAnsi="Calibri"/>
                <w:color w:val="111827"/>
                <w:sz w:val="20"/>
              </w:rPr>
              <w:t>Supabase Auth Callback (OAuth-Flow)</w:t>
            </w:r>
          </w:p>
        </w:tc>
      </w:tr>
    </w:tbl>
    <w:p>
      <w:pPr>
        <w:spacing w:after="120"/>
      </w:pPr>
    </w:p>
    <w:p>
      <w:pPr>
        <w:pStyle w:val="Heading2"/>
        <w:spacing w:before="320" w:after="120"/>
      </w:pPr>
      <w:r>
        <w:rPr>
          <w:color w:val="1E1B4B"/>
        </w:rPr>
        <w:t>14.4  Migrations-Übersicht</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6366F1"/>
          </w:tcPr>
          <w:p>
            <w:r>
              <w:rPr>
                <w:rFonts w:ascii="Calibri" w:hAnsi="Calibri"/>
                <w:b/>
                <w:color w:val="FFFFFF"/>
                <w:sz w:val="20"/>
              </w:rPr>
              <w:t>Migration</w:t>
            </w:r>
          </w:p>
        </w:tc>
        <w:tc>
          <w:tcPr>
            <w:tcW w:type="dxa" w:w="4561"/>
            <w:shd w:val="clear" w:color="auto" w:fill="6366F1"/>
          </w:tcPr>
          <w:p>
            <w:r>
              <w:rPr>
                <w:rFonts w:ascii="Calibri" w:hAnsi="Calibri"/>
                <w:b/>
                <w:color w:val="FFFFFF"/>
                <w:sz w:val="20"/>
              </w:rPr>
              <w:t>Inhalt</w:t>
            </w:r>
          </w:p>
        </w:tc>
      </w:tr>
      <w:tr>
        <w:tc>
          <w:tcPr>
            <w:tcW w:type="dxa" w:w="4561"/>
            <w:shd w:val="clear" w:color="auto" w:fill="F5F3FF"/>
          </w:tcPr>
          <w:p>
            <w:r>
              <w:rPr>
                <w:rFonts w:ascii="Calibri" w:hAnsi="Calibri"/>
                <w:color w:val="111827"/>
                <w:sz w:val="20"/>
              </w:rPr>
              <w:t>20260506000000_initial_schema.sql</w:t>
            </w:r>
          </w:p>
        </w:tc>
        <w:tc>
          <w:tcPr>
            <w:tcW w:type="dxa" w:w="4561"/>
            <w:shd w:val="clear" w:color="auto" w:fill="F5F3FF"/>
          </w:tcPr>
          <w:p>
            <w:r>
              <w:rPr>
                <w:rFonts w:ascii="Calibri" w:hAnsi="Calibri"/>
                <w:color w:val="111827"/>
                <w:sz w:val="20"/>
              </w:rPr>
              <w:t>profiles, scan_results, breach_alerts, RLS-Policies, handle_new_user Trigger</w:t>
            </w:r>
          </w:p>
        </w:tc>
      </w:tr>
      <w:tr>
        <w:tc>
          <w:tcPr>
            <w:tcW w:type="dxa" w:w="4561"/>
            <w:shd w:val="clear" w:color="auto" w:fill="FFFFFF"/>
          </w:tcPr>
          <w:p>
            <w:r>
              <w:rPr>
                <w:rFonts w:ascii="Calibri" w:hAnsi="Calibri"/>
                <w:color w:val="111827"/>
                <w:sz w:val="20"/>
              </w:rPr>
              <w:t>20260507113000_add_scan_evidence_fields.sql</w:t>
            </w:r>
          </w:p>
        </w:tc>
        <w:tc>
          <w:tcPr>
            <w:tcW w:type="dxa" w:w="4561"/>
            <w:shd w:val="clear" w:color="auto" w:fill="FFFFFF"/>
          </w:tcPr>
          <w:p>
            <w:r>
              <w:rPr>
                <w:rFonts w:ascii="Calibri" w:hAnsi="Calibri"/>
                <w:color w:val="111827"/>
                <w:sz w:val="20"/>
              </w:rPr>
              <w:t>evidence_count, evidence_types, sender_domains, detection_confidence, detection_source</w:t>
            </w:r>
          </w:p>
        </w:tc>
      </w:tr>
      <w:tr>
        <w:tc>
          <w:tcPr>
            <w:tcW w:type="dxa" w:w="4561"/>
            <w:shd w:val="clear" w:color="auto" w:fill="F5F3FF"/>
          </w:tcPr>
          <w:p>
            <w:r>
              <w:rPr>
                <w:rFonts w:ascii="Calibri" w:hAnsi="Calibri"/>
                <w:color w:val="111827"/>
                <w:sz w:val="20"/>
              </w:rPr>
              <w:t>20260507120000_add_demo_detection_source.sql</w:t>
            </w:r>
          </w:p>
        </w:tc>
        <w:tc>
          <w:tcPr>
            <w:tcW w:type="dxa" w:w="4561"/>
            <w:shd w:val="clear" w:color="auto" w:fill="F5F3FF"/>
          </w:tcPr>
          <w:p>
            <w:r>
              <w:rPr>
                <w:rFonts w:ascii="Calibri" w:hAnsi="Calibri"/>
                <w:color w:val="111827"/>
                <w:sz w:val="20"/>
              </w:rPr>
              <w:t>Erweiterung detection_source CHECK um 'demo' Wert</w:t>
            </w:r>
          </w:p>
        </w:tc>
      </w:tr>
      <w:tr>
        <w:tc>
          <w:tcPr>
            <w:tcW w:type="dxa" w:w="4561"/>
            <w:shd w:val="clear" w:color="auto" w:fill="FFFFFF"/>
          </w:tcPr>
          <w:p>
            <w:r>
              <w:rPr>
                <w:rFonts w:ascii="Calibri" w:hAnsi="Calibri"/>
                <w:color w:val="111827"/>
                <w:sz w:val="20"/>
              </w:rPr>
              <w:t>20260507130000_digital_will.sql</w:t>
            </w:r>
          </w:p>
        </w:tc>
        <w:tc>
          <w:tcPr>
            <w:tcW w:type="dxa" w:w="4561"/>
            <w:shd w:val="clear" w:color="auto" w:fill="FFFFFF"/>
          </w:tcPr>
          <w:p>
            <w:r>
              <w:rPr>
                <w:rFonts w:ascii="Calibri" w:hAnsi="Calibri"/>
                <w:color w:val="111827"/>
                <w:sz w:val="20"/>
              </w:rPr>
              <w:t>digital_will und digital_will_items Tabellen mit RLS</w:t>
            </w:r>
          </w:p>
        </w:tc>
      </w:tr>
    </w:tbl>
    <w:p>
      <w:pPr>
        <w:spacing w:after="120"/>
      </w:pPr>
    </w:p>
    <w:p>
      <w:r>
        <w:br w:type="page"/>
      </w:r>
    </w:p>
    <w:p>
      <w:pPr>
        <w:pStyle w:val="Heading1"/>
        <w:spacing w:before="320" w:after="120"/>
      </w:pPr>
      <w:r>
        <w:rPr>
          <w:color w:val="6366F1"/>
        </w:rPr>
        <w:t>15  Preismodelle – Free vs. Pro</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366F1"/>
          </w:tcPr>
          <w:p>
            <w:r>
              <w:rPr>
                <w:rFonts w:ascii="Calibri" w:hAnsi="Calibri"/>
                <w:b/>
                <w:color w:val="FFFFFF"/>
                <w:sz w:val="20"/>
              </w:rPr>
              <w:t>Feature</w:t>
            </w:r>
          </w:p>
        </w:tc>
        <w:tc>
          <w:tcPr>
            <w:tcW w:type="dxa" w:w="3041"/>
            <w:shd w:val="clear" w:color="auto" w:fill="6366F1"/>
          </w:tcPr>
          <w:p>
            <w:r>
              <w:rPr>
                <w:rFonts w:ascii="Calibri" w:hAnsi="Calibri"/>
                <w:b/>
                <w:color w:val="FFFFFF"/>
                <w:sz w:val="20"/>
              </w:rPr>
              <w:t>Free</w:t>
            </w:r>
          </w:p>
        </w:tc>
        <w:tc>
          <w:tcPr>
            <w:tcW w:type="dxa" w:w="3041"/>
            <w:shd w:val="clear" w:color="auto" w:fill="6366F1"/>
          </w:tcPr>
          <w:p>
            <w:r>
              <w:rPr>
                <w:rFonts w:ascii="Calibri" w:hAnsi="Calibri"/>
                <w:b/>
                <w:color w:val="FFFFFF"/>
                <w:sz w:val="20"/>
              </w:rPr>
              <w:t>Pro</w:t>
            </w:r>
          </w:p>
        </w:tc>
      </w:tr>
      <w:tr>
        <w:tc>
          <w:tcPr>
            <w:tcW w:type="dxa" w:w="3041"/>
            <w:shd w:val="clear" w:color="auto" w:fill="F5F3FF"/>
          </w:tcPr>
          <w:p>
            <w:r>
              <w:rPr>
                <w:rFonts w:ascii="Calibri" w:hAnsi="Calibri"/>
                <w:color w:val="111827"/>
                <w:sz w:val="20"/>
              </w:rPr>
              <w:t>Account-Erkennung</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Max. angezeigte Accounts</w:t>
            </w:r>
          </w:p>
        </w:tc>
        <w:tc>
          <w:tcPr>
            <w:tcW w:type="dxa" w:w="3041"/>
            <w:shd w:val="clear" w:color="auto" w:fill="FFFFFF"/>
          </w:tcPr>
          <w:p>
            <w:r>
              <w:rPr>
                <w:rFonts w:ascii="Calibri" w:hAnsi="Calibri"/>
                <w:color w:val="111827"/>
                <w:sz w:val="20"/>
              </w:rPr>
              <w:t>20 Accounts</w:t>
            </w:r>
          </w:p>
        </w:tc>
        <w:tc>
          <w:tcPr>
            <w:tcW w:type="dxa" w:w="3041"/>
            <w:shd w:val="clear" w:color="auto" w:fill="FFFFFF"/>
          </w:tcPr>
          <w:p>
            <w:r>
              <w:rPr>
                <w:rFonts w:ascii="Calibri" w:hAnsi="Calibri"/>
                <w:color w:val="111827"/>
                <w:sz w:val="20"/>
              </w:rPr>
              <w:t>Unbegrenzt</w:t>
            </w:r>
          </w:p>
        </w:tc>
      </w:tr>
      <w:tr>
        <w:tc>
          <w:tcPr>
            <w:tcW w:type="dxa" w:w="3041"/>
            <w:shd w:val="clear" w:color="auto" w:fill="F5F3FF"/>
          </w:tcPr>
          <w:p>
            <w:r>
              <w:rPr>
                <w:rFonts w:ascii="Calibri" w:hAnsi="Calibri"/>
                <w:color w:val="111827"/>
                <w:sz w:val="20"/>
              </w:rPr>
              <w:t>Risiko-Score</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Digital Twin (Netzwerk)</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 Ja</w:t>
            </w:r>
          </w:p>
        </w:tc>
      </w:tr>
      <w:tr>
        <w:tc>
          <w:tcPr>
            <w:tcW w:type="dxa" w:w="3041"/>
            <w:shd w:val="clear" w:color="auto" w:fill="F5F3FF"/>
          </w:tcPr>
          <w:p>
            <w:r>
              <w:rPr>
                <w:rFonts w:ascii="Calibri" w:hAnsi="Calibri"/>
                <w:color w:val="111827"/>
                <w:sz w:val="20"/>
              </w:rPr>
              <w:t>Digital Will</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Risiko-Prognose</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 Ja</w:t>
            </w:r>
          </w:p>
        </w:tc>
      </w:tr>
      <w:tr>
        <w:tc>
          <w:tcPr>
            <w:tcW w:type="dxa" w:w="3041"/>
            <w:shd w:val="clear" w:color="auto" w:fill="F5F3FF"/>
          </w:tcPr>
          <w:p>
            <w:r>
              <w:rPr>
                <w:rFonts w:ascii="Calibri" w:hAnsi="Calibri"/>
                <w:color w:val="111827"/>
                <w:sz w:val="20"/>
              </w:rPr>
              <w:t>JSON/CSV-Export</w:t>
            </w:r>
          </w:p>
        </w:tc>
        <w:tc>
          <w:tcPr>
            <w:tcW w:type="dxa" w:w="3041"/>
            <w:shd w:val="clear" w:color="auto" w:fill="F5F3FF"/>
          </w:tcPr>
          <w:p>
            <w:r>
              <w:rPr>
                <w:rFonts w:ascii="Calibri" w:hAnsi="Calibri"/>
                <w:color w:val="111827"/>
                <w:sz w:val="20"/>
              </w:rPr>
              <w:t>✅ Ja</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Einfache Löschlinks</w:t>
            </w:r>
          </w:p>
        </w:tc>
        <w:tc>
          <w:tcPr>
            <w:tcW w:type="dxa" w:w="3041"/>
            <w:shd w:val="clear" w:color="auto" w:fill="FFFFFF"/>
          </w:tcPr>
          <w:p>
            <w:r>
              <w:rPr>
                <w:rFonts w:ascii="Calibri" w:hAnsi="Calibri"/>
                <w:color w:val="111827"/>
                <w:sz w:val="20"/>
              </w:rPr>
              <w:t>✅ Ja</w:t>
            </w:r>
          </w:p>
        </w:tc>
        <w:tc>
          <w:tcPr>
            <w:tcW w:type="dxa" w:w="3041"/>
            <w:shd w:val="clear" w:color="auto" w:fill="FFFFFF"/>
          </w:tcPr>
          <w:p>
            <w:r>
              <w:rPr>
                <w:rFonts w:ascii="Calibri" w:hAnsi="Calibri"/>
                <w:color w:val="111827"/>
                <w:sz w:val="20"/>
              </w:rPr>
              <w:t>✅ Ja</w:t>
            </w:r>
          </w:p>
        </w:tc>
      </w:tr>
      <w:tr>
        <w:tc>
          <w:tcPr>
            <w:tcW w:type="dxa" w:w="3041"/>
            <w:shd w:val="clear" w:color="auto" w:fill="F5F3FF"/>
          </w:tcPr>
          <w:p>
            <w:r>
              <w:rPr>
                <w:rFonts w:ascii="Calibri" w:hAnsi="Calibri"/>
                <w:color w:val="111827"/>
                <w:sz w:val="20"/>
              </w:rPr>
              <w:t>Automatisches Rescan</w:t>
            </w:r>
          </w:p>
        </w:tc>
        <w:tc>
          <w:tcPr>
            <w:tcW w:type="dxa" w:w="3041"/>
            <w:shd w:val="clear" w:color="auto" w:fill="F5F3FF"/>
          </w:tcPr>
          <w:p>
            <w:r>
              <w:rPr>
                <w:rFonts w:ascii="Calibri" w:hAnsi="Calibri"/>
                <w:color w:val="111827"/>
                <w:sz w:val="20"/>
              </w:rPr>
              <w:t>❌ Nein</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Aktives Breach-Monitoring</w:t>
            </w:r>
          </w:p>
        </w:tc>
        <w:tc>
          <w:tcPr>
            <w:tcW w:type="dxa" w:w="3041"/>
            <w:shd w:val="clear" w:color="auto" w:fill="FFFFFF"/>
          </w:tcPr>
          <w:p>
            <w:r>
              <w:rPr>
                <w:rFonts w:ascii="Calibri" w:hAnsi="Calibri"/>
                <w:color w:val="111827"/>
                <w:sz w:val="20"/>
              </w:rPr>
              <w:t>❌ Nein</w:t>
            </w:r>
          </w:p>
        </w:tc>
        <w:tc>
          <w:tcPr>
            <w:tcW w:type="dxa" w:w="3041"/>
            <w:shd w:val="clear" w:color="auto" w:fill="FFFFFF"/>
          </w:tcPr>
          <w:p>
            <w:r>
              <w:rPr>
                <w:rFonts w:ascii="Calibri" w:hAnsi="Calibri"/>
                <w:color w:val="111827"/>
                <w:sz w:val="20"/>
              </w:rPr>
              <w:t>✅ Ja</w:t>
            </w:r>
          </w:p>
        </w:tc>
      </w:tr>
      <w:tr>
        <w:tc>
          <w:tcPr>
            <w:tcW w:type="dxa" w:w="3041"/>
            <w:shd w:val="clear" w:color="auto" w:fill="F5F3FF"/>
          </w:tcPr>
          <w:p>
            <w:r>
              <w:rPr>
                <w:rFonts w:ascii="Calibri" w:hAnsi="Calibri"/>
                <w:color w:val="111827"/>
                <w:sz w:val="20"/>
              </w:rPr>
              <w:t>Breach-Alert-Benachrichtigungen</w:t>
            </w:r>
          </w:p>
        </w:tc>
        <w:tc>
          <w:tcPr>
            <w:tcW w:type="dxa" w:w="3041"/>
            <w:shd w:val="clear" w:color="auto" w:fill="F5F3FF"/>
          </w:tcPr>
          <w:p>
            <w:r>
              <w:rPr>
                <w:rFonts w:ascii="Calibri" w:hAnsi="Calibri"/>
                <w:color w:val="111827"/>
                <w:sz w:val="20"/>
              </w:rPr>
              <w:t>❌ Nein</w:t>
            </w:r>
          </w:p>
        </w:tc>
        <w:tc>
          <w:tcPr>
            <w:tcW w:type="dxa" w:w="3041"/>
            <w:shd w:val="clear" w:color="auto" w:fill="F5F3FF"/>
          </w:tcPr>
          <w:p>
            <w:r>
              <w:rPr>
                <w:rFonts w:ascii="Calibri" w:hAnsi="Calibri"/>
                <w:color w:val="111827"/>
                <w:sz w:val="20"/>
              </w:rPr>
              <w:t>✅ Ja</w:t>
            </w:r>
          </w:p>
        </w:tc>
      </w:tr>
      <w:tr>
        <w:tc>
          <w:tcPr>
            <w:tcW w:type="dxa" w:w="3041"/>
            <w:shd w:val="clear" w:color="auto" w:fill="FFFFFF"/>
          </w:tcPr>
          <w:p>
            <w:r>
              <w:rPr>
                <w:rFonts w:ascii="Calibri" w:hAnsi="Calibri"/>
                <w:color w:val="111827"/>
                <w:sz w:val="20"/>
              </w:rPr>
              <w:t>Unbegrenzte Account-Anzeige</w:t>
            </w:r>
          </w:p>
        </w:tc>
        <w:tc>
          <w:tcPr>
            <w:tcW w:type="dxa" w:w="3041"/>
            <w:shd w:val="clear" w:color="auto" w:fill="FFFFFF"/>
          </w:tcPr>
          <w:p>
            <w:r>
              <w:rPr>
                <w:rFonts w:ascii="Calibri" w:hAnsi="Calibri"/>
                <w:color w:val="111827"/>
                <w:sz w:val="20"/>
              </w:rPr>
              <w:t>❌ Nein</w:t>
            </w:r>
          </w:p>
        </w:tc>
        <w:tc>
          <w:tcPr>
            <w:tcW w:type="dxa" w:w="3041"/>
            <w:shd w:val="clear" w:color="auto" w:fill="FFFFFF"/>
          </w:tcPr>
          <w:p>
            <w:r>
              <w:rPr>
                <w:rFonts w:ascii="Calibri" w:hAnsi="Calibri"/>
                <w:color w:val="111827"/>
                <w:sz w:val="20"/>
              </w:rPr>
              <w:t>✅ Ja</w:t>
            </w:r>
          </w:p>
        </w:tc>
      </w:tr>
      <w:tr>
        <w:tc>
          <w:tcPr>
            <w:tcW w:type="dxa" w:w="3041"/>
            <w:shd w:val="clear" w:color="auto" w:fill="F5F3FF"/>
          </w:tcPr>
          <w:p>
            <w:r>
              <w:rPr>
                <w:rFonts w:ascii="Calibri" w:hAnsi="Calibri"/>
                <w:color w:val="111827"/>
                <w:sz w:val="20"/>
              </w:rPr>
              <w:t>Preis</w:t>
            </w:r>
          </w:p>
        </w:tc>
        <w:tc>
          <w:tcPr>
            <w:tcW w:type="dxa" w:w="3041"/>
            <w:shd w:val="clear" w:color="auto" w:fill="F5F3FF"/>
          </w:tcPr>
          <w:p>
            <w:r>
              <w:rPr>
                <w:rFonts w:ascii="Calibri" w:hAnsi="Calibri"/>
                <w:color w:val="111827"/>
                <w:sz w:val="20"/>
              </w:rPr>
              <w:t>0 € / Monat</w:t>
            </w:r>
          </w:p>
        </w:tc>
        <w:tc>
          <w:tcPr>
            <w:tcW w:type="dxa" w:w="3041"/>
            <w:shd w:val="clear" w:color="auto" w:fill="F5F3FF"/>
          </w:tcPr>
          <w:p>
            <w:r>
              <w:rPr>
                <w:rFonts w:ascii="Calibri" w:hAnsi="Calibri"/>
                <w:color w:val="111827"/>
                <w:sz w:val="20"/>
              </w:rPr>
              <w:t>Pro (Preis auf Anfrage)</w:t>
            </w:r>
          </w:p>
        </w:tc>
      </w:tr>
    </w:tbl>
    <w:p>
      <w:pPr>
        <w:spacing w:after="120"/>
      </w:pPr>
    </w:p>
    <w:p>
      <w:r>
        <w:br w:type="page"/>
      </w:r>
    </w:p>
    <w:p>
      <w:pPr>
        <w:pStyle w:val="Heading1"/>
        <w:spacing w:before="320" w:after="120"/>
      </w:pPr>
      <w:r>
        <w:rPr>
          <w:color w:val="6366F1"/>
        </w:rPr>
        <w:t>16  Glossar</w:t>
      </w:r>
    </w:p>
    <w:tbl>
      <w:tblPr>
        <w:tblStyle w:val="TableGrid"/>
        <w:tblW w:type="auto" w:w="0"/>
        <w:tblLook w:firstColumn="1" w:firstRow="1" w:lastColumn="0" w:lastRow="0" w:noHBand="0" w:noVBand="1" w:val="04A0"/>
      </w:tblPr>
      <w:tblGrid>
        <w:gridCol w:w="4561"/>
        <w:gridCol w:w="4561"/>
      </w:tblGrid>
      <w:tr>
        <w:tc>
          <w:tcPr>
            <w:tcW w:type="dxa" w:w="2592"/>
            <w:shd w:val="clear" w:color="auto" w:fill="EEF2FF"/>
          </w:tcPr>
          <w:p>
            <w:r>
              <w:rPr>
                <w:rFonts w:ascii="Calibri" w:hAnsi="Calibri"/>
                <w:b/>
                <w:color w:val="6366F1"/>
                <w:sz w:val="20"/>
              </w:rPr>
              <w:t>Breach / Datenleck</w:t>
            </w:r>
          </w:p>
        </w:tc>
        <w:tc>
          <w:tcPr>
            <w:tcW w:type="dxa" w:w="6480"/>
            <w:shd w:val="clear" w:color="auto" w:fill="EEF2FF"/>
          </w:tcPr>
          <w:p>
            <w:r>
              <w:rPr>
                <w:rFonts w:ascii="Calibri" w:hAnsi="Calibri"/>
                <w:color w:val="111827"/>
                <w:sz w:val="20"/>
              </w:rPr>
              <w:t>Ein Sicherheitsvorfall, bei dem Nutzerdaten eines Online-Dienstes gestohlen oder öffentlich zugänglich gemacht wurden.</w:t>
            </w:r>
          </w:p>
        </w:tc>
      </w:tr>
      <w:tr>
        <w:tc>
          <w:tcPr>
            <w:tcW w:type="dxa" w:w="2592"/>
            <w:shd w:val="clear" w:color="auto" w:fill="FFFFFF"/>
          </w:tcPr>
          <w:p>
            <w:r>
              <w:rPr>
                <w:rFonts w:ascii="Calibri" w:hAnsi="Calibri"/>
                <w:b/>
                <w:color w:val="6366F1"/>
                <w:sz w:val="20"/>
              </w:rPr>
              <w:t>DSGVO</w:t>
            </w:r>
          </w:p>
        </w:tc>
        <w:tc>
          <w:tcPr>
            <w:tcW w:type="dxa" w:w="6480"/>
            <w:shd w:val="clear" w:color="auto" w:fill="FFFFFF"/>
          </w:tcPr>
          <w:p>
            <w:r>
              <w:rPr>
                <w:rFonts w:ascii="Calibri" w:hAnsi="Calibri"/>
                <w:color w:val="111827"/>
                <w:sz w:val="20"/>
              </w:rPr>
              <w:t>Datenschutz-Grundverordnung – EU-Datenschutzgesetz, das Rechte auf Datenportabilität, Löschung und Auskunft garantiert.</w:t>
            </w:r>
          </w:p>
        </w:tc>
      </w:tr>
      <w:tr>
        <w:tc>
          <w:tcPr>
            <w:tcW w:type="dxa" w:w="2592"/>
            <w:shd w:val="clear" w:color="auto" w:fill="EEF2FF"/>
          </w:tcPr>
          <w:p>
            <w:r>
              <w:rPr>
                <w:rFonts w:ascii="Calibri" w:hAnsi="Calibri"/>
                <w:b/>
                <w:color w:val="6366F1"/>
                <w:sz w:val="20"/>
              </w:rPr>
              <w:t>Digital Will</w:t>
            </w:r>
          </w:p>
        </w:tc>
        <w:tc>
          <w:tcPr>
            <w:tcW w:type="dxa" w:w="6480"/>
            <w:shd w:val="clear" w:color="auto" w:fill="EEF2FF"/>
          </w:tcPr>
          <w:p>
            <w:r>
              <w:rPr>
                <w:rFonts w:ascii="Calibri" w:hAnsi="Calibri"/>
                <w:color w:val="111827"/>
                <w:sz w:val="20"/>
              </w:rPr>
              <w:t>GhostAccounts-Feature zur Regelung des digitalen Nachlasses bei Inaktivität oder Tod.</w:t>
            </w:r>
          </w:p>
        </w:tc>
      </w:tr>
      <w:tr>
        <w:tc>
          <w:tcPr>
            <w:tcW w:type="dxa" w:w="2592"/>
            <w:shd w:val="clear" w:color="auto" w:fill="FFFFFF"/>
          </w:tcPr>
          <w:p>
            <w:r>
              <w:rPr>
                <w:rFonts w:ascii="Calibri" w:hAnsi="Calibri"/>
                <w:b/>
                <w:color w:val="6366F1"/>
                <w:sz w:val="20"/>
              </w:rPr>
              <w:t>Evidence / Evidenz</w:t>
            </w:r>
          </w:p>
        </w:tc>
        <w:tc>
          <w:tcPr>
            <w:tcW w:type="dxa" w:w="6480"/>
            <w:shd w:val="clear" w:color="auto" w:fill="FFFFFF"/>
          </w:tcPr>
          <w:p>
            <w:r>
              <w:rPr>
                <w:rFonts w:ascii="Calibri" w:hAnsi="Calibri"/>
                <w:color w:val="111827"/>
                <w:sz w:val="20"/>
              </w:rPr>
              <w:t>E-Mail-Metadaten, die beweisen, dass ein Account bei einem Dienst existiert (Registrierungs-, Sicherheits- oder Rechnungs-E-Mails).</w:t>
            </w:r>
          </w:p>
        </w:tc>
      </w:tr>
      <w:tr>
        <w:tc>
          <w:tcPr>
            <w:tcW w:type="dxa" w:w="2592"/>
            <w:shd w:val="clear" w:color="auto" w:fill="EEF2FF"/>
          </w:tcPr>
          <w:p>
            <w:r>
              <w:rPr>
                <w:rFonts w:ascii="Calibri" w:hAnsi="Calibri"/>
                <w:b/>
                <w:color w:val="6366F1"/>
                <w:sz w:val="20"/>
              </w:rPr>
              <w:t>HIBP</w:t>
            </w:r>
          </w:p>
        </w:tc>
        <w:tc>
          <w:tcPr>
            <w:tcW w:type="dxa" w:w="6480"/>
            <w:shd w:val="clear" w:color="auto" w:fill="EEF2FF"/>
          </w:tcPr>
          <w:p>
            <w:r>
              <w:rPr>
                <w:rFonts w:ascii="Calibri" w:hAnsi="Calibri"/>
                <w:color w:val="111827"/>
                <w:sz w:val="20"/>
              </w:rPr>
              <w:t>Have I Been Pwned – Dienst von Troy Hunt zum Prüfen ob eine E-Mail in Datenlecks vorkam.</w:t>
            </w:r>
          </w:p>
        </w:tc>
      </w:tr>
      <w:tr>
        <w:tc>
          <w:tcPr>
            <w:tcW w:type="dxa" w:w="2592"/>
            <w:shd w:val="clear" w:color="auto" w:fill="FFFFFF"/>
          </w:tcPr>
          <w:p>
            <w:r>
              <w:rPr>
                <w:rFonts w:ascii="Calibri" w:hAnsi="Calibri"/>
                <w:b/>
                <w:color w:val="6366F1"/>
                <w:sz w:val="20"/>
              </w:rPr>
              <w:t>IMAP</w:t>
            </w:r>
          </w:p>
        </w:tc>
        <w:tc>
          <w:tcPr>
            <w:tcW w:type="dxa" w:w="6480"/>
            <w:shd w:val="clear" w:color="auto" w:fill="FFFFFF"/>
          </w:tcPr>
          <w:p>
            <w:r>
              <w:rPr>
                <w:rFonts w:ascii="Calibri" w:hAnsi="Calibri"/>
                <w:color w:val="111827"/>
                <w:sz w:val="20"/>
              </w:rPr>
              <w:t>Internet Message Access Protocol – Standardprotokoll für den Zugriff auf E-Mail-Postfächer.</w:t>
            </w:r>
          </w:p>
        </w:tc>
      </w:tr>
      <w:tr>
        <w:tc>
          <w:tcPr>
            <w:tcW w:type="dxa" w:w="2592"/>
            <w:shd w:val="clear" w:color="auto" w:fill="EEF2FF"/>
          </w:tcPr>
          <w:p>
            <w:r>
              <w:rPr>
                <w:rFonts w:ascii="Calibri" w:hAnsi="Calibri"/>
                <w:b/>
                <w:color w:val="6366F1"/>
                <w:sz w:val="20"/>
              </w:rPr>
              <w:t>OAuth 2.0 + PKCE</w:t>
            </w:r>
          </w:p>
        </w:tc>
        <w:tc>
          <w:tcPr>
            <w:tcW w:type="dxa" w:w="6480"/>
            <w:shd w:val="clear" w:color="auto" w:fill="EEF2FF"/>
          </w:tcPr>
          <w:p>
            <w:r>
              <w:rPr>
                <w:rFonts w:ascii="Calibri" w:hAnsi="Calibri"/>
                <w:color w:val="111827"/>
                <w:sz w:val="20"/>
              </w:rPr>
              <w:t>Sicheres Authentifizierungsprotokoll ohne Passwort-Übertragung. PKCE verhindert Authorization Code Interception.</w:t>
            </w:r>
          </w:p>
        </w:tc>
      </w:tr>
      <w:tr>
        <w:tc>
          <w:tcPr>
            <w:tcW w:type="dxa" w:w="2592"/>
            <w:shd w:val="clear" w:color="auto" w:fill="FFFFFF"/>
          </w:tcPr>
          <w:p>
            <w:r>
              <w:rPr>
                <w:rFonts w:ascii="Calibri" w:hAnsi="Calibri"/>
                <w:b/>
                <w:color w:val="6366F1"/>
                <w:sz w:val="20"/>
              </w:rPr>
              <w:t>RLS</w:t>
            </w:r>
          </w:p>
        </w:tc>
        <w:tc>
          <w:tcPr>
            <w:tcW w:type="dxa" w:w="6480"/>
            <w:shd w:val="clear" w:color="auto" w:fill="FFFFFF"/>
          </w:tcPr>
          <w:p>
            <w:r>
              <w:rPr>
                <w:rFonts w:ascii="Calibri" w:hAnsi="Calibri"/>
                <w:color w:val="111827"/>
                <w:sz w:val="20"/>
              </w:rPr>
              <w:t>Row Level Security – Datenbankfunktion, die sicherstellt dass Nutzer nur ihre eigenen Daten sehen.</w:t>
            </w:r>
          </w:p>
        </w:tc>
      </w:tr>
      <w:tr>
        <w:tc>
          <w:tcPr>
            <w:tcW w:type="dxa" w:w="2592"/>
            <w:shd w:val="clear" w:color="auto" w:fill="EEF2FF"/>
          </w:tcPr>
          <w:p>
            <w:r>
              <w:rPr>
                <w:rFonts w:ascii="Calibri" w:hAnsi="Calibri"/>
                <w:b/>
                <w:color w:val="6366F1"/>
                <w:sz w:val="20"/>
              </w:rPr>
              <w:t>Risiko-Score</w:t>
            </w:r>
          </w:p>
        </w:tc>
        <w:tc>
          <w:tcPr>
            <w:tcW w:type="dxa" w:w="6480"/>
            <w:shd w:val="clear" w:color="auto" w:fill="EEF2FF"/>
          </w:tcPr>
          <w:p>
            <w:r>
              <w:rPr>
                <w:rFonts w:ascii="Calibri" w:hAnsi="Calibri"/>
                <w:color w:val="111827"/>
                <w:sz w:val="20"/>
              </w:rPr>
              <w:t>Numerischer Wert 0–100, der den Sicherheitsstatus des digitalen Fußabdrucks beschreibt.</w:t>
            </w:r>
          </w:p>
        </w:tc>
      </w:tr>
      <w:tr>
        <w:tc>
          <w:tcPr>
            <w:tcW w:type="dxa" w:w="2592"/>
            <w:shd w:val="clear" w:color="auto" w:fill="FFFFFF"/>
          </w:tcPr>
          <w:p>
            <w:r>
              <w:rPr>
                <w:rFonts w:ascii="Calibri" w:hAnsi="Calibri"/>
                <w:b/>
                <w:color w:val="6366F1"/>
                <w:sz w:val="20"/>
              </w:rPr>
              <w:t>Scan</w:t>
            </w:r>
          </w:p>
        </w:tc>
        <w:tc>
          <w:tcPr>
            <w:tcW w:type="dxa" w:w="6480"/>
            <w:shd w:val="clear" w:color="auto" w:fill="FFFFFF"/>
          </w:tcPr>
          <w:p>
            <w:r>
              <w:rPr>
                <w:rFonts w:ascii="Calibri" w:hAnsi="Calibri"/>
                <w:color w:val="111827"/>
                <w:sz w:val="20"/>
              </w:rPr>
              <w:t>Analyse von E-Mail-Metadaten zur Erkennung von Online-Accounts.</w:t>
            </w:r>
          </w:p>
        </w:tc>
      </w:tr>
      <w:tr>
        <w:tc>
          <w:tcPr>
            <w:tcW w:type="dxa" w:w="2592"/>
            <w:shd w:val="clear" w:color="auto" w:fill="EEF2FF"/>
          </w:tcPr>
          <w:p>
            <w:r>
              <w:rPr>
                <w:rFonts w:ascii="Calibri" w:hAnsi="Calibri"/>
                <w:b/>
                <w:color w:val="6366F1"/>
                <w:sz w:val="20"/>
              </w:rPr>
              <w:t>Service-Domain</w:t>
            </w:r>
          </w:p>
        </w:tc>
        <w:tc>
          <w:tcPr>
            <w:tcW w:type="dxa" w:w="6480"/>
            <w:shd w:val="clear" w:color="auto" w:fill="EEF2FF"/>
          </w:tcPr>
          <w:p>
            <w:r>
              <w:rPr>
                <w:rFonts w:ascii="Calibri" w:hAnsi="Calibri"/>
                <w:color w:val="111827"/>
                <w:sz w:val="20"/>
              </w:rPr>
              <w:t>Die Domain des erkannten Online-Dienstes (z.B. 'amazon.de', 'netflix.com').</w:t>
            </w:r>
          </w:p>
        </w:tc>
      </w:tr>
      <w:tr>
        <w:tc>
          <w:tcPr>
            <w:tcW w:type="dxa" w:w="2592"/>
            <w:shd w:val="clear" w:color="auto" w:fill="FFFFFF"/>
          </w:tcPr>
          <w:p>
            <w:r>
              <w:rPr>
                <w:rFonts w:ascii="Calibri" w:hAnsi="Calibri"/>
                <w:b/>
                <w:color w:val="6366F1"/>
                <w:sz w:val="20"/>
              </w:rPr>
              <w:t>Digital Twin</w:t>
            </w:r>
          </w:p>
        </w:tc>
        <w:tc>
          <w:tcPr>
            <w:tcW w:type="dxa" w:w="6480"/>
            <w:shd w:val="clear" w:color="auto" w:fill="FFFFFF"/>
          </w:tcPr>
          <w:p>
            <w:r>
              <w:rPr>
                <w:rFonts w:ascii="Calibri" w:hAnsi="Calibri"/>
                <w:color w:val="111827"/>
                <w:sz w:val="20"/>
              </w:rPr>
              <w:t>Interaktive D3.js Netzwerk-Visualisierung aller erkannten Accounts.</w:t>
            </w:r>
          </w:p>
        </w:tc>
      </w:tr>
    </w:tbl>
    <w:p>
      <w:r>
        <w:br w:type="page"/>
      </w:r>
    </w:p>
    <w:p>
      <w:pPr>
        <w:pStyle w:val="Heading1"/>
        <w:spacing w:before="320" w:after="120"/>
      </w:pPr>
      <w:r>
        <w:rPr>
          <w:color w:val="6366F1"/>
        </w:rPr>
        <w:t>17  Rechtliche Hinweise</w:t>
      </w:r>
    </w:p>
    <w:p>
      <w:pPr>
        <w:pStyle w:val="Heading2"/>
        <w:spacing w:before="320" w:after="120"/>
      </w:pPr>
      <w:r>
        <w:rPr>
          <w:color w:val="1E1B4B"/>
        </w:rPr>
        <w:t>17.1  Betreiber</w:t>
      </w:r>
    </w:p>
    <w:tbl>
      <w:tblPr>
        <w:tblW w:type="auto" w:w="0"/>
        <w:jc w:val="left"/>
        <w:tblLook w:firstColumn="1" w:firstRow="1" w:lastColumn="0" w:lastRow="0" w:noHBand="0" w:noVBand="1" w:val="04A0"/>
      </w:tblPr>
      <w:tblGrid>
        <w:gridCol w:w="9122"/>
      </w:tblGrid>
      <w:tr>
        <w:tc>
          <w:tcPr>
            <w:tcW w:type="dxa" w:w="8640"/>
            <w:shd w:val="clear" w:color="auto" w:fill="EEF2FF"/>
            <w:tcBorders>
              <w:top w:val="single" w:sz="4" w:space="0" w:color="6366F1"/>
              <w:bottom w:val="single" w:sz="4" w:space="0" w:color="6366F1"/>
              <w:left w:val="single" w:sz="4" w:space="0" w:color="6366F1"/>
              <w:right w:val="single" w:sz="4" w:space="0" w:color="6366F1"/>
            </w:tcBorders>
          </w:tcPr>
          <w:p>
            <w:pPr>
              <w:spacing w:before="80" w:after="40"/>
            </w:pPr>
            <w:r>
              <w:rPr>
                <w:rFonts w:ascii="Calibri" w:hAnsi="Calibri"/>
                <w:b/>
                <w:color w:val="6366F1"/>
                <w:sz w:val="22"/>
              </w:rPr>
              <w:t>WAMOCON GmbH</w:t>
            </w:r>
          </w:p>
          <w:p>
            <w:pPr>
              <w:spacing w:before="20" w:after="20"/>
            </w:pPr>
            <w:r>
              <w:rPr>
                <w:rFonts w:ascii="Calibri" w:hAnsi="Calibri"/>
                <w:color w:val="111827"/>
                <w:sz w:val="21"/>
              </w:rPr>
              <w:t>Mergenthalerallee 79–81</w:t>
            </w:r>
          </w:p>
          <w:p>
            <w:pPr>
              <w:spacing w:before="20" w:after="20"/>
            </w:pPr>
            <w:r>
              <w:rPr>
                <w:rFonts w:ascii="Calibri" w:hAnsi="Calibri"/>
                <w:color w:val="111827"/>
                <w:sz w:val="21"/>
              </w:rPr>
              <w:t>65760 Eschborn, Deutschland</w:t>
            </w:r>
          </w:p>
          <w:p>
            <w:pPr>
              <w:spacing w:before="20" w:after="20"/>
            </w:pPr>
            <w:r>
              <w:rPr>
                <w:rFonts w:ascii="Calibri" w:hAnsi="Calibri"/>
                <w:color w:val="111827"/>
                <w:sz w:val="21"/>
              </w:rPr>
              <w:t>Tel: +49 6196 5838311</w:t>
            </w:r>
          </w:p>
          <w:p>
            <w:pPr>
              <w:spacing w:before="20" w:after="20"/>
            </w:pPr>
            <w:r>
              <w:rPr>
                <w:rFonts w:ascii="Calibri" w:hAnsi="Calibri"/>
                <w:color w:val="111827"/>
                <w:sz w:val="21"/>
              </w:rPr>
              <w:t>E-Mail: info@wamocon.com</w:t>
            </w:r>
          </w:p>
          <w:p>
            <w:pPr>
              <w:spacing w:before="20" w:after="20"/>
            </w:pPr>
            <w:r>
              <w:rPr>
                <w:rFonts w:ascii="Calibri" w:hAnsi="Calibri"/>
                <w:color w:val="111827"/>
                <w:sz w:val="21"/>
              </w:rPr>
              <w:t>HRB 123666 · USt-ID: DE344930486</w:t>
            </w:r>
          </w:p>
        </w:tc>
      </w:tr>
    </w:tbl>
    <w:p>
      <w:pPr>
        <w:spacing w:after="80"/>
      </w:pPr>
    </w:p>
    <w:p>
      <w:pPr>
        <w:pStyle w:val="Heading2"/>
        <w:spacing w:before="320" w:after="120"/>
      </w:pPr>
      <w:r>
        <w:rPr>
          <w:color w:val="1E1B4B"/>
        </w:rPr>
        <w:t>17.2  Haftungshinweis</w:t>
      </w:r>
    </w:p>
    <w:p>
      <w:pPr>
        <w:spacing w:after="120"/>
      </w:pPr>
      <w:r>
        <w:rPr>
          <w:rFonts w:ascii="Calibri" w:hAnsi="Calibri"/>
          <w:b w:val="0"/>
          <w:i w:val="0"/>
          <w:sz w:val="22"/>
        </w:rPr>
        <w:t>GhostAccounts stellt Informationen über erkannte Online-Accounts bereit. Die Erkennung basiert auf E-Mail-Metadaten und kann in Einzelfällen unvollständig oder fehlerhaft sein. WAMOCON GmbH übernimmt keine Haftung für Entscheidungen, die auf Basis der Scan-Ergebnisse getroffen werden.</w:t>
      </w:r>
    </w:p>
    <w:p>
      <w:pPr>
        <w:pStyle w:val="Heading2"/>
        <w:spacing w:before="320" w:after="120"/>
      </w:pPr>
      <w:r>
        <w:rPr>
          <w:color w:val="1E1B4B"/>
        </w:rPr>
        <w:t>17.3  Nutzungshinweise</w:t>
      </w:r>
    </w:p>
    <w:p>
      <w:pPr>
        <w:pStyle w:val="ListBullet"/>
        <w:spacing w:after="60"/>
        <w:ind w:left="360"/>
      </w:pPr>
      <w:r>
        <w:rPr>
          <w:rFonts w:ascii="Calibri" w:hAnsi="Calibri"/>
          <w:sz w:val="22"/>
        </w:rPr>
        <w:t>GhostAccounts darf ausschließlich für eigene E-Mail-Postfächer verwendet werden.</w:t>
      </w:r>
    </w:p>
    <w:p>
      <w:pPr>
        <w:pStyle w:val="ListBullet"/>
        <w:spacing w:after="60"/>
        <w:ind w:left="360"/>
      </w:pPr>
      <w:r>
        <w:rPr>
          <w:rFonts w:ascii="Calibri" w:hAnsi="Calibri"/>
          <w:sz w:val="22"/>
        </w:rPr>
        <w:t>Das Scannen fremder Postfächer ohne ausdrückliche Genehmigung ist untersagt und kann strafbar sein.</w:t>
      </w:r>
    </w:p>
    <w:p>
      <w:pPr>
        <w:pStyle w:val="ListBullet"/>
        <w:spacing w:after="60"/>
        <w:ind w:left="360"/>
      </w:pPr>
      <w:r>
        <w:rPr>
          <w:rFonts w:ascii="Calibri" w:hAnsi="Calibri"/>
          <w:sz w:val="22"/>
        </w:rPr>
        <w:t>Die Verwendung von App-Passwörtern ist bei entsprechenden Anbietern aus Sicherheitsgründen obligatorisch und in der Verantwortung des Nutzers.</w:t>
      </w:r>
    </w:p>
    <w:p>
      <w:pPr>
        <w:pStyle w:val="Heading2"/>
        <w:spacing w:before="320" w:after="120"/>
      </w:pPr>
      <w:r>
        <w:rPr>
          <w:color w:val="1E1B4B"/>
        </w:rPr>
        <w:t>17.4  Rechtsdokumente</w:t>
      </w:r>
    </w:p>
    <w:p>
      <w:pPr>
        <w:spacing w:after="120"/>
      </w:pPr>
      <w:r>
        <w:rPr>
          <w:rFonts w:ascii="Calibri" w:hAnsi="Calibri"/>
          <w:b w:val="0"/>
          <w:i w:val="0"/>
          <w:sz w:val="22"/>
        </w:rPr>
        <w:t>Alle Rechtsdokumente sind im Footer der Anwendung verlinkt:</w:t>
      </w:r>
    </w:p>
    <w:p>
      <w:pPr>
        <w:pStyle w:val="ListBullet"/>
        <w:spacing w:after="60"/>
        <w:ind w:left="360"/>
      </w:pPr>
      <w:r>
        <w:rPr>
          <w:rFonts w:ascii="Calibri" w:hAnsi="Calibri"/>
          <w:sz w:val="22"/>
        </w:rPr>
        <w:t>Impressum:  /de/legal/impressum</w:t>
      </w:r>
    </w:p>
    <w:p>
      <w:pPr>
        <w:pStyle w:val="ListBullet"/>
        <w:spacing w:after="60"/>
        <w:ind w:left="360"/>
      </w:pPr>
      <w:r>
        <w:rPr>
          <w:rFonts w:ascii="Calibri" w:hAnsi="Calibri"/>
          <w:sz w:val="22"/>
        </w:rPr>
        <w:t>Datenschutzerklärung:  /de/legal/datenschutz</w:t>
      </w:r>
    </w:p>
    <w:p>
      <w:pPr>
        <w:pStyle w:val="ListBullet"/>
        <w:spacing w:after="60"/>
        <w:ind w:left="360"/>
      </w:pPr>
      <w:r>
        <w:rPr>
          <w:rFonts w:ascii="Calibri" w:hAnsi="Calibri"/>
          <w:sz w:val="22"/>
        </w:rPr>
        <w:t>Allgemeine Geschäftsbedingungen (AGB):  /de/legal/agb</w:t>
      </w:r>
    </w:p>
    <w:p/>
    <w:p>
      <w:pPr>
        <w:jc w:val="center"/>
      </w:pPr>
      <w:r>
        <w:rPr>
          <w:rFonts w:ascii="Calibri" w:hAnsi="Calibri"/>
          <w:i/>
          <w:color w:val="6B7280"/>
          <w:sz w:val="20"/>
        </w:rPr>
        <w:t>─── Ende des Produkthandbuchs ───</w:t>
        <w:br/>
        <w:t>GhostAccounts v1.0  ·  WAMOCON GmbH  ·  11. May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