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1428750" cy="28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color w:val="6B7080"/>
          <w:sz w:val="19"/>
          <w:szCs w:val="19"/>
        </w:rPr>
        <w:t xml:space="preserve">KfW Bankengruppe  ·  Oktober 2026</w:t>
      </w:r>
    </w:p>
    <w:p>
      <w:pPr>
        <w:pBdr>
          <w:bottom w:val="single" w:color="050A30" w:sz="8"/>
        </w:pBdr>
        <w:spacing w:after="320" w:line="252" w:lineRule="auto"/>
      </w:pPr>
      <w:r>
        <w:rPr>
          <w:rFonts w:ascii="Cambria" w:cs="Cambria" w:eastAsia="Cambria" w:hAnsi="Cambria"/>
          <w:color w:val="050A30"/>
          <w:sz w:val="56"/>
          <w:szCs w:val="56"/>
        </w:rPr>
        <w:t xml:space="preserve">Acht Anwendungsfälle für KI bei der KfW</w:t>
      </w:r>
    </w:p>
    <w:p>
      <w:pPr>
        <w:spacing w:after="120" w:before="0" w:line="300" w:lineRule="auto"/>
      </w:pPr>
      <w:r>
        <w:rPr>
          <w:sz w:val="22"/>
          <w:szCs w:val="22"/>
        </w:rPr>
        <w:t xml:space="preserve">Die Anforderungen an Prüfung, Dokumentation und Absicherung nehmen zu: </w:t>
      </w:r>
      <w:r>
        <w:rPr>
          <w:b/>
          <w:bCs/>
          <w:color w:val="050A30"/>
          <w:sz w:val="22"/>
          <w:szCs w:val="22"/>
        </w:rPr>
        <w:t xml:space="preserve">DORA</w:t>
      </w:r>
      <w:r>
        <w:rPr>
          <w:sz w:val="22"/>
          <w:szCs w:val="22"/>
        </w:rPr>
        <w:t xml:space="preserve"> seit Januar 2025, neue </w:t>
      </w:r>
      <w:r>
        <w:rPr>
          <w:b/>
          <w:bCs/>
          <w:color w:val="050A30"/>
          <w:sz w:val="22"/>
          <w:szCs w:val="22"/>
        </w:rPr>
        <w:t xml:space="preserve">EBA-Leitlinien</w:t>
      </w:r>
      <w:r>
        <w:rPr>
          <w:sz w:val="22"/>
          <w:szCs w:val="22"/>
        </w:rPr>
        <w:t xml:space="preserve"> zu Drittparteienrisiken (September 2026), </w:t>
      </w:r>
      <w:r>
        <w:rPr>
          <w:b/>
          <w:bCs/>
          <w:color w:val="050A30"/>
          <w:sz w:val="22"/>
          <w:szCs w:val="22"/>
        </w:rPr>
        <w:t xml:space="preserve">Cyberresilienz und IT-Kontrollen</w:t>
      </w:r>
      <w:r>
        <w:rPr>
          <w:sz w:val="22"/>
          <w:szCs w:val="22"/>
        </w:rPr>
        <w:t xml:space="preserve"> als Aufsichtsschwerpunkt der EZB </w:t>
      </w:r>
      <w:r>
        <w:rPr>
          <w:b/>
          <w:bCs/>
          <w:color w:val="050A30"/>
          <w:sz w:val="22"/>
          <w:szCs w:val="22"/>
        </w:rPr>
        <w:t xml:space="preserve">2026–2028</w:t>
      </w:r>
      <w:r>
        <w:rPr>
          <w:sz w:val="22"/>
          <w:szCs w:val="22"/>
        </w:rPr>
        <w:t xml:space="preserve">. Im Finanzierungsgeschäft der KfW IPEX-Bank (</w:t>
      </w:r>
      <w:r>
        <w:rPr>
          <w:b/>
          <w:bCs/>
          <w:color w:val="050A30"/>
          <w:sz w:val="22"/>
          <w:szCs w:val="22"/>
        </w:rPr>
        <w:t xml:space="preserve">24,2 Mrd. € Neuzusagen 2025</w:t>
      </w:r>
      <w:r>
        <w:rPr>
          <w:sz w:val="22"/>
          <w:szCs w:val="22"/>
        </w:rPr>
        <w:t xml:space="preserve">) entscheidet zugleich die Qualität und Geschwindigkeit der Strukturierung über Mandate. Die Fachkapazität in Revision, Compliance, IT-Security und Front Office wächst nicht im gleichen Maß.</w:t>
      </w:r>
    </w:p>
    <w:p>
      <w:pPr>
        <w:spacing w:after="320" w:before="0" w:line="300" w:lineRule="auto"/>
      </w:pPr>
      <w:r>
        <w:rPr>
          <w:sz w:val="22"/>
          <w:szCs w:val="22"/>
        </w:rPr>
        <w:t xml:space="preserve">Die KfW verfügt über etablierte Prozesse und erste KI-Anwendungen. Der nächste Schritt sind Systeme, die </w:t>
      </w:r>
      <w:r>
        <w:rPr>
          <w:b/>
          <w:bCs/>
          <w:color w:val="050A30"/>
          <w:sz w:val="22"/>
          <w:szCs w:val="22"/>
        </w:rPr>
        <w:t xml:space="preserve">Quellen verknüpfen</w:t>
      </w:r>
      <w:r>
        <w:rPr>
          <w:sz w:val="22"/>
          <w:szCs w:val="22"/>
        </w:rPr>
        <w:t xml:space="preserve">, Abweichungen und Risiken </w:t>
      </w:r>
      <w:r>
        <w:rPr>
          <w:b/>
          <w:bCs/>
          <w:color w:val="050A30"/>
          <w:sz w:val="22"/>
          <w:szCs w:val="22"/>
        </w:rPr>
        <w:t xml:space="preserve">früher sichtbar machen</w:t>
      </w:r>
      <w:r>
        <w:rPr>
          <w:sz w:val="22"/>
          <w:szCs w:val="22"/>
        </w:rPr>
        <w:t xml:space="preserve">, Entscheidungen vorbereiten und </w:t>
      </w:r>
      <w:r>
        <w:rPr>
          <w:b/>
          <w:bCs/>
          <w:color w:val="050A30"/>
          <w:sz w:val="22"/>
          <w:szCs w:val="22"/>
        </w:rPr>
        <w:t xml:space="preserve">jede Aussage mit einem Nachweis</w:t>
      </w:r>
      <w:r>
        <w:rPr>
          <w:sz w:val="22"/>
          <w:szCs w:val="22"/>
        </w:rPr>
        <w:t xml:space="preserve"> versehen. Acht Anwendungsfälle entlang bestehender KfW-Prozesse: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tcMar>
              <w:top w:type="dxa" w:w="0"/>
              <w:left w:type="dxa" w:w="0"/>
              <w:bottom w:type="dxa" w:w="120"/>
              <w:right w:type="dxa" w:w="300"/>
            </w:tcMar>
          </w:tcPr>
          <w:p>
            <w:pPr>
              <w:pBdr>
                <w:bottom w:val="single" w:color="050A30" w:sz="6"/>
              </w:pBdr>
              <w:spacing w:after="160"/>
            </w:pPr>
            <w:r>
              <w:rPr>
                <w:rFonts w:ascii="Cambria" w:cs="Cambria" w:eastAsia="Cambria" w:hAnsi="Cambria"/>
                <w:color w:val="050A30"/>
                <w:sz w:val="30"/>
                <w:szCs w:val="30"/>
              </w:rPr>
              <w:t xml:space="preserve">Effizienz</w:t>
            </w:r>
          </w:p>
          <w:p>
            <w:pPr>
              <w:spacing w:after="120" w:line="276" w:lineRule="auto"/>
            </w:pPr>
            <w:r>
              <w:rPr>
                <w:color w:val="6B7080"/>
                <w:sz w:val="19"/>
                <w:szCs w:val="19"/>
              </w:rPr>
              <w:t xml:space="preserve">01 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Regulatory Impact</w:t>
            </w:r>
            <w:r>
              <w:rPr>
                <w:sz w:val="20"/>
                <w:szCs w:val="20"/>
              </w:rPr>
              <w:t xml:space="preserve">  Neue Anforderungen mit der SFO abgleichen, betroffene Dokumente benennen.</w:t>
            </w:r>
          </w:p>
          <w:p>
            <w:pPr>
              <w:spacing w:after="120" w:line="276" w:lineRule="auto"/>
            </w:pPr>
            <w:r>
              <w:rPr>
                <w:color w:val="6B7080"/>
                <w:sz w:val="19"/>
                <w:szCs w:val="19"/>
              </w:rPr>
              <w:t xml:space="preserve">02 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Audit Reporting</w:t>
            </w:r>
            <w:r>
              <w:rPr>
                <w:sz w:val="20"/>
                <w:szCs w:val="20"/>
              </w:rPr>
              <w:t xml:space="preserve">  Feststellungen und Berichte aus Prüfungsunterlagen entwerfen, mit Nachweis je Aussage.</w:t>
            </w:r>
          </w:p>
        </w:tc>
        <w:tc>
          <w:tcPr>
            <w:tcW w:type="dxa" w:w="4856"/>
            <w:tcMar>
              <w:top w:type="dxa" w:w="0"/>
              <w:left w:type="dxa" w:w="300"/>
              <w:bottom w:type="dxa" w:w="120"/>
              <w:right w:type="dxa" w:w="300"/>
            </w:tcMar>
          </w:tcPr>
          <w:p>
            <w:pPr>
              <w:pBdr>
                <w:bottom w:val="single" w:color="050A30" w:sz="6"/>
              </w:pBdr>
              <w:spacing w:after="160"/>
            </w:pPr>
            <w:r>
              <w:rPr>
                <w:rFonts w:ascii="Cambria" w:cs="Cambria" w:eastAsia="Cambria" w:hAnsi="Cambria"/>
                <w:color w:val="050A30"/>
                <w:sz w:val="30"/>
                <w:szCs w:val="30"/>
              </w:rPr>
              <w:t xml:space="preserve">Resilienz</w:t>
            </w:r>
          </w:p>
          <w:p>
            <w:pPr>
              <w:spacing w:after="120" w:line="276" w:lineRule="auto"/>
            </w:pPr>
            <w:r>
              <w:rPr>
                <w:color w:val="6B7080"/>
                <w:sz w:val="19"/>
                <w:szCs w:val="19"/>
              </w:rPr>
              <w:t xml:space="preserve">03 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Security Testing &amp; Software-Alter</w:t>
            </w:r>
            <w:r>
              <w:rPr>
                <w:sz w:val="20"/>
                <w:szCs w:val="20"/>
              </w:rPr>
              <w:t xml:space="preserve">  Komponenten, Alter und Schwachstellen je Anwendung laufend erfassen und gezielt testen.</w:t>
            </w:r>
          </w:p>
          <w:p>
            <w:pPr>
              <w:spacing w:after="120" w:line="276" w:lineRule="auto"/>
            </w:pPr>
            <w:r>
              <w:rPr>
                <w:color w:val="6B7080"/>
                <w:sz w:val="19"/>
                <w:szCs w:val="19"/>
              </w:rPr>
              <w:t xml:space="preserve">04 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Third-Party Dependencies</w:t>
            </w:r>
            <w:r>
              <w:rPr>
                <w:sz w:val="20"/>
                <w:szCs w:val="20"/>
              </w:rPr>
              <w:t xml:space="preserve">  Abhängigkeiten von Dienstleistern und Subdienstleistern in einem Modell zusammenführen.</w:t>
            </w:r>
          </w:p>
          <w:p>
            <w:pPr>
              <w:spacing w:after="120" w:line="276" w:lineRule="auto"/>
            </w:pPr>
            <w:r>
              <w:rPr>
                <w:color w:val="6B7080"/>
                <w:sz w:val="19"/>
                <w:szCs w:val="19"/>
              </w:rPr>
              <w:t xml:space="preserve">05 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Continuous Control</w:t>
            </w:r>
            <w:r>
              <w:rPr>
                <w:sz w:val="20"/>
                <w:szCs w:val="20"/>
              </w:rPr>
              <w:t xml:space="preserve">  Kontrollabweichungen laufend aus Prozessdaten erkennen.</w:t>
            </w:r>
          </w:p>
          <w:p>
            <w:pPr>
              <w:spacing w:after="120" w:line="276" w:lineRule="auto"/>
            </w:pPr>
            <w:r>
              <w:rPr>
                <w:color w:val="6B7080"/>
                <w:sz w:val="19"/>
                <w:szCs w:val="19"/>
              </w:rPr>
              <w:t xml:space="preserve">06 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Project Finance Early Warning</w:t>
            </w:r>
            <w:r>
              <w:rPr>
                <w:sz w:val="20"/>
                <w:szCs w:val="20"/>
              </w:rPr>
              <w:t xml:space="preserve">  Verteilte Risikosignale je Finanzierung zusammenführen.</w:t>
            </w:r>
          </w:p>
        </w:tc>
        <w:tc>
          <w:tcPr>
            <w:tcW w:type="dxa" w:w="4858"/>
            <w:tcMar>
              <w:top w:type="dxa" w:w="0"/>
              <w:left w:type="dxa" w:w="300"/>
              <w:bottom w:type="dxa" w:w="120"/>
              <w:right w:type="dxa" w:w="0"/>
            </w:tcMar>
          </w:tcPr>
          <w:p>
            <w:pPr>
              <w:pBdr>
                <w:bottom w:val="single" w:color="050A30" w:sz="6"/>
              </w:pBdr>
              <w:spacing w:after="160"/>
            </w:pPr>
            <w:r>
              <w:rPr>
                <w:rFonts w:ascii="Cambria" w:cs="Cambria" w:eastAsia="Cambria" w:hAnsi="Cambria"/>
                <w:color w:val="050A30"/>
                <w:sz w:val="30"/>
                <w:szCs w:val="30"/>
              </w:rPr>
              <w:t xml:space="preserve">Wachstum</w:t>
            </w:r>
          </w:p>
          <w:p>
            <w:pPr>
              <w:spacing w:after="120" w:line="276" w:lineRule="auto"/>
            </w:pPr>
            <w:r>
              <w:rPr>
                <w:color w:val="6B7080"/>
                <w:sz w:val="19"/>
                <w:szCs w:val="19"/>
              </w:rPr>
              <w:t xml:space="preserve">07 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Export Finance Structuring</w:t>
            </w:r>
            <w:r>
              <w:rPr>
                <w:sz w:val="20"/>
                <w:szCs w:val="20"/>
              </w:rPr>
              <w:t xml:space="preserve">  Alternative ECA-Strukturen je Anfrage systematisch prüfen.</w:t>
            </w:r>
          </w:p>
          <w:p>
            <w:pPr>
              <w:spacing w:after="120" w:line="276" w:lineRule="auto"/>
            </w:pPr>
            <w:r>
              <w:rPr>
                <w:color w:val="6B7080"/>
                <w:sz w:val="19"/>
                <w:szCs w:val="19"/>
              </w:rPr>
              <w:t xml:space="preserve">08 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Syndication &amp; Capital</w:t>
            </w:r>
            <w:r>
              <w:rPr>
                <w:sz w:val="20"/>
                <w:szCs w:val="20"/>
              </w:rPr>
              <w:t xml:space="preserve">  Konsortialpartner und Strukturen aus historischen Transaktionen ableiten.</w:t>
            </w:r>
          </w:p>
        </w:tc>
      </w:tr>
    </w:tbl>
    <w:p>
      <w:pPr>
        <w:keepNext/>
        <w:pageBreakBefore/>
        <w:spacing w:after="40"/>
      </w:pPr>
      <w:r>
        <w:rPr>
          <w:color w:val="6B7080"/>
          <w:sz w:val="19"/>
          <w:szCs w:val="19"/>
        </w:rPr>
        <w:t xml:space="preserve">Anwendungsfall 1  ·  Compliance</w:t>
      </w:r>
    </w:p>
    <w:p>
      <w:pPr>
        <w:keepNext/>
        <w:spacing w:after="80" w:line="252" w:lineRule="auto"/>
      </w:pPr>
      <w:r>
        <w:rPr>
          <w:rFonts w:ascii="Cambria" w:cs="Cambria" w:eastAsia="Cambria" w:hAnsi="Cambria"/>
          <w:color w:val="050A30"/>
          <w:sz w:val="52"/>
          <w:szCs w:val="52"/>
        </w:rPr>
        <w:t xml:space="preserve">Regulatory Impact Intelligence</w:t>
      </w:r>
    </w:p>
    <w:p>
      <w:pPr>
        <w:pBdr>
          <w:bottom w:val="single" w:color="050A30" w:sz="8"/>
        </w:pBdr>
        <w:spacing w:after="360" w:line="264" w:lineRule="auto"/>
      </w:pPr>
      <w:r>
        <w:rPr>
          <w:rFonts w:ascii="Cambria" w:cs="Cambria" w:eastAsia="Cambria" w:hAnsi="Cambria"/>
          <w:i/>
          <w:iCs/>
          <w:color w:val="050A30"/>
          <w:sz w:val="28"/>
          <w:szCs w:val="28"/>
        </w:rPr>
        <w:t xml:space="preserve">Neue regulatorische Anforderungen systematisch auf die schriftlich fixierte Ordnung abbilden.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Heute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Die KfW bewertet laufend neue Vorgaben von EU, EBA, EZB und BaFin: Anwendbarkeit je Konzerngesellschaft, Zeitpunkt, Umsetzungsbedarf.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Das interne Regelwerk ist die schriftlich fixierte Ordnung (SFO) mit konzernweiten und geschäftsfeldspezifischen Vorgaben.</w:t>
            </w:r>
          </w:p>
        </w:tc>
        <w:tc>
          <w:tcPr>
            <w:tcW w:type="dxa" w:w="4856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Das Problem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Der Aufwand liegt nicht im Auffinden der Veröffentlichung, sondern im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Abgleich</w:t>
            </w:r>
            <w:r>
              <w:rPr>
                <w:sz w:val="22"/>
                <w:szCs w:val="22"/>
              </w:rPr>
              <w:t xml:space="preserve">: Eine Änderung kann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viele SFO-Dokumente</w:t>
            </w:r>
            <w:r>
              <w:rPr>
                <w:sz w:val="22"/>
                <w:szCs w:val="22"/>
              </w:rPr>
              <w:t xml:space="preserve"> betreffen, die einzeln geprüft werden müssen.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Die Betroffenheitsanalyse muss für Revision und Aufsicht nachvollziehbar dokumentiert sein. Das bindet erfahrene Fachleute über Wochen.</w:t>
            </w:r>
          </w:p>
        </w:tc>
        <w:tc>
          <w:tcPr>
            <w:tcW w:type="dxa" w:w="4858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Mit KI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Das System erfasst Veröffentlichungen laufend und ordnet ihren Status ein: Konsultation, final, anwendbar ab.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Es gleicht die Anforderungen mit der SFO ab,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markiert betroffene Passagen</w:t>
            </w:r>
            <w:r>
              <w:rPr>
                <w:sz w:val="22"/>
                <w:szCs w:val="22"/>
              </w:rPr>
              <w:t xml:space="preserve"> und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schlägt Änderungstexte vor</w:t>
            </w:r>
            <w:r>
              <w:rPr>
                <w:sz w:val="22"/>
                <w:szCs w:val="22"/>
              </w:rPr>
              <w:t xml:space="preserve">. Jede Stelle trägt den Verweis auf die Quelle.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Die fachliche Bewertung und Freigabe bleibt bei Compliance.</w:t>
            </w:r>
          </w:p>
        </w:tc>
      </w:tr>
    </w:tbl>
    <w:p>
      <w:pPr>
        <w:spacing w:after="200"/>
      </w:pPr>
    </w:p>
    <w:p>
      <w:pPr>
        <w:keepNext/>
        <w:spacing w:after="120"/>
      </w:pPr>
      <w:r>
        <w:rPr>
          <w:b/>
          <w:bCs/>
          <w:color w:val="6B7080"/>
          <w:sz w:val="19"/>
          <w:szCs w:val="19"/>
        </w:rPr>
        <w:t xml:space="preserve">Was die KfW davon hat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16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Kürzere Durchlaufzeit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von der Veröffentlichung bis zur </w:t>
            </w:r>
            <w:r>
              <w:rPr>
                <w:b/>
                <w:bCs/>
                <w:color w:val="050A30"/>
                <w:sz w:val="20"/>
                <w:szCs w:val="20"/>
              </w:rPr>
              <w:t xml:space="preserve">dokumentierten Betroffenheitsanalyse</w:t>
            </w:r>
          </w:p>
        </w:tc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Vollständiger Abgleich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alle betroffenen SFO-Dokumente mit Quellenverweis</w:t>
            </w:r>
          </w:p>
        </w:tc>
        <w:tc>
          <w:tcPr>
            <w:tcW w:type="dxa" w:w="4858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Geringerer Abstimmungsaufwand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Fachbereiche prüfen konkrete Vorschläge statt Rohtexte</w:t>
            </w:r>
          </w:p>
        </w:tc>
      </w:tr>
    </w:tbl>
    <w:p>
      <w:pPr>
        <w:spacing w:after="0" w:before="160"/>
      </w:pPr>
      <w:r>
        <w:rPr>
          <w:color w:val="6B7080"/>
          <w:sz w:val="17"/>
          <w:szCs w:val="17"/>
        </w:rPr>
        <w:t xml:space="preserve">Beispiel: EBA-Leitlinien zum Drittparteienrisikomanagement, finalisiert am 18.09.2026, noch nicht anwendbar; Umsetzungsfrist voraussichtlich 2027. Das System muss diesen Status korrekt erkennen.</w:t>
      </w:r>
    </w:p>
    <w:p>
      <w:pPr>
        <w:keepNext/>
        <w:pageBreakBefore/>
        <w:spacing w:after="40"/>
      </w:pPr>
      <w:r>
        <w:rPr>
          <w:color w:val="6B7080"/>
          <w:sz w:val="19"/>
          <w:szCs w:val="19"/>
        </w:rPr>
        <w:t xml:space="preserve">Anwendungsfall 2  ·  Konzernrevision</w:t>
      </w:r>
    </w:p>
    <w:p>
      <w:pPr>
        <w:keepNext/>
        <w:spacing w:after="80" w:line="252" w:lineRule="auto"/>
      </w:pPr>
      <w:r>
        <w:rPr>
          <w:rFonts w:ascii="Cambria" w:cs="Cambria" w:eastAsia="Cambria" w:hAnsi="Cambria"/>
          <w:color w:val="050A30"/>
          <w:sz w:val="52"/>
          <w:szCs w:val="52"/>
        </w:rPr>
        <w:t xml:space="preserve">Internal Audit Reporting Intelligence</w:t>
      </w:r>
    </w:p>
    <w:p>
      <w:pPr>
        <w:pBdr>
          <w:bottom w:val="single" w:color="050A30" w:sz="8"/>
        </w:pBdr>
        <w:spacing w:after="360" w:line="264" w:lineRule="auto"/>
      </w:pPr>
      <w:r>
        <w:rPr>
          <w:rFonts w:ascii="Cambria" w:cs="Cambria" w:eastAsia="Cambria" w:hAnsi="Cambria"/>
          <w:i/>
          <w:iCs/>
          <w:color w:val="050A30"/>
          <w:sz w:val="28"/>
          <w:szCs w:val="28"/>
        </w:rPr>
        <w:t xml:space="preserve">Prüfungsfeststellungen und Berichte aus den Prüfungsunterlagen entwerfen, mit Nachweis für jede Aussage.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Heute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Die Konzernrevision arbeitet mit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rund 100 Beschäftigten</w:t>
            </w:r>
            <w:r>
              <w:rPr>
                <w:sz w:val="22"/>
                <w:szCs w:val="22"/>
              </w:rPr>
              <w:t xml:space="preserve"> in vier Abteilungen und führt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etwa 60 Prüfungen im Jahr</w:t>
            </w:r>
            <w:r>
              <w:rPr>
                <w:sz w:val="22"/>
                <w:szCs w:val="22"/>
              </w:rPr>
              <w:t xml:space="preserve"> durch.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Jeder Bericht muss belastbar, nachvollziehbar und für Vorstand und Aufsicht adressatengerecht sein.</w:t>
            </w:r>
          </w:p>
        </w:tc>
        <w:tc>
          <w:tcPr>
            <w:tcW w:type="dxa" w:w="4856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Das Problem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Nach den Prüfungshandlungen folgt die Dokumentation: Interviewprotokolle strukturieren, Nachweise zuordnen, Feststellungen formulieren, Abstimmungsschleifen.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Bei angenommenen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20 Stunden je Bericht</w:t>
            </w:r>
            <w:r>
              <w:rPr>
                <w:sz w:val="22"/>
                <w:szCs w:val="22"/>
              </w:rPr>
              <w:t xml:space="preserve"> sind das rund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1.200 Stunden im Jahr</w:t>
            </w:r>
            <w:r>
              <w:rPr>
                <w:sz w:val="22"/>
                <w:szCs w:val="22"/>
              </w:rPr>
              <w:t xml:space="preserve">, die nicht für Risikobewertung und fachliche Vertiefung zur Verfügung stehen.</w:t>
            </w:r>
          </w:p>
        </w:tc>
        <w:tc>
          <w:tcPr>
            <w:tcW w:type="dxa" w:w="4858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Mit KI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Das System verknüpft Prüfprogramm, einschlägige Richtlinien, Nachweise, Protokolle und Testergebnisse.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Daraus entstehen Entwürfe für Feststellungen und Bericht.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Jede Aussage verweist auf ihren Nachweis</w:t>
            </w:r>
            <w:r>
              <w:rPr>
                <w:sz w:val="22"/>
                <w:szCs w:val="22"/>
              </w:rPr>
              <w:t xml:space="preserve">; unbelegte Aussagen und Widersprüche werden gekennzeichnet.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Bewertung, Formulierung der Schlussfolgerungen und Freigabe bleiben bei den Revisorinnen und Revisoren.</w:t>
            </w:r>
          </w:p>
        </w:tc>
      </w:tr>
    </w:tbl>
    <w:p>
      <w:pPr>
        <w:spacing w:after="200"/>
      </w:pPr>
    </w:p>
    <w:p>
      <w:pPr>
        <w:keepNext/>
        <w:spacing w:after="120"/>
      </w:pPr>
      <w:r>
        <w:rPr>
          <w:b/>
          <w:bCs/>
          <w:color w:val="6B7080"/>
          <w:sz w:val="19"/>
          <w:szCs w:val="19"/>
        </w:rPr>
        <w:t xml:space="preserve">Was die KfW davon hat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16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1.200 Stunden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pro Jahr weniger Dokumentationsaufwand, entspricht </w:t>
            </w:r>
            <w:r>
              <w:rPr>
                <w:b/>
                <w:bCs/>
                <w:color w:val="050A30"/>
                <w:sz w:val="20"/>
                <w:szCs w:val="20"/>
              </w:rPr>
              <w:t xml:space="preserve">rund 120.000 €</w:t>
            </w:r>
            <w:r>
              <w:rPr>
                <w:color w:val="6B7080"/>
                <w:sz w:val="20"/>
                <w:szCs w:val="20"/>
              </w:rPr>
              <w:t xml:space="preserve"> (Annahme)</w:t>
            </w:r>
          </w:p>
        </w:tc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Einheitliche Berichte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gleiche Struktur und Nachweistiefe über </w:t>
            </w:r>
            <w:r>
              <w:rPr>
                <w:b/>
                <w:bCs/>
                <w:color w:val="050A30"/>
                <w:sz w:val="20"/>
                <w:szCs w:val="20"/>
              </w:rPr>
              <w:t xml:space="preserve">alle 60 Prüfungen</w:t>
            </w:r>
          </w:p>
        </w:tc>
        <w:tc>
          <w:tcPr>
            <w:tcW w:type="dxa" w:w="4858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Mehr Prüfungskapazität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frei werdende Zeit für risikoorientierte Prüfungen</w:t>
            </w:r>
          </w:p>
        </w:tc>
      </w:tr>
    </w:tbl>
    <w:p>
      <w:pPr>
        <w:spacing w:after="0" w:before="160"/>
      </w:pPr>
      <w:r>
        <w:rPr>
          <w:color w:val="6B7080"/>
          <w:sz w:val="17"/>
          <w:szCs w:val="17"/>
        </w:rPr>
        <w:t xml:space="preserve">1.200 Stunden entsprechen bei 100 € Vollkosten je Stunde rund 120.000 € pro Jahr, vor Implementierungs- und Betriebskosten.</w:t>
      </w:r>
    </w:p>
    <w:p>
      <w:pPr>
        <w:keepNext/>
        <w:pageBreakBefore/>
        <w:spacing w:after="40"/>
      </w:pPr>
      <w:r>
        <w:rPr>
          <w:color w:val="6B7080"/>
          <w:sz w:val="19"/>
          <w:szCs w:val="19"/>
        </w:rPr>
        <w:t xml:space="preserve">Anwendungsfall 3  ·  CISO / IT-Security</w:t>
      </w:r>
    </w:p>
    <w:p>
      <w:pPr>
        <w:keepNext/>
        <w:spacing w:after="80" w:line="252" w:lineRule="auto"/>
      </w:pPr>
      <w:r>
        <w:rPr>
          <w:rFonts w:ascii="Cambria" w:cs="Cambria" w:eastAsia="Cambria" w:hAnsi="Cambria"/>
          <w:color w:val="050A30"/>
          <w:sz w:val="52"/>
          <w:szCs w:val="52"/>
        </w:rPr>
        <w:t xml:space="preserve">AI Security Testing &amp; Software-Alter</w:t>
      </w:r>
    </w:p>
    <w:p>
      <w:pPr>
        <w:pBdr>
          <w:bottom w:val="single" w:color="050A30" w:sz="8"/>
        </w:pBdr>
        <w:spacing w:after="360" w:line="264" w:lineRule="auto"/>
      </w:pPr>
      <w:r>
        <w:rPr>
          <w:rFonts w:ascii="Cambria" w:cs="Cambria" w:eastAsia="Cambria" w:hAnsi="Cambria"/>
          <w:i/>
          <w:iCs/>
          <w:color w:val="050A30"/>
          <w:sz w:val="28"/>
          <w:szCs w:val="28"/>
        </w:rPr>
        <w:t xml:space="preserve">Kontinuierlich wissen, welche Anwendungen veraltete oder angreifbare Komponenten enthalten, und dort gezielt testen.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Heute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Der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Finanzbericht 2025</w:t>
            </w:r>
            <w:r>
              <w:rPr>
                <w:sz w:val="22"/>
                <w:szCs w:val="22"/>
              </w:rPr>
              <w:t xml:space="preserve"> nennt Cyberangriffe und fehlerhafte Systemänderungen als zentrale IKT-Risiken. Die EZB führt Cyberresilienz und Penetrationstests als Aufsichtsschwerpunkt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2026–2028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Die Anwendungslandschaft umfasst Eigenentwicklungen, Systeme mehrerer Generationen, externe Bibliotheken und Schnittstellen.</w:t>
            </w:r>
          </w:p>
        </w:tc>
        <w:tc>
          <w:tcPr>
            <w:tcW w:type="dxa" w:w="4856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Das Problem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Eine Anwendung kann im Betrieb stabil laufen und dennoch Komponenten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ohne Herstellersupport</w:t>
            </w:r>
            <w:r>
              <w:rPr>
                <w:sz w:val="22"/>
                <w:szCs w:val="22"/>
              </w:rPr>
              <w:t xml:space="preserve"> oder mit bekannten,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aktiv ausgenutzten Schwachstellen</w:t>
            </w:r>
            <w:r>
              <w:rPr>
                <w:sz w:val="22"/>
                <w:szCs w:val="22"/>
              </w:rPr>
              <w:t xml:space="preserve"> enthalten. OWASP führt veraltete Komponenten als eigenes Top-10-Risiko (A06).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Penetrationstests liefern ein Bild zu einem Zeitpunkt. Eine laufende Sicht auf Alter, Supportstatus und Erreichbarkeit der Komponenten je Anwendung fehlt häufig.</w:t>
            </w:r>
          </w:p>
        </w:tc>
        <w:tc>
          <w:tcPr>
            <w:tcW w:type="dxa" w:w="4858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Mit KI</w:t>
            </w:r>
          </w:p>
          <w:p>
            <w:pPr>
              <w:spacing w:after="120" w:before="0" w:line="288" w:lineRule="auto"/>
            </w:pPr>
            <w:r>
              <w:rPr>
                <w:b/>
                <w:bCs/>
                <w:color w:val="050A30"/>
                <w:sz w:val="22"/>
                <w:szCs w:val="22"/>
              </w:rPr>
              <w:t xml:space="preserve">Komponenteninventar (SBOM)</w:t>
            </w:r>
            <w:r>
              <w:rPr>
                <w:sz w:val="22"/>
                <w:szCs w:val="22"/>
              </w:rPr>
              <w:t xml:space="preserve"> je Anwendung aus Repositories und Build-Artefakten; Abgleich mit Schwachstellendaten, Supportstatus und dem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CISA-Katalog</w:t>
            </w:r>
            <w:r>
              <w:rPr>
                <w:sz w:val="22"/>
                <w:szCs w:val="22"/>
              </w:rPr>
              <w:t xml:space="preserve"> aktiv ausgenutzter Schwachstellen.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Priorisierung nach Erreichbarkeit und Schutzbedarf. Automatisierte Tests in freigegebenen, isolierten Umgebungen; Nachtest nach jeder Behebung.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Ergänzend ein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Report zu Software- und Code-Alter</w:t>
            </w:r>
            <w:r>
              <w:rPr>
                <w:sz w:val="22"/>
                <w:szCs w:val="22"/>
              </w:rPr>
              <w:t xml:space="preserve"> je Anwendung.</w:t>
            </w:r>
          </w:p>
        </w:tc>
      </w:tr>
    </w:tbl>
    <w:p>
      <w:pPr>
        <w:spacing w:after="200"/>
      </w:pPr>
    </w:p>
    <w:p>
      <w:pPr>
        <w:keepNext/>
        <w:spacing w:after="120"/>
      </w:pPr>
      <w:r>
        <w:rPr>
          <w:b/>
          <w:bCs/>
          <w:color w:val="6B7080"/>
          <w:sz w:val="19"/>
          <w:szCs w:val="19"/>
        </w:rPr>
        <w:t xml:space="preserve">Was die KfW davon hat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16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Transparenz</w:t>
            </w:r>
          </w:p>
          <w:p>
            <w:pPr>
              <w:spacing w:after="0" w:line="276" w:lineRule="auto"/>
            </w:pPr>
            <w:r>
              <w:rPr>
                <w:b/>
                <w:bCs/>
                <w:color w:val="050A30"/>
                <w:sz w:val="20"/>
                <w:szCs w:val="20"/>
              </w:rPr>
              <w:t xml:space="preserve">Software-Alter</w:t>
            </w:r>
            <w:r>
              <w:rPr>
                <w:color w:val="6B7080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050A30"/>
                <w:sz w:val="20"/>
                <w:szCs w:val="20"/>
              </w:rPr>
              <w:t xml:space="preserve">End-of-Life-Quote</w:t>
            </w:r>
            <w:r>
              <w:rPr>
                <w:color w:val="6B7080"/>
                <w:sz w:val="20"/>
                <w:szCs w:val="20"/>
              </w:rPr>
              <w:t xml:space="preserve"> und erreichbare kritische Schwachstellen je Anwendung</w:t>
            </w:r>
          </w:p>
        </w:tc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Kürzere Remediation Time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von der Erkennung bis zur verifizierten Behebung</w:t>
            </w:r>
          </w:p>
        </w:tc>
        <w:tc>
          <w:tcPr>
            <w:tcW w:type="dxa" w:w="4858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Gezielter Testaufwand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auf Anwendungen mit hohem Risiko und hoher Exposition</w:t>
            </w:r>
          </w:p>
        </w:tc>
      </w:tr>
    </w:tbl>
    <w:p>
      <w:pPr>
        <w:spacing w:after="0" w:before="160"/>
      </w:pPr>
      <w:r>
        <w:rPr>
          <w:color w:val="6B7080"/>
          <w:sz w:val="17"/>
          <w:szCs w:val="17"/>
        </w:rPr>
        <w:t xml:space="preserve">Ergänzt manuelle Penetrationstests und bedrohungsorientierte Tests (TLPT) nach DORA, ersetzt sie nicht.</w:t>
      </w:r>
    </w:p>
    <w:p>
      <w:pPr>
        <w:keepNext/>
        <w:pageBreakBefore/>
        <w:spacing w:after="40"/>
      </w:pPr>
      <w:r>
        <w:rPr>
          <w:color w:val="6B7080"/>
          <w:sz w:val="19"/>
          <w:szCs w:val="19"/>
        </w:rPr>
        <w:t xml:space="preserve">Anwendungsfall 4  ·  IT-Risiko / Auslagerung</w:t>
      </w:r>
    </w:p>
    <w:p>
      <w:pPr>
        <w:keepNext/>
        <w:spacing w:after="80" w:line="252" w:lineRule="auto"/>
      </w:pPr>
      <w:r>
        <w:rPr>
          <w:rFonts w:ascii="Cambria" w:cs="Cambria" w:eastAsia="Cambria" w:hAnsi="Cambria"/>
          <w:color w:val="050A30"/>
          <w:sz w:val="52"/>
          <w:szCs w:val="52"/>
        </w:rPr>
        <w:t xml:space="preserve">Third-Party Dependency Intelligence</w:t>
      </w:r>
    </w:p>
    <w:p>
      <w:pPr>
        <w:pBdr>
          <w:bottom w:val="single" w:color="050A30" w:sz="8"/>
        </w:pBdr>
        <w:spacing w:after="360" w:line="264" w:lineRule="auto"/>
      </w:pPr>
      <w:r>
        <w:rPr>
          <w:rFonts w:ascii="Cambria" w:cs="Cambria" w:eastAsia="Cambria" w:hAnsi="Cambria"/>
          <w:i/>
          <w:iCs/>
          <w:color w:val="050A30"/>
          <w:sz w:val="28"/>
          <w:szCs w:val="28"/>
        </w:rPr>
        <w:t xml:space="preserve">Abhängigkeiten von Dienstleistern, Subdienstleistern und Systemen in einem Modell zusammenführen.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Heute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Kritische Geschäftsprozesse hängen von Cloud-Providern, Softwareherstellern, Rechenzentrumsdiensten und deren Subdienstleistern ab.</w:t>
            </w:r>
          </w:p>
          <w:p>
            <w:pPr>
              <w:spacing w:after="120" w:before="0" w:line="288" w:lineRule="auto"/>
            </w:pPr>
            <w:r>
              <w:rPr>
                <w:b/>
                <w:bCs/>
                <w:color w:val="050A30"/>
                <w:sz w:val="22"/>
                <w:szCs w:val="22"/>
              </w:rPr>
              <w:t xml:space="preserve">DORA</w:t>
            </w:r>
            <w:r>
              <w:rPr>
                <w:sz w:val="22"/>
                <w:szCs w:val="22"/>
              </w:rPr>
              <w:t xml:space="preserve"> verlangt ein strukturiertes Management dieser Abhängigkeiten. Die EBA hat im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September 2026</w:t>
            </w:r>
            <w:r>
              <w:rPr>
                <w:sz w:val="22"/>
                <w:szCs w:val="22"/>
              </w:rPr>
              <w:t xml:space="preserve"> Leitlinien auch für Drittparteien außerhalb des IKT-Bereichs finalisiert.</w:t>
            </w:r>
          </w:p>
        </w:tc>
        <w:tc>
          <w:tcPr>
            <w:tcW w:type="dxa" w:w="4856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Das Problem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Hinter einer Anwendung stehen oft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mehrere Anbieter und Subunternehmer</w:t>
            </w:r>
            <w:r>
              <w:rPr>
                <w:sz w:val="22"/>
                <w:szCs w:val="22"/>
              </w:rPr>
              <w:t xml:space="preserve">. Die Informationen dazu liegen verteilt in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vier Bereichen</w:t>
            </w:r>
            <w:r>
              <w:rPr>
                <w:sz w:val="22"/>
                <w:szCs w:val="22"/>
              </w:rPr>
              <w:t xml:space="preserve">: Vertragsmanagement, IT-Architektur, Prozessdokumentation und Risikomanagement.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Bei einem Dienstleistervorfall muss die Betroffenheit aus diesen Quellen erst zusammengetragen werden.</w:t>
            </w:r>
          </w:p>
        </w:tc>
        <w:tc>
          <w:tcPr>
            <w:tcW w:type="dxa" w:w="4858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Mit KI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Ein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Abhängigkeitsmodell</w:t>
            </w:r>
            <w:r>
              <w:rPr>
                <w:sz w:val="22"/>
                <w:szCs w:val="22"/>
              </w:rPr>
              <w:t xml:space="preserve"> verknüpft Verträge, Dienstleister, Subdienstleisterketten, Systeme und Geschäftsprozesse.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Es zeigt je Dienstleister die abhängigen Funktionen, bestehende vertragliche Absicherungen, dokumentierte Exit- und Wiederanlaufpläne und fehlende Nachweise.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Konzentrationsrisiken werden aus den vorhandenen Daten sichtbar.</w:t>
            </w:r>
          </w:p>
        </w:tc>
      </w:tr>
    </w:tbl>
    <w:p>
      <w:pPr>
        <w:spacing w:after="200"/>
      </w:pPr>
    </w:p>
    <w:p>
      <w:pPr>
        <w:keepNext/>
        <w:spacing w:after="120"/>
      </w:pPr>
      <w:r>
        <w:rPr>
          <w:b/>
          <w:bCs/>
          <w:color w:val="6B7080"/>
          <w:sz w:val="19"/>
          <w:szCs w:val="19"/>
        </w:rPr>
        <w:t xml:space="preserve">Was die KfW davon hat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16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Schnellere Betroffenheitsanalyse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bei Störungen oder Sicherheitsmeldungen eines Dienstleisters</w:t>
            </w:r>
          </w:p>
        </w:tc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Vollständige Erfassung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kritischer Abhängigkeiten </w:t>
            </w:r>
            <w:r>
              <w:rPr>
                <w:b/>
                <w:bCs/>
                <w:color w:val="050A30"/>
                <w:sz w:val="20"/>
                <w:szCs w:val="20"/>
              </w:rPr>
              <w:t xml:space="preserve">einschließlich Subdienstleister</w:t>
            </w:r>
          </w:p>
        </w:tc>
        <w:tc>
          <w:tcPr>
            <w:tcW w:type="dxa" w:w="4858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Prüfbare Nachweise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Exit-Pläne und Absicherungen direkt am Geschäftsprozess</w:t>
            </w:r>
          </w:p>
        </w:tc>
      </w:tr>
    </w:tbl>
    <w:p/>
    <w:p>
      <w:pPr>
        <w:keepNext/>
        <w:pageBreakBefore/>
        <w:spacing w:after="40"/>
      </w:pPr>
      <w:r>
        <w:rPr>
          <w:color w:val="6B7080"/>
          <w:sz w:val="19"/>
          <w:szCs w:val="19"/>
        </w:rPr>
        <w:t xml:space="preserve">Anwendungsfall 5  ·  IKS / Operational Risk</w:t>
      </w:r>
    </w:p>
    <w:p>
      <w:pPr>
        <w:keepNext/>
        <w:spacing w:after="80" w:line="252" w:lineRule="auto"/>
      </w:pPr>
      <w:r>
        <w:rPr>
          <w:rFonts w:ascii="Cambria" w:cs="Cambria" w:eastAsia="Cambria" w:hAnsi="Cambria"/>
          <w:color w:val="050A30"/>
          <w:sz w:val="52"/>
          <w:szCs w:val="52"/>
        </w:rPr>
        <w:t xml:space="preserve">Continuous Control Intelligence</w:t>
      </w:r>
    </w:p>
    <w:p>
      <w:pPr>
        <w:pBdr>
          <w:bottom w:val="single" w:color="050A30" w:sz="8"/>
        </w:pBdr>
        <w:spacing w:after="360" w:line="264" w:lineRule="auto"/>
      </w:pPr>
      <w:r>
        <w:rPr>
          <w:rFonts w:ascii="Cambria" w:cs="Cambria" w:eastAsia="Cambria" w:hAnsi="Cambria"/>
          <w:i/>
          <w:iCs/>
          <w:color w:val="050A30"/>
          <w:sz w:val="28"/>
          <w:szCs w:val="28"/>
        </w:rPr>
        <w:t xml:space="preserve">Kontrollabweichungen laufend aus Prozessdaten erkennen statt nur zu festen Prüfzeitpunkten.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Heute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Die KfW verfügt über etablierte IKS-Kontrollen, regelmäßige Risiko-Assessments und bereichsspezifische OpRisk-Dashboards.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Kontrollen werden in festen Abständen geprüft, Nachweise zusammengetragen und Maßnahmen nachverfolgt.</w:t>
            </w:r>
          </w:p>
        </w:tc>
        <w:tc>
          <w:tcPr>
            <w:tcW w:type="dxa" w:w="4856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Das Problem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Zwischen zwei Prüfzeitpunkten entstehende Abweichungen werden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erst bei der nächsten Prüfung</w:t>
            </w:r>
            <w:r>
              <w:rPr>
                <w:sz w:val="22"/>
                <w:szCs w:val="22"/>
              </w:rPr>
              <w:t xml:space="preserve"> sichtbar, je nach Kontrollfrequenz nach Monaten.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Kontrollnachweise, Prozessdaten, Berechtigungen und Maßnahmenstatus liegen in verschiedenen Systemen. Ob eine Korrekturmaßnahme gewirkt hat, ist aufwendig zu belegen.</w:t>
            </w:r>
          </w:p>
        </w:tc>
        <w:tc>
          <w:tcPr>
            <w:tcW w:type="dxa" w:w="4858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Mit KI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Prozess- und Transaktionsdaten werden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laufend</w:t>
            </w:r>
            <w:r>
              <w:rPr>
                <w:sz w:val="22"/>
                <w:szCs w:val="22"/>
              </w:rPr>
              <w:t xml:space="preserve"> gegen definierte Kontrollregeln geprüft, etwa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Berechtigungsänderung ohne Freigabe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verletzte Funktionstrennung</w:t>
            </w:r>
            <w:r>
              <w:rPr>
                <w:sz w:val="22"/>
                <w:szCs w:val="22"/>
              </w:rPr>
              <w:t xml:space="preserve"> oder Kontrolle ohne vollständigen Nachweis.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Auffälligkeiten werden im Prozesskontext eingeordnet und begründet an die Kontrollverantwortlichen übergeben.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Die Interne Revision kann die Ergebnisse unabhängig prüfen.</w:t>
            </w:r>
          </w:p>
        </w:tc>
      </w:tr>
    </w:tbl>
    <w:p>
      <w:pPr>
        <w:spacing w:after="200"/>
      </w:pPr>
    </w:p>
    <w:p>
      <w:pPr>
        <w:keepNext/>
        <w:spacing w:after="120"/>
      </w:pPr>
      <w:r>
        <w:rPr>
          <w:b/>
          <w:bCs/>
          <w:color w:val="6B7080"/>
          <w:sz w:val="19"/>
          <w:szCs w:val="19"/>
        </w:rPr>
        <w:t xml:space="preserve">Was die KfW davon hat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16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Frühere Erkennung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Abweichungen nahe am Zeitpunkt ihres Entstehens</w:t>
            </w:r>
          </w:p>
        </w:tc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Weniger manuelle Auswertung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Nachweise werden systemseitig zusammengeführt</w:t>
            </w:r>
          </w:p>
        </w:tc>
        <w:tc>
          <w:tcPr>
            <w:tcW w:type="dxa" w:w="4858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Nachweis der Wirksamkeit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von Korrekturmaßnahmen anhand der Prozessdaten</w:t>
            </w:r>
          </w:p>
        </w:tc>
      </w:tr>
    </w:tbl>
    <w:p/>
    <w:p>
      <w:pPr>
        <w:keepNext/>
        <w:pageBreakBefore/>
        <w:spacing w:after="40"/>
      </w:pPr>
      <w:r>
        <w:rPr>
          <w:color w:val="6B7080"/>
          <w:sz w:val="19"/>
          <w:szCs w:val="19"/>
        </w:rPr>
        <w:t xml:space="preserve">Anwendungsfall 6  ·  KfW IPEX-Bank, Kreditrisiko</w:t>
      </w:r>
    </w:p>
    <w:p>
      <w:pPr>
        <w:keepNext/>
        <w:spacing w:after="80" w:line="252" w:lineRule="auto"/>
      </w:pPr>
      <w:r>
        <w:rPr>
          <w:rFonts w:ascii="Cambria" w:cs="Cambria" w:eastAsia="Cambria" w:hAnsi="Cambria"/>
          <w:color w:val="050A30"/>
          <w:sz w:val="52"/>
          <w:szCs w:val="52"/>
        </w:rPr>
        <w:t xml:space="preserve">Project Finance Early Warning</w:t>
      </w:r>
    </w:p>
    <w:p>
      <w:pPr>
        <w:pBdr>
          <w:bottom w:val="single" w:color="050A30" w:sz="8"/>
        </w:pBdr>
        <w:spacing w:after="360" w:line="264" w:lineRule="auto"/>
      </w:pPr>
      <w:r>
        <w:rPr>
          <w:rFonts w:ascii="Cambria" w:cs="Cambria" w:eastAsia="Cambria" w:hAnsi="Cambria"/>
          <w:i/>
          <w:iCs/>
          <w:color w:val="050A30"/>
          <w:sz w:val="28"/>
          <w:szCs w:val="28"/>
        </w:rPr>
        <w:t xml:space="preserve">Verteilte Signale aus Projektberichten, Covenants und Marktdaten je Finanzierung zusammenführen.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Heute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Die KfW IPEX-Bank begleitet langfristige Projekte in Energie, Mobilität und Infrastruktur; Ende 2025 lag der Kreditbestand bei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88,9 Mrd. €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Jedes Projekt liefert laufend Finanzberichte, Baufortschrittsmeldungen und Covenant-Reporting; hinzu kommen Markt- und Branchendaten.</w:t>
            </w:r>
          </w:p>
        </w:tc>
        <w:tc>
          <w:tcPr>
            <w:tcW w:type="dxa" w:w="4856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Das Problem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Verschlechterungen kündigen sich meist durch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mehrere kleine Signale</w:t>
            </w:r>
            <w:r>
              <w:rPr>
                <w:sz w:val="22"/>
                <w:szCs w:val="22"/>
              </w:rPr>
              <w:t xml:space="preserve"> an, verteilt über Dokumente, Quellen und Monate: eine Bauverzögerung, steigende Beschaffungskosten, eine angepasste Prognose eines Auftragnehmers.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Bei einem Portfolio dieser Größe ist es im Kreditreview aufwendig, diese Signale je Projekt in einen gemeinsamen Risikokontext zu bringen.</w:t>
            </w:r>
          </w:p>
        </w:tc>
        <w:tc>
          <w:tcPr>
            <w:tcW w:type="dxa" w:w="4858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Mit KI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Das System liest Projektberichte, Vertrags- und Covenant-Dokumente sowie externe Signale und verknüpft sie mit den Annahmen des Finanzierungsmodells.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Es zeigt, welche Annahmen und Verpflichtungen überprüft werden sollten, und begründet dies mit den zugrunde liegenden Quellen.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Cashflow-, Deckungsgrad- und Risikoberechnungen bleiben in den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validierten Modellen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20"/>
      </w:pPr>
      <w:r>
        <w:rPr>
          <w:b/>
          <w:bCs/>
          <w:color w:val="6B7080"/>
          <w:sz w:val="19"/>
          <w:szCs w:val="19"/>
        </w:rPr>
        <w:t xml:space="preserve">Was die KfW davon hat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16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Längere Vorwarnzeit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vor </w:t>
            </w:r>
            <w:r>
              <w:rPr>
                <w:b/>
                <w:bCs/>
                <w:color w:val="050A30"/>
                <w:sz w:val="20"/>
                <w:szCs w:val="20"/>
              </w:rPr>
              <w:t xml:space="preserve">Covenant-Verstößen</w:t>
            </w:r>
            <w:r>
              <w:rPr>
                <w:color w:val="6B7080"/>
                <w:sz w:val="20"/>
                <w:szCs w:val="20"/>
              </w:rPr>
              <w:t xml:space="preserve"> und Ratingveränderungen</w:t>
            </w:r>
          </w:p>
        </w:tc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Effizientere Kreditreviews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weniger Zeit für die Sichtung, mehr für die Bewertung</w:t>
            </w:r>
          </w:p>
        </w:tc>
        <w:tc>
          <w:tcPr>
            <w:tcW w:type="dxa" w:w="4858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Begrenzung von Verlusten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durch frühere Maßnahmen bei kritischen Entwicklungen</w:t>
            </w:r>
          </w:p>
        </w:tc>
      </w:tr>
    </w:tbl>
    <w:p/>
    <w:p>
      <w:pPr>
        <w:keepNext/>
        <w:pageBreakBefore/>
        <w:spacing w:after="40"/>
      </w:pPr>
      <w:r>
        <w:rPr>
          <w:color w:val="6B7080"/>
          <w:sz w:val="19"/>
          <w:szCs w:val="19"/>
        </w:rPr>
        <w:t xml:space="preserve">Anwendungsfall 7  ·  KfW IPEX-Bank, Exportfinanzierung</w:t>
      </w:r>
    </w:p>
    <w:p>
      <w:pPr>
        <w:keepNext/>
        <w:spacing w:after="80" w:line="252" w:lineRule="auto"/>
      </w:pPr>
      <w:r>
        <w:rPr>
          <w:rFonts w:ascii="Cambria" w:cs="Cambria" w:eastAsia="Cambria" w:hAnsi="Cambria"/>
          <w:color w:val="050A30"/>
          <w:sz w:val="52"/>
          <w:szCs w:val="52"/>
        </w:rPr>
        <w:t xml:space="preserve">Export Finance Structuring Intelligence</w:t>
      </w:r>
    </w:p>
    <w:p>
      <w:pPr>
        <w:pBdr>
          <w:bottom w:val="single" w:color="050A30" w:sz="8"/>
        </w:pBdr>
        <w:spacing w:after="360" w:line="264" w:lineRule="auto"/>
      </w:pPr>
      <w:r>
        <w:rPr>
          <w:rFonts w:ascii="Cambria" w:cs="Cambria" w:eastAsia="Cambria" w:hAnsi="Cambria"/>
          <w:i/>
          <w:iCs/>
          <w:color w:val="050A30"/>
          <w:sz w:val="28"/>
          <w:szCs w:val="28"/>
        </w:rPr>
        <w:t xml:space="preserve">Für jede Finanzierungsanfrage alternative ECA-Strukturen systematisch prüfen und vergleichen.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Heute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Das ECA-Transaktionsvolumen der KfW IPEX-Bank lag 2025 bei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rund 4,4 Mrd. €</w:t>
            </w:r>
            <w:r>
              <w:rPr>
                <w:sz w:val="22"/>
                <w:szCs w:val="22"/>
              </w:rPr>
              <w:t xml:space="preserve">. Die Zahl der Deckungsprodukte der Exportkreditagenturen hat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deutlich zugenommen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Ein KI-Projekt zur Dokumentenanalyse ist bereits gestartet.</w:t>
            </w:r>
          </w:p>
        </w:tc>
        <w:tc>
          <w:tcPr>
            <w:tcW w:type="dxa" w:w="4856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Das Problem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Welche Deckung zu einem Vorhaben passt, hängt von Land, Lieferkette, Risikokonstellation und Förderkriterien ab.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Unter Zeitdruck ist es schwierig, alle Varianten gleichwertig zu prüfen.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Strukturen, die ein Mandat erst ermöglichen würden, bleiben dann ungeprüft.</w:t>
            </w:r>
          </w:p>
        </w:tc>
        <w:tc>
          <w:tcPr>
            <w:tcW w:type="dxa" w:w="4858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Mit KI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Jede Anfrage wird gegen die Deckungsbedingungen relevanter Agenturen und gegen vergleichbare historische Transaktionen der Bank geprüft.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Das System stellt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zwei bis drei Strukturvarianten</w:t>
            </w:r>
            <w:r>
              <w:rPr>
                <w:sz w:val="22"/>
                <w:szCs w:val="22"/>
              </w:rPr>
              <w:t xml:space="preserve"> mit Voraussetzungen, Risikoaufteilung und wirtschaftlicher Einschätzung gegenüber.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Die Strukturierungsexperten entscheiden, welche Variante weiterverfolgt wird.</w:t>
            </w:r>
          </w:p>
        </w:tc>
      </w:tr>
    </w:tbl>
    <w:p>
      <w:pPr>
        <w:spacing w:after="200"/>
      </w:pPr>
    </w:p>
    <w:p>
      <w:pPr>
        <w:keepNext/>
        <w:spacing w:after="120"/>
      </w:pPr>
      <w:r>
        <w:rPr>
          <w:b/>
          <w:bCs/>
          <w:color w:val="6B7080"/>
          <w:sz w:val="19"/>
          <w:szCs w:val="19"/>
        </w:rPr>
        <w:t xml:space="preserve">Was die KfW davon hat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16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Zusätzliche Mandate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durch Strukturen, die heute nicht systematisch geprüft werden</w:t>
            </w:r>
          </w:p>
        </w:tc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Kürzere Zeit bis zum Term Sheet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durch vorbereitete Strukturvergleiche</w:t>
            </w:r>
          </w:p>
        </w:tc>
        <w:tc>
          <w:tcPr>
            <w:tcW w:type="dxa" w:w="4858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300.000 €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Bruttoertrag je Zusatzmandat bei </w:t>
            </w:r>
            <w:r>
              <w:rPr>
                <w:b/>
                <w:bCs/>
                <w:color w:val="050A30"/>
                <w:sz w:val="20"/>
                <w:szCs w:val="20"/>
              </w:rPr>
              <w:t xml:space="preserve">150 Mio. € Volumen</w:t>
            </w:r>
            <w:r>
              <w:rPr>
                <w:color w:val="6B7080"/>
                <w:sz w:val="20"/>
                <w:szCs w:val="20"/>
              </w:rPr>
              <w:t xml:space="preserve"> und </w:t>
            </w:r>
            <w:r>
              <w:rPr>
                <w:b/>
                <w:bCs/>
                <w:color w:val="050A30"/>
                <w:sz w:val="20"/>
                <w:szCs w:val="20"/>
              </w:rPr>
              <w:t xml:space="preserve">20 bp</w:t>
            </w:r>
            <w:r>
              <w:rPr>
                <w:color w:val="6B7080"/>
                <w:sz w:val="20"/>
                <w:szCs w:val="20"/>
              </w:rPr>
              <w:t xml:space="preserve"> (Annahme)</w:t>
            </w:r>
          </w:p>
        </w:tc>
      </w:tr>
    </w:tbl>
    <w:p>
      <w:pPr>
        <w:spacing w:after="0" w:before="160"/>
      </w:pPr>
      <w:r>
        <w:rPr>
          <w:color w:val="6B7080"/>
          <w:sz w:val="17"/>
          <w:szCs w:val="17"/>
        </w:rPr>
        <w:t xml:space="preserve">Der Gebührensatz ist eine Rechenannahme, kein veröffentlichter KfW-Wert. Risiko-, Personal- und Strukturierungskosten sind nicht abgezogen.</w:t>
      </w:r>
    </w:p>
    <w:p>
      <w:pPr>
        <w:keepNext/>
        <w:pageBreakBefore/>
        <w:spacing w:after="40"/>
      </w:pPr>
      <w:r>
        <w:rPr>
          <w:color w:val="6B7080"/>
          <w:sz w:val="19"/>
          <w:szCs w:val="19"/>
        </w:rPr>
        <w:t xml:space="preserve">Anwendungsfall 8  ·  KfW IPEX-Bank, Syndizierung</w:t>
      </w:r>
    </w:p>
    <w:p>
      <w:pPr>
        <w:keepNext/>
        <w:spacing w:after="80" w:line="252" w:lineRule="auto"/>
      </w:pPr>
      <w:r>
        <w:rPr>
          <w:rFonts w:ascii="Cambria" w:cs="Cambria" w:eastAsia="Cambria" w:hAnsi="Cambria"/>
          <w:color w:val="050A30"/>
          <w:sz w:val="52"/>
          <w:szCs w:val="52"/>
        </w:rPr>
        <w:t xml:space="preserve">Syndication &amp; Capital Intelligence</w:t>
      </w:r>
    </w:p>
    <w:p>
      <w:pPr>
        <w:pBdr>
          <w:bottom w:val="single" w:color="050A30" w:sz="8"/>
        </w:pBdr>
        <w:spacing w:after="360" w:line="264" w:lineRule="auto"/>
      </w:pPr>
      <w:r>
        <w:rPr>
          <w:rFonts w:ascii="Cambria" w:cs="Cambria" w:eastAsia="Cambria" w:hAnsi="Cambria"/>
          <w:i/>
          <w:iCs/>
          <w:color w:val="050A30"/>
          <w:sz w:val="28"/>
          <w:szCs w:val="28"/>
        </w:rPr>
        <w:t xml:space="preserve">Geeignete Konsortialpartner und Syndizierungsstrukturen aus historischen Transaktionen ableiten.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Heute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Die KfW IPEX-Bank wies 2025 ein arrangiertes Syndizierungsvolumen von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6,9 Mrd. €</w:t>
            </w:r>
            <w:r>
              <w:rPr>
                <w:sz w:val="22"/>
                <w:szCs w:val="22"/>
              </w:rPr>
              <w:t xml:space="preserve"> aus. Großvolumige Finanzierungen werden mit Banken und institutionellen Investoren geteilt.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Der Erfolg der Platzierung bestimmt, wie viel Kapazität für weiteres Geschäft verfügbar bleibt.</w:t>
            </w:r>
          </w:p>
        </w:tc>
        <w:tc>
          <w:tcPr>
            <w:tcW w:type="dxa" w:w="4856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Das Problem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Je Transaktion sind Partner nach Sektor, Land, Laufzeit, Ticketgröße und bestehender Beziehung zu bewerten, dazu Strukturvarianten mit unterschiedlicher Kapitalbindung.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Ein großer Teil dieses Wissens liegt in abgeschlossenen Transaktionen und bei einzelnen Personen,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nicht in einem auswertbaren System</w:t>
            </w:r>
            <w:r>
              <w:rPr>
                <w:sz w:val="22"/>
                <w:szCs w:val="22"/>
              </w:rPr>
              <w:t xml:space="preserve">.</w:t>
            </w:r>
          </w:p>
        </w:tc>
        <w:tc>
          <w:tcPr>
            <w:tcW w:type="dxa" w:w="4858"/>
            <w:tcBorders>
              <w:top w:val="none" w:color="FFFFFF" w:sz="0"/>
              <w:left w:val="single" w:color="D6D9E1" w:sz="4"/>
              <w:bottom w:val="none" w:color="FFFFFF" w:sz="0"/>
              <w:right w:val="none" w:color="FFFFFF" w:sz="0"/>
            </w:tcBorders>
            <w:tcMar>
              <w:top w:type="dxa" w:w="120"/>
              <w:left w:type="dxa" w:w="240"/>
              <w:bottom w:type="dxa" w:w="120"/>
              <w:right w:type="dxa" w:w="0"/>
            </w:tcMar>
          </w:tcPr>
          <w:p>
            <w:pPr>
              <w:keepNext/>
              <w:spacing w:after="120"/>
            </w:pPr>
            <w:r>
              <w:rPr>
                <w:b/>
                <w:bCs/>
                <w:color w:val="6B7080"/>
                <w:sz w:val="19"/>
                <w:szCs w:val="19"/>
              </w:rPr>
              <w:t xml:space="preserve">Mit KI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Das System wertet historische Syndizierungen, dokumentierte Partnerpräferenzen und die aktuelle Pipeline aus.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Es schlägt Partner und Strukturvarianten vor und vergleicht Szenarien nach </w:t>
            </w:r>
            <w:r>
              <w:rPr>
                <w:b/>
                <w:bCs/>
                <w:color w:val="050A30"/>
                <w:sz w:val="22"/>
                <w:szCs w:val="22"/>
              </w:rPr>
              <w:t xml:space="preserve">Platzierbarkeit, Kapitalbindung und Ergebnis</w:t>
            </w:r>
            <w:r>
              <w:rPr>
                <w:sz w:val="22"/>
                <w:szCs w:val="22"/>
              </w:rPr>
              <w:t xml:space="preserve">, auf Basis der bestehenden Risikomodelle.</w:t>
            </w:r>
          </w:p>
          <w:p>
            <w:pPr>
              <w:spacing w:after="120" w:before="0" w:line="288" w:lineRule="auto"/>
            </w:pPr>
            <w:r>
              <w:rPr>
                <w:sz w:val="22"/>
                <w:szCs w:val="22"/>
              </w:rPr>
              <w:t xml:space="preserve">Das Syndizierungsteam entscheidet über Ansprache und Struktur.</w:t>
            </w:r>
          </w:p>
        </w:tc>
      </w:tr>
    </w:tbl>
    <w:p>
      <w:pPr>
        <w:spacing w:after="200"/>
      </w:pPr>
    </w:p>
    <w:p>
      <w:pPr>
        <w:keepNext/>
        <w:spacing w:after="120"/>
      </w:pPr>
      <w:r>
        <w:rPr>
          <w:b/>
          <w:bCs/>
          <w:color w:val="6B7080"/>
          <w:sz w:val="19"/>
          <w:szCs w:val="19"/>
        </w:rPr>
        <w:t xml:space="preserve">Was die KfW davon hat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16"/>
        </w:tblBorders>
        <w:tblLayout w:type="fixed"/>
      </w:tblPr>
      <w:tblGrid>
        <w:gridCol w:w="4856"/>
        <w:gridCol w:w="4856"/>
        <w:gridCol w:w="4858"/>
      </w:tblGrid>
      <w:tr>
        <w:trPr>
          <w:cantSplit/>
        </w:trPr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Höhere Platzierungsquote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und kürzere Zeit bis zur Syndizierung</w:t>
            </w:r>
          </w:p>
        </w:tc>
        <w:tc>
          <w:tcPr>
            <w:tcW w:type="dxa" w:w="4856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Geringere Kapitalbindung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je Transaktion durch passendere Strukturen</w:t>
            </w:r>
          </w:p>
        </w:tc>
        <w:tc>
          <w:tcPr>
            <w:tcW w:type="dxa" w:w="4858"/>
            <w:shd w:fill="F4F5F8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 w:line="240" w:lineRule="auto"/>
            </w:pPr>
            <w:r>
              <w:rPr>
                <w:rFonts w:ascii="Cambria" w:cs="Cambria" w:eastAsia="Cambria" w:hAnsi="Cambria"/>
                <w:color w:val="050A30"/>
                <w:sz w:val="34"/>
                <w:szCs w:val="34"/>
              </w:rPr>
              <w:t xml:space="preserve">Zusätzliches Geschäft</w:t>
            </w:r>
          </w:p>
          <w:p>
            <w:pPr>
              <w:spacing w:after="0" w:line="276" w:lineRule="auto"/>
            </w:pPr>
            <w:r>
              <w:rPr>
                <w:color w:val="6B7080"/>
                <w:sz w:val="20"/>
                <w:szCs w:val="20"/>
              </w:rPr>
              <w:t xml:space="preserve">innerhalb bestehender Risiko- und Kapitalvorgaben</w:t>
            </w:r>
          </w:p>
        </w:tc>
      </w:tr>
    </w:tbl>
    <w:p/>
    <w:sectPr>
      <w:footerReference w:type="default" r:id="rId7"/>
      <w:pgSz w:w="16838" w:h="11906" w:orient="landscape"/>
      <w:pgMar w:top="1134" w:right="1134" w:bottom="1134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4570"/>
      </w:tabs>
    </w:pPr>
    <w:r>
      <w:rPr>
        <w:color w:val="6B7080"/>
        <w:sz w:val="15"/>
        <w:szCs w:val="15"/>
      </w:rPr>
      <w:t xml:space="preserve">KfW  ·  KI-Anwendungsfälle</w:t>
    </w:r>
    <w:r>
      <w:t xml:space="preserve">	</w:t>
    </w:r>
    <w:r>
      <w:rPr>
        <w:color w:val="6B70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00" w:hanging="300"/>
      </w:pPr>
      <w:rPr>
        <w:color w:val="050A3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233"/>
        <w:sz w:val="20"/>
        <w:szCs w:val="20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e6bee60e59fa09dd2f29a258d93099b13abfb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KfW – Acht Anwendungsfälle für KI</dc:title>
  <dc:creator>Un-named</dc:creator>
  <cp:lastModifiedBy>Un-named</cp:lastModifiedBy>
  <cp:revision>1</cp:revision>
  <dcterms:created xsi:type="dcterms:W3CDTF">2026-10-26T22:10:33.456Z</dcterms:created>
  <dcterms:modified xsi:type="dcterms:W3CDTF">2026-10-26T22:10:33.458Z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