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drawing>
          <wp:inline distT="0" distB="0" distL="0" distR="0">
            <wp:extent cx="1428750" cy="285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28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</w:pPr>
      <w:r>
        <w:rPr>
          <w:color w:val="6B7080"/>
          <w:sz w:val="19"/>
          <w:szCs w:val="19"/>
        </w:rPr>
        <w:t xml:space="preserve">KfW Bankengruppe  ·  Oktober 2026</w:t>
      </w:r>
    </w:p>
    <w:p>
      <w:pPr>
        <w:pBdr>
          <w:bottom w:val="single" w:color="050A30" w:sz="8"/>
        </w:pBdr>
        <w:spacing w:after="320" w:line="252" w:lineRule="auto"/>
      </w:pPr>
      <w:r>
        <w:rPr>
          <w:rFonts w:ascii="Cambria" w:cs="Cambria" w:eastAsia="Cambria" w:hAnsi="Cambria"/>
          <w:color w:val="050A30"/>
          <w:sz w:val="56"/>
          <w:szCs w:val="56"/>
        </w:rPr>
        <w:t xml:space="preserve">Acht Anwendungsfälle für KI bei der KfW</w:t>
      </w:r>
    </w:p>
    <w:p>
      <w:pPr>
        <w:spacing w:after="120" w:before="0" w:line="300" w:lineRule="auto"/>
      </w:pPr>
      <w:r>
        <w:rPr>
          <w:sz w:val="22"/>
          <w:szCs w:val="22"/>
        </w:rPr>
        <w:t xml:space="preserve">Die Anforderungen an Prüfung, Dokumentation und Absicherung nehmen zu: DORA, neue EBA-Leitlinien zu Drittparteienrisiken, Cyberresilienz und IT-Kontrollen als Aufsichtsschwerpunkt der EZB 2026–2028. Im Finanzierungsgeschäft der KfW IPEX-Bank entscheidet zugleich die Qualität und Geschwindigkeit der Strukturierung über Mandate. Die Fachkapazität in Revision, Compliance, IT-Security und Front Office wächst nicht im gleichen Maß.</w:t>
      </w:r>
    </w:p>
    <w:p>
      <w:pPr>
        <w:spacing w:after="320" w:before="0" w:line="300" w:lineRule="auto"/>
      </w:pPr>
      <w:r>
        <w:rPr>
          <w:sz w:val="22"/>
          <w:szCs w:val="22"/>
        </w:rPr>
        <w:t xml:space="preserve">Die KfW verfügt über etablierte Prozesse und erste KI-Anwendungen. Der nächste Schritt sind Systeme, die Quellen miteinander verknüpfen, Abweichungen und Risiken früher sichtbar machen, Entscheidungen vorbereiten und jede Aussage mit einem Nachweis versehen. Acht Anwendungsfälle entlang bestehender KfW-Prozesse:</w:t>
      </w:r>
    </w:p>
    <w:tbl>
      <w:tblPr>
        <w:tblW w:type="dxa" w:w="1457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856"/>
        <w:gridCol w:w="4856"/>
        <w:gridCol w:w="4858"/>
      </w:tblGrid>
      <w:tr>
        <w:trPr>
          <w:cantSplit/>
        </w:trPr>
        <w:tc>
          <w:tcPr>
            <w:tcW w:type="dxa" w:w="4856"/>
            <w:tcMar>
              <w:top w:type="dxa" w:w="0"/>
              <w:left w:type="dxa" w:w="0"/>
              <w:bottom w:type="dxa" w:w="120"/>
              <w:right w:type="dxa" w:w="300"/>
            </w:tcMar>
          </w:tcPr>
          <w:p>
            <w:pPr>
              <w:pBdr>
                <w:bottom w:val="single" w:color="050A30" w:sz="6"/>
              </w:pBdr>
              <w:spacing w:after="160"/>
            </w:pPr>
            <w:r>
              <w:rPr>
                <w:rFonts w:ascii="Cambria" w:cs="Cambria" w:eastAsia="Cambria" w:hAnsi="Cambria"/>
                <w:color w:val="050A30"/>
                <w:sz w:val="30"/>
                <w:szCs w:val="30"/>
              </w:rPr>
              <w:t xml:space="preserve">Effizienz</w:t>
            </w:r>
          </w:p>
          <w:p>
            <w:pPr>
              <w:spacing w:after="120" w:line="276" w:lineRule="auto"/>
            </w:pPr>
            <w:r>
              <w:rPr>
                <w:color w:val="6B7080"/>
                <w:sz w:val="19"/>
                <w:szCs w:val="19"/>
              </w:rPr>
              <w:t xml:space="preserve">01  </w:t>
            </w:r>
            <w:r>
              <w:rPr>
                <w:b/>
                <w:bCs/>
                <w:color w:val="050A30"/>
                <w:sz w:val="22"/>
                <w:szCs w:val="22"/>
              </w:rPr>
              <w:t xml:space="preserve">Regulatory Impact</w:t>
            </w:r>
            <w:r>
              <w:rPr>
                <w:sz w:val="20"/>
                <w:szCs w:val="20"/>
              </w:rPr>
              <w:t xml:space="preserve">  Neue Anforderungen mit der SFO abgleichen, betroffene Dokumente benennen.</w:t>
            </w:r>
          </w:p>
          <w:p>
            <w:pPr>
              <w:spacing w:after="120" w:line="276" w:lineRule="auto"/>
            </w:pPr>
            <w:r>
              <w:rPr>
                <w:color w:val="6B7080"/>
                <w:sz w:val="19"/>
                <w:szCs w:val="19"/>
              </w:rPr>
              <w:t xml:space="preserve">02  </w:t>
            </w:r>
            <w:r>
              <w:rPr>
                <w:b/>
                <w:bCs/>
                <w:color w:val="050A30"/>
                <w:sz w:val="22"/>
                <w:szCs w:val="22"/>
              </w:rPr>
              <w:t xml:space="preserve">Audit Reporting</w:t>
            </w:r>
            <w:r>
              <w:rPr>
                <w:sz w:val="20"/>
                <w:szCs w:val="20"/>
              </w:rPr>
              <w:t xml:space="preserve">  Feststellungen und Berichte aus Prüfungsunterlagen entwerfen, mit Nachweis je Aussage.</w:t>
            </w:r>
          </w:p>
        </w:tc>
        <w:tc>
          <w:tcPr>
            <w:tcW w:type="dxa" w:w="4856"/>
            <w:tcMar>
              <w:top w:type="dxa" w:w="0"/>
              <w:left w:type="dxa" w:w="300"/>
              <w:bottom w:type="dxa" w:w="120"/>
              <w:right w:type="dxa" w:w="300"/>
            </w:tcMar>
          </w:tcPr>
          <w:p>
            <w:pPr>
              <w:pBdr>
                <w:bottom w:val="single" w:color="050A30" w:sz="6"/>
              </w:pBdr>
              <w:spacing w:after="160"/>
            </w:pPr>
            <w:r>
              <w:rPr>
                <w:rFonts w:ascii="Cambria" w:cs="Cambria" w:eastAsia="Cambria" w:hAnsi="Cambria"/>
                <w:color w:val="050A30"/>
                <w:sz w:val="30"/>
                <w:szCs w:val="30"/>
              </w:rPr>
              <w:t xml:space="preserve">Resilienz</w:t>
            </w:r>
          </w:p>
          <w:p>
            <w:pPr>
              <w:spacing w:after="120" w:line="276" w:lineRule="auto"/>
            </w:pPr>
            <w:r>
              <w:rPr>
                <w:color w:val="6B7080"/>
                <w:sz w:val="19"/>
                <w:szCs w:val="19"/>
              </w:rPr>
              <w:t xml:space="preserve">03  </w:t>
            </w:r>
            <w:r>
              <w:rPr>
                <w:b/>
                <w:bCs/>
                <w:color w:val="050A30"/>
                <w:sz w:val="22"/>
                <w:szCs w:val="22"/>
              </w:rPr>
              <w:t xml:space="preserve">Security Testing &amp; Software-Alter</w:t>
            </w:r>
            <w:r>
              <w:rPr>
                <w:sz w:val="20"/>
                <w:szCs w:val="20"/>
              </w:rPr>
              <w:t xml:space="preserve">  Komponenten, Alter und Schwachstellen je Anwendung laufend erfassen und gezielt testen.</w:t>
            </w:r>
          </w:p>
          <w:p>
            <w:pPr>
              <w:spacing w:after="120" w:line="276" w:lineRule="auto"/>
            </w:pPr>
            <w:r>
              <w:rPr>
                <w:color w:val="6B7080"/>
                <w:sz w:val="19"/>
                <w:szCs w:val="19"/>
              </w:rPr>
              <w:t xml:space="preserve">04  </w:t>
            </w:r>
            <w:r>
              <w:rPr>
                <w:b/>
                <w:bCs/>
                <w:color w:val="050A30"/>
                <w:sz w:val="22"/>
                <w:szCs w:val="22"/>
              </w:rPr>
              <w:t xml:space="preserve">Third-Party Dependencies</w:t>
            </w:r>
            <w:r>
              <w:rPr>
                <w:sz w:val="20"/>
                <w:szCs w:val="20"/>
              </w:rPr>
              <w:t xml:space="preserve">  Abhängigkeiten von Dienstleistern und Subdienstleistern in einem Modell zusammenführen.</w:t>
            </w:r>
          </w:p>
          <w:p>
            <w:pPr>
              <w:spacing w:after="120" w:line="276" w:lineRule="auto"/>
            </w:pPr>
            <w:r>
              <w:rPr>
                <w:color w:val="6B7080"/>
                <w:sz w:val="19"/>
                <w:szCs w:val="19"/>
              </w:rPr>
              <w:t xml:space="preserve">05  </w:t>
            </w:r>
            <w:r>
              <w:rPr>
                <w:b/>
                <w:bCs/>
                <w:color w:val="050A30"/>
                <w:sz w:val="22"/>
                <w:szCs w:val="22"/>
              </w:rPr>
              <w:t xml:space="preserve">Continuous Control</w:t>
            </w:r>
            <w:r>
              <w:rPr>
                <w:sz w:val="20"/>
                <w:szCs w:val="20"/>
              </w:rPr>
              <w:t xml:space="preserve">  Kontrollabweichungen laufend aus Prozessdaten erkennen.</w:t>
            </w:r>
          </w:p>
          <w:p>
            <w:pPr>
              <w:spacing w:after="120" w:line="276" w:lineRule="auto"/>
            </w:pPr>
            <w:r>
              <w:rPr>
                <w:color w:val="6B7080"/>
                <w:sz w:val="19"/>
                <w:szCs w:val="19"/>
              </w:rPr>
              <w:t xml:space="preserve">06  </w:t>
            </w:r>
            <w:r>
              <w:rPr>
                <w:b/>
                <w:bCs/>
                <w:color w:val="050A30"/>
                <w:sz w:val="22"/>
                <w:szCs w:val="22"/>
              </w:rPr>
              <w:t xml:space="preserve">Project Finance Early Warning</w:t>
            </w:r>
            <w:r>
              <w:rPr>
                <w:sz w:val="20"/>
                <w:szCs w:val="20"/>
              </w:rPr>
              <w:t xml:space="preserve">  Verteilte Risikosignale je Finanzierung zusammenführen.</w:t>
            </w:r>
          </w:p>
        </w:tc>
        <w:tc>
          <w:tcPr>
            <w:tcW w:type="dxa" w:w="4858"/>
            <w:tcMar>
              <w:top w:type="dxa" w:w="0"/>
              <w:left w:type="dxa" w:w="300"/>
              <w:bottom w:type="dxa" w:w="120"/>
              <w:right w:type="dxa" w:w="0"/>
            </w:tcMar>
          </w:tcPr>
          <w:p>
            <w:pPr>
              <w:pBdr>
                <w:bottom w:val="single" w:color="050A30" w:sz="6"/>
              </w:pBdr>
              <w:spacing w:after="160"/>
            </w:pPr>
            <w:r>
              <w:rPr>
                <w:rFonts w:ascii="Cambria" w:cs="Cambria" w:eastAsia="Cambria" w:hAnsi="Cambria"/>
                <w:color w:val="050A30"/>
                <w:sz w:val="30"/>
                <w:szCs w:val="30"/>
              </w:rPr>
              <w:t xml:space="preserve">Wachstum</w:t>
            </w:r>
          </w:p>
          <w:p>
            <w:pPr>
              <w:spacing w:after="120" w:line="276" w:lineRule="auto"/>
            </w:pPr>
            <w:r>
              <w:rPr>
                <w:color w:val="6B7080"/>
                <w:sz w:val="19"/>
                <w:szCs w:val="19"/>
              </w:rPr>
              <w:t xml:space="preserve">07  </w:t>
            </w:r>
            <w:r>
              <w:rPr>
                <w:b/>
                <w:bCs/>
                <w:color w:val="050A30"/>
                <w:sz w:val="22"/>
                <w:szCs w:val="22"/>
              </w:rPr>
              <w:t xml:space="preserve">Export Finance Structuring</w:t>
            </w:r>
            <w:r>
              <w:rPr>
                <w:sz w:val="20"/>
                <w:szCs w:val="20"/>
              </w:rPr>
              <w:t xml:space="preserve">  Alternative ECA-Strukturen je Anfrage systematisch prüfen.</w:t>
            </w:r>
          </w:p>
          <w:p>
            <w:pPr>
              <w:spacing w:after="120" w:line="276" w:lineRule="auto"/>
            </w:pPr>
            <w:r>
              <w:rPr>
                <w:color w:val="6B7080"/>
                <w:sz w:val="19"/>
                <w:szCs w:val="19"/>
              </w:rPr>
              <w:t xml:space="preserve">08  </w:t>
            </w:r>
            <w:r>
              <w:rPr>
                <w:b/>
                <w:bCs/>
                <w:color w:val="050A30"/>
                <w:sz w:val="22"/>
                <w:szCs w:val="22"/>
              </w:rPr>
              <w:t xml:space="preserve">Syndication &amp; Capital</w:t>
            </w:r>
            <w:r>
              <w:rPr>
                <w:sz w:val="20"/>
                <w:szCs w:val="20"/>
              </w:rPr>
              <w:t xml:space="preserve">  Konsortialpartner und Strukturen aus historischen Transaktionen ableiten.</w:t>
            </w:r>
          </w:p>
        </w:tc>
      </w:tr>
    </w:tbl>
    <w:p>
      <w:pPr>
        <w:keepNext/>
        <w:pageBreakBefore/>
        <w:spacing w:after="40"/>
      </w:pPr>
      <w:r>
        <w:rPr>
          <w:color w:val="6B7080"/>
          <w:sz w:val="19"/>
          <w:szCs w:val="19"/>
        </w:rPr>
        <w:t xml:space="preserve">Anwendungsfall 1  ·  Compliance</w:t>
      </w:r>
    </w:p>
    <w:p>
      <w:pPr>
        <w:keepNext/>
        <w:spacing w:after="80" w:line="252" w:lineRule="auto"/>
      </w:pPr>
      <w:r>
        <w:rPr>
          <w:rFonts w:ascii="Cambria" w:cs="Cambria" w:eastAsia="Cambria" w:hAnsi="Cambria"/>
          <w:color w:val="050A30"/>
          <w:sz w:val="52"/>
          <w:szCs w:val="52"/>
        </w:rPr>
        <w:t xml:space="preserve">Regulatory Impact Intelligence</w:t>
      </w:r>
    </w:p>
    <w:p>
      <w:pPr>
        <w:pBdr>
          <w:bottom w:val="single" w:color="050A30" w:sz="8"/>
        </w:pBdr>
        <w:spacing w:after="360" w:line="264" w:lineRule="auto"/>
      </w:pPr>
      <w:r>
        <w:rPr>
          <w:rFonts w:ascii="Cambria" w:cs="Cambria" w:eastAsia="Cambria" w:hAnsi="Cambria"/>
          <w:i/>
          <w:iCs/>
          <w:color w:val="050A30"/>
          <w:sz w:val="28"/>
          <w:szCs w:val="28"/>
        </w:rPr>
        <w:t xml:space="preserve">Neue regulatorische Anforderungen systematisch auf die schriftlich fixierte Ordnung abbilden.</w:t>
      </w:r>
    </w:p>
    <w:tbl>
      <w:tblPr>
        <w:tblW w:type="dxa" w:w="1457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856"/>
        <w:gridCol w:w="4856"/>
        <w:gridCol w:w="4858"/>
      </w:tblGrid>
      <w:tr>
        <w:trPr>
          <w:cantSplit/>
        </w:trPr>
        <w:tc>
          <w:tcPr>
            <w:tcW w:type="dxa" w:w="485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0"/>
              <w:bottom w:type="dxa" w:w="120"/>
              <w:right w:type="dxa" w:w="240"/>
            </w:tcMar>
          </w:tcPr>
          <w:p>
            <w:pPr>
              <w:keepNext/>
              <w:spacing w:after="120"/>
            </w:pPr>
            <w:r>
              <w:rPr>
                <w:b/>
                <w:bCs/>
                <w:color w:val="6B7080"/>
                <w:sz w:val="19"/>
                <w:szCs w:val="19"/>
              </w:rPr>
              <w:t xml:space="preserve">Heute</w:t>
            </w:r>
          </w:p>
          <w:p>
            <w:pPr>
              <w:spacing w:after="120" w:before="0" w:line="288" w:lineRule="auto"/>
            </w:pPr>
            <w:r>
              <w:rPr>
                <w:sz w:val="22"/>
                <w:szCs w:val="22"/>
              </w:rPr>
              <w:t xml:space="preserve">Die KfW bewertet laufend neue Vorgaben von EU, EBA, EZB und BaFin: Anwendbarkeit je Konzerngesellschaft, Zeitpunkt, Umsetzungsbedarf.</w:t>
            </w:r>
          </w:p>
          <w:p>
            <w:pPr>
              <w:spacing w:after="120" w:before="0" w:line="288" w:lineRule="auto"/>
            </w:pPr>
            <w:r>
              <w:rPr>
                <w:sz w:val="22"/>
                <w:szCs w:val="22"/>
              </w:rPr>
              <w:t xml:space="preserve">Das interne Regelwerk ist die schriftlich fixierte Ordnung (SFO) mit konzernweiten und geschäftsfeldspezifischen Vorgaben.</w:t>
            </w:r>
          </w:p>
        </w:tc>
        <w:tc>
          <w:tcPr>
            <w:tcW w:type="dxa" w:w="4856"/>
            <w:tcBorders>
              <w:top w:val="none" w:color="FFFFFF" w:sz="0"/>
              <w:left w:val="single" w:color="D6D9E1" w:sz="4"/>
              <w:bottom w:val="none" w:color="FFFFFF" w:sz="0"/>
              <w:right w:val="none" w:color="FFFFFF" w:sz="0"/>
            </w:tcBorders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keepNext/>
              <w:spacing w:after="120"/>
            </w:pPr>
            <w:r>
              <w:rPr>
                <w:b/>
                <w:bCs/>
                <w:color w:val="6B7080"/>
                <w:sz w:val="19"/>
                <w:szCs w:val="19"/>
              </w:rPr>
              <w:t xml:space="preserve">Das Problem</w:t>
            </w:r>
          </w:p>
          <w:p>
            <w:pPr>
              <w:spacing w:after="120" w:before="0" w:line="288" w:lineRule="auto"/>
            </w:pPr>
            <w:r>
              <w:rPr>
                <w:sz w:val="22"/>
                <w:szCs w:val="22"/>
              </w:rPr>
              <w:t xml:space="preserve">Der Aufwand liegt nicht im Auffinden der Veröffentlichung, sondern im Abgleich: Eine Änderung kann viele SFO-Dokumente betreffen, die einzeln geprüft werden müssen.</w:t>
            </w:r>
          </w:p>
          <w:p>
            <w:pPr>
              <w:spacing w:after="120" w:before="0" w:line="288" w:lineRule="auto"/>
            </w:pPr>
            <w:r>
              <w:rPr>
                <w:sz w:val="22"/>
                <w:szCs w:val="22"/>
              </w:rPr>
              <w:t xml:space="preserve">Die Betroffenheitsanalyse muss für Revision und Aufsicht nachvollziehbar dokumentiert sein. Das bindet erfahrene Fachleute über Wochen.</w:t>
            </w:r>
          </w:p>
        </w:tc>
        <w:tc>
          <w:tcPr>
            <w:tcW w:type="dxa" w:w="4858"/>
            <w:tcBorders>
              <w:top w:val="none" w:color="FFFFFF" w:sz="0"/>
              <w:left w:val="single" w:color="D6D9E1" w:sz="4"/>
              <w:bottom w:val="none" w:color="FFFFFF" w:sz="0"/>
              <w:right w:val="none" w:color="FFFFFF" w:sz="0"/>
            </w:tcBorders>
            <w:tcMar>
              <w:top w:type="dxa" w:w="120"/>
              <w:left w:type="dxa" w:w="240"/>
              <w:bottom w:type="dxa" w:w="120"/>
              <w:right w:type="dxa" w:w="0"/>
            </w:tcMar>
          </w:tcPr>
          <w:p>
            <w:pPr>
              <w:keepNext/>
              <w:spacing w:after="120"/>
            </w:pPr>
            <w:r>
              <w:rPr>
                <w:b/>
                <w:bCs/>
                <w:color w:val="6B7080"/>
                <w:sz w:val="19"/>
                <w:szCs w:val="19"/>
              </w:rPr>
              <w:t xml:space="preserve">Mit KI</w:t>
            </w:r>
          </w:p>
          <w:p>
            <w:pPr>
              <w:spacing w:after="120" w:before="0" w:line="288" w:lineRule="auto"/>
            </w:pPr>
            <w:r>
              <w:rPr>
                <w:sz w:val="22"/>
                <w:szCs w:val="22"/>
              </w:rPr>
              <w:t xml:space="preserve">Das System erfasst Veröffentlichungen laufend und ordnet ihren Status ein: Konsultation, final, anwendbar ab.</w:t>
            </w:r>
          </w:p>
          <w:p>
            <w:pPr>
              <w:spacing w:after="120" w:before="0" w:line="288" w:lineRule="auto"/>
            </w:pPr>
            <w:r>
              <w:rPr>
                <w:sz w:val="22"/>
                <w:szCs w:val="22"/>
              </w:rPr>
              <w:t xml:space="preserve">Es gleicht die Anforderungen mit der SFO ab, markiert betroffene Passagen und schlägt Änderungstexte vor. Jede Stelle trägt den Verweis auf die Quelle.</w:t>
            </w:r>
          </w:p>
          <w:p>
            <w:pPr>
              <w:spacing w:after="120" w:before="0" w:line="288" w:lineRule="auto"/>
            </w:pPr>
            <w:r>
              <w:rPr>
                <w:sz w:val="22"/>
                <w:szCs w:val="22"/>
              </w:rPr>
              <w:t xml:space="preserve">Die fachliche Bewertung und Freigabe bleibt bei Compliance.</w:t>
            </w:r>
          </w:p>
        </w:tc>
      </w:tr>
    </w:tbl>
    <w:p>
      <w:pPr>
        <w:spacing w:after="200"/>
      </w:pPr>
    </w:p>
    <w:p>
      <w:pPr>
        <w:keepNext/>
        <w:spacing w:after="120"/>
      </w:pPr>
      <w:r>
        <w:rPr>
          <w:b/>
          <w:bCs/>
          <w:color w:val="6B7080"/>
          <w:sz w:val="19"/>
          <w:szCs w:val="19"/>
        </w:rPr>
        <w:t xml:space="preserve">Was die KfW davon hat</w:t>
      </w:r>
    </w:p>
    <w:tbl>
      <w:tblPr>
        <w:tblW w:type="dxa" w:w="1457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single" w:color="FFFFFF" w:sz="16"/>
        </w:tblBorders>
        <w:tblLayout w:type="fixed"/>
      </w:tblPr>
      <w:tblGrid>
        <w:gridCol w:w="4856"/>
        <w:gridCol w:w="4856"/>
        <w:gridCol w:w="4858"/>
      </w:tblGrid>
      <w:tr>
        <w:trPr>
          <w:cantSplit/>
        </w:trPr>
        <w:tc>
          <w:tcPr>
            <w:tcW w:type="dxa" w:w="4856"/>
            <w:shd w:fill="F4F5F8" w:color="auto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spacing w:after="60" w:line="240" w:lineRule="auto"/>
            </w:pPr>
            <w:r>
              <w:rPr>
                <w:rFonts w:ascii="Cambria" w:cs="Cambria" w:eastAsia="Cambria" w:hAnsi="Cambria"/>
                <w:color w:val="050A30"/>
                <w:sz w:val="34"/>
                <w:szCs w:val="34"/>
              </w:rPr>
              <w:t xml:space="preserve">Kürzere Durchlaufzeit</w:t>
            </w:r>
          </w:p>
          <w:p>
            <w:pPr>
              <w:spacing w:after="0" w:line="276" w:lineRule="auto"/>
            </w:pPr>
            <w:r>
              <w:rPr>
                <w:color w:val="6B7080"/>
                <w:sz w:val="20"/>
                <w:szCs w:val="20"/>
              </w:rPr>
              <w:t xml:space="preserve">von der Veröffentlichung bis zur dokumentierten Betroffenheitsanalyse</w:t>
            </w:r>
          </w:p>
        </w:tc>
        <w:tc>
          <w:tcPr>
            <w:tcW w:type="dxa" w:w="4856"/>
            <w:shd w:fill="F4F5F8" w:color="auto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spacing w:after="60" w:line="240" w:lineRule="auto"/>
            </w:pPr>
            <w:r>
              <w:rPr>
                <w:rFonts w:ascii="Cambria" w:cs="Cambria" w:eastAsia="Cambria" w:hAnsi="Cambria"/>
                <w:color w:val="050A30"/>
                <w:sz w:val="34"/>
                <w:szCs w:val="34"/>
              </w:rPr>
              <w:t xml:space="preserve">Vollständiger Abgleich</w:t>
            </w:r>
          </w:p>
          <w:p>
            <w:pPr>
              <w:spacing w:after="0" w:line="276" w:lineRule="auto"/>
            </w:pPr>
            <w:r>
              <w:rPr>
                <w:color w:val="6B7080"/>
                <w:sz w:val="20"/>
                <w:szCs w:val="20"/>
              </w:rPr>
              <w:t xml:space="preserve">alle betroffenen SFO-Dokumente mit Quellenverweis</w:t>
            </w:r>
          </w:p>
        </w:tc>
        <w:tc>
          <w:tcPr>
            <w:tcW w:type="dxa" w:w="4858"/>
            <w:shd w:fill="F4F5F8" w:color="auto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spacing w:after="60" w:line="240" w:lineRule="auto"/>
            </w:pPr>
            <w:r>
              <w:rPr>
                <w:rFonts w:ascii="Cambria" w:cs="Cambria" w:eastAsia="Cambria" w:hAnsi="Cambria"/>
                <w:color w:val="050A30"/>
                <w:sz w:val="34"/>
                <w:szCs w:val="34"/>
              </w:rPr>
              <w:t xml:space="preserve">Geringerer Abstimmungsaufwand</w:t>
            </w:r>
          </w:p>
          <w:p>
            <w:pPr>
              <w:spacing w:after="0" w:line="276" w:lineRule="auto"/>
            </w:pPr>
            <w:r>
              <w:rPr>
                <w:color w:val="6B7080"/>
                <w:sz w:val="20"/>
                <w:szCs w:val="20"/>
              </w:rPr>
              <w:t xml:space="preserve">Fachbereiche prüfen konkrete Vorschläge statt Rohtexte</w:t>
            </w:r>
          </w:p>
        </w:tc>
      </w:tr>
    </w:tbl>
    <w:p>
      <w:pPr>
        <w:spacing w:after="0" w:before="160"/>
      </w:pPr>
      <w:r>
        <w:rPr>
          <w:color w:val="6B7080"/>
          <w:sz w:val="17"/>
          <w:szCs w:val="17"/>
        </w:rPr>
        <w:t xml:space="preserve">Beispiel: EBA-Leitlinien zum Drittparteienrisikomanagement, finalisiert am 18.09.2026, noch nicht anwendbar. Das System muss diesen Status korrekt erkennen.</w:t>
      </w:r>
    </w:p>
    <w:p>
      <w:pPr>
        <w:keepNext/>
        <w:pageBreakBefore/>
        <w:spacing w:after="40"/>
      </w:pPr>
      <w:r>
        <w:rPr>
          <w:color w:val="6B7080"/>
          <w:sz w:val="19"/>
          <w:szCs w:val="19"/>
        </w:rPr>
        <w:t xml:space="preserve">Anwendungsfall 2  ·  Konzernrevision</w:t>
      </w:r>
    </w:p>
    <w:p>
      <w:pPr>
        <w:keepNext/>
        <w:spacing w:after="80" w:line="252" w:lineRule="auto"/>
      </w:pPr>
      <w:r>
        <w:rPr>
          <w:rFonts w:ascii="Cambria" w:cs="Cambria" w:eastAsia="Cambria" w:hAnsi="Cambria"/>
          <w:color w:val="050A30"/>
          <w:sz w:val="52"/>
          <w:szCs w:val="52"/>
        </w:rPr>
        <w:t xml:space="preserve">Internal Audit Reporting Intelligence</w:t>
      </w:r>
    </w:p>
    <w:p>
      <w:pPr>
        <w:pBdr>
          <w:bottom w:val="single" w:color="050A30" w:sz="8"/>
        </w:pBdr>
        <w:spacing w:after="360" w:line="264" w:lineRule="auto"/>
      </w:pPr>
      <w:r>
        <w:rPr>
          <w:rFonts w:ascii="Cambria" w:cs="Cambria" w:eastAsia="Cambria" w:hAnsi="Cambria"/>
          <w:i/>
          <w:iCs/>
          <w:color w:val="050A30"/>
          <w:sz w:val="28"/>
          <w:szCs w:val="28"/>
        </w:rPr>
        <w:t xml:space="preserve">Prüfungsfeststellungen und Berichte aus den Prüfungsunterlagen entwerfen, mit Nachweis für jede Aussage.</w:t>
      </w:r>
    </w:p>
    <w:tbl>
      <w:tblPr>
        <w:tblW w:type="dxa" w:w="1457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856"/>
        <w:gridCol w:w="4856"/>
        <w:gridCol w:w="4858"/>
      </w:tblGrid>
      <w:tr>
        <w:trPr>
          <w:cantSplit/>
        </w:trPr>
        <w:tc>
          <w:tcPr>
            <w:tcW w:type="dxa" w:w="485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0"/>
              <w:bottom w:type="dxa" w:w="120"/>
              <w:right w:type="dxa" w:w="240"/>
            </w:tcMar>
          </w:tcPr>
          <w:p>
            <w:pPr>
              <w:keepNext/>
              <w:spacing w:after="120"/>
            </w:pPr>
            <w:r>
              <w:rPr>
                <w:b/>
                <w:bCs/>
                <w:color w:val="6B7080"/>
                <w:sz w:val="19"/>
                <w:szCs w:val="19"/>
              </w:rPr>
              <w:t xml:space="preserve">Heute</w:t>
            </w:r>
          </w:p>
          <w:p>
            <w:pPr>
              <w:spacing w:after="120" w:before="0" w:line="288" w:lineRule="auto"/>
            </w:pPr>
            <w:r>
              <w:rPr>
                <w:sz w:val="22"/>
                <w:szCs w:val="22"/>
              </w:rPr>
              <w:t xml:space="preserve">Die Konzernrevision arbeitet mit rund 100 Beschäftigten in vier Abteilungen und führt etwa 60 Prüfungen im Jahr durch.</w:t>
            </w:r>
          </w:p>
          <w:p>
            <w:pPr>
              <w:spacing w:after="120" w:before="0" w:line="288" w:lineRule="auto"/>
            </w:pPr>
            <w:r>
              <w:rPr>
                <w:sz w:val="22"/>
                <w:szCs w:val="22"/>
              </w:rPr>
              <w:t xml:space="preserve">Jeder Bericht muss belastbar, nachvollziehbar und für Vorstand und Aufsicht adressatengerecht sein.</w:t>
            </w:r>
          </w:p>
        </w:tc>
        <w:tc>
          <w:tcPr>
            <w:tcW w:type="dxa" w:w="4856"/>
            <w:tcBorders>
              <w:top w:val="none" w:color="FFFFFF" w:sz="0"/>
              <w:left w:val="single" w:color="D6D9E1" w:sz="4"/>
              <w:bottom w:val="none" w:color="FFFFFF" w:sz="0"/>
              <w:right w:val="none" w:color="FFFFFF" w:sz="0"/>
            </w:tcBorders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keepNext/>
              <w:spacing w:after="120"/>
            </w:pPr>
            <w:r>
              <w:rPr>
                <w:b/>
                <w:bCs/>
                <w:color w:val="6B7080"/>
                <w:sz w:val="19"/>
                <w:szCs w:val="19"/>
              </w:rPr>
              <w:t xml:space="preserve">Das Problem</w:t>
            </w:r>
          </w:p>
          <w:p>
            <w:pPr>
              <w:spacing w:after="120" w:before="0" w:line="288" w:lineRule="auto"/>
            </w:pPr>
            <w:r>
              <w:rPr>
                <w:sz w:val="22"/>
                <w:szCs w:val="22"/>
              </w:rPr>
              <w:t xml:space="preserve">Nach den Prüfungshandlungen folgt die Dokumentation: Interviewprotokolle strukturieren, Nachweise zuordnen, Feststellungen formulieren, Abstimmungsschleifen.</w:t>
            </w:r>
          </w:p>
          <w:p>
            <w:pPr>
              <w:spacing w:after="120" w:before="0" w:line="288" w:lineRule="auto"/>
            </w:pPr>
            <w:r>
              <w:rPr>
                <w:sz w:val="22"/>
                <w:szCs w:val="22"/>
              </w:rPr>
              <w:t xml:space="preserve">Dieser Anteil der Arbeitszeit steht nicht für die Risikobewertung und die fachliche Vertiefung zur Verfügung.</w:t>
            </w:r>
          </w:p>
        </w:tc>
        <w:tc>
          <w:tcPr>
            <w:tcW w:type="dxa" w:w="4858"/>
            <w:tcBorders>
              <w:top w:val="none" w:color="FFFFFF" w:sz="0"/>
              <w:left w:val="single" w:color="D6D9E1" w:sz="4"/>
              <w:bottom w:val="none" w:color="FFFFFF" w:sz="0"/>
              <w:right w:val="none" w:color="FFFFFF" w:sz="0"/>
            </w:tcBorders>
            <w:tcMar>
              <w:top w:type="dxa" w:w="120"/>
              <w:left w:type="dxa" w:w="240"/>
              <w:bottom w:type="dxa" w:w="120"/>
              <w:right w:type="dxa" w:w="0"/>
            </w:tcMar>
          </w:tcPr>
          <w:p>
            <w:pPr>
              <w:keepNext/>
              <w:spacing w:after="120"/>
            </w:pPr>
            <w:r>
              <w:rPr>
                <w:b/>
                <w:bCs/>
                <w:color w:val="6B7080"/>
                <w:sz w:val="19"/>
                <w:szCs w:val="19"/>
              </w:rPr>
              <w:t xml:space="preserve">Mit KI</w:t>
            </w:r>
          </w:p>
          <w:p>
            <w:pPr>
              <w:spacing w:after="120" w:before="0" w:line="288" w:lineRule="auto"/>
            </w:pPr>
            <w:r>
              <w:rPr>
                <w:sz w:val="22"/>
                <w:szCs w:val="22"/>
              </w:rPr>
              <w:t xml:space="preserve">Das System verknüpft Prüfprogramm, einschlägige Richtlinien, Nachweise, Protokolle und Testergebnisse.</w:t>
            </w:r>
          </w:p>
          <w:p>
            <w:pPr>
              <w:spacing w:after="120" w:before="0" w:line="288" w:lineRule="auto"/>
            </w:pPr>
            <w:r>
              <w:rPr>
                <w:sz w:val="22"/>
                <w:szCs w:val="22"/>
              </w:rPr>
              <w:t xml:space="preserve">Daraus entstehen Entwürfe für Feststellungen und Bericht. Jede Aussage verweist auf ihren Nachweis; unbelegte Aussagen und Widersprüche werden gekennzeichnet.</w:t>
            </w:r>
          </w:p>
          <w:p>
            <w:pPr>
              <w:spacing w:after="120" w:before="0" w:line="288" w:lineRule="auto"/>
            </w:pPr>
            <w:r>
              <w:rPr>
                <w:sz w:val="22"/>
                <w:szCs w:val="22"/>
              </w:rPr>
              <w:t xml:space="preserve">Bewertung, Formulierung der Schlussfolgerungen und Freigabe bleiben bei den Revisorinnen und Revisoren.</w:t>
            </w:r>
          </w:p>
        </w:tc>
      </w:tr>
    </w:tbl>
    <w:p>
      <w:pPr>
        <w:spacing w:after="200"/>
      </w:pPr>
    </w:p>
    <w:p>
      <w:pPr>
        <w:keepNext/>
        <w:spacing w:after="120"/>
      </w:pPr>
      <w:r>
        <w:rPr>
          <w:b/>
          <w:bCs/>
          <w:color w:val="6B7080"/>
          <w:sz w:val="19"/>
          <w:szCs w:val="19"/>
        </w:rPr>
        <w:t xml:space="preserve">Was die KfW davon hat</w:t>
      </w:r>
    </w:p>
    <w:tbl>
      <w:tblPr>
        <w:tblW w:type="dxa" w:w="1457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single" w:color="FFFFFF" w:sz="16"/>
        </w:tblBorders>
        <w:tblLayout w:type="fixed"/>
      </w:tblPr>
      <w:tblGrid>
        <w:gridCol w:w="4856"/>
        <w:gridCol w:w="4856"/>
        <w:gridCol w:w="4858"/>
      </w:tblGrid>
      <w:tr>
        <w:trPr>
          <w:cantSplit/>
        </w:trPr>
        <w:tc>
          <w:tcPr>
            <w:tcW w:type="dxa" w:w="4856"/>
            <w:shd w:fill="F4F5F8" w:color="auto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spacing w:after="60" w:line="240" w:lineRule="auto"/>
            </w:pPr>
            <w:r>
              <w:rPr>
                <w:rFonts w:ascii="Cambria" w:cs="Cambria" w:eastAsia="Cambria" w:hAnsi="Cambria"/>
                <w:color w:val="050A30"/>
                <w:sz w:val="34"/>
                <w:szCs w:val="34"/>
              </w:rPr>
              <w:t xml:space="preserve">Weniger Dokumentationsaufwand</w:t>
            </w:r>
          </w:p>
          <w:p>
            <w:pPr>
              <w:spacing w:after="0" w:line="276" w:lineRule="auto"/>
            </w:pPr>
            <w:r>
              <w:rPr>
                <w:color w:val="6B7080"/>
                <w:sz w:val="20"/>
                <w:szCs w:val="20"/>
              </w:rPr>
              <w:t xml:space="preserve">bei 20 Stunden je Bericht rund 1.200 Stunden im Jahr (Annahme)</w:t>
            </w:r>
          </w:p>
        </w:tc>
        <w:tc>
          <w:tcPr>
            <w:tcW w:type="dxa" w:w="4856"/>
            <w:shd w:fill="F4F5F8" w:color="auto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spacing w:after="60" w:line="240" w:lineRule="auto"/>
            </w:pPr>
            <w:r>
              <w:rPr>
                <w:rFonts w:ascii="Cambria" w:cs="Cambria" w:eastAsia="Cambria" w:hAnsi="Cambria"/>
                <w:color w:val="050A30"/>
                <w:sz w:val="34"/>
                <w:szCs w:val="34"/>
              </w:rPr>
              <w:t xml:space="preserve">Einheitliche Berichte</w:t>
            </w:r>
          </w:p>
          <w:p>
            <w:pPr>
              <w:spacing w:after="0" w:line="276" w:lineRule="auto"/>
            </w:pPr>
            <w:r>
              <w:rPr>
                <w:color w:val="6B7080"/>
                <w:sz w:val="20"/>
                <w:szCs w:val="20"/>
              </w:rPr>
              <w:t xml:space="preserve">gleiche Struktur und Nachweistiefe über alle Prüfungen</w:t>
            </w:r>
          </w:p>
        </w:tc>
        <w:tc>
          <w:tcPr>
            <w:tcW w:type="dxa" w:w="4858"/>
            <w:shd w:fill="F4F5F8" w:color="auto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spacing w:after="60" w:line="240" w:lineRule="auto"/>
            </w:pPr>
            <w:r>
              <w:rPr>
                <w:rFonts w:ascii="Cambria" w:cs="Cambria" w:eastAsia="Cambria" w:hAnsi="Cambria"/>
                <w:color w:val="050A30"/>
                <w:sz w:val="34"/>
                <w:szCs w:val="34"/>
              </w:rPr>
              <w:t xml:space="preserve">Mehr Prüfungskapazität</w:t>
            </w:r>
          </w:p>
          <w:p>
            <w:pPr>
              <w:spacing w:after="0" w:line="276" w:lineRule="auto"/>
            </w:pPr>
            <w:r>
              <w:rPr>
                <w:color w:val="6B7080"/>
                <w:sz w:val="20"/>
                <w:szCs w:val="20"/>
              </w:rPr>
              <w:t xml:space="preserve">frei werdende Zeit für risikoorientierte Prüfungen</w:t>
            </w:r>
          </w:p>
        </w:tc>
      </w:tr>
    </w:tbl>
    <w:p>
      <w:pPr>
        <w:spacing w:after="0" w:before="160"/>
      </w:pPr>
      <w:r>
        <w:rPr>
          <w:color w:val="6B7080"/>
          <w:sz w:val="17"/>
          <w:szCs w:val="17"/>
        </w:rPr>
        <w:t xml:space="preserve">1.200 Stunden entsprechen bei 100 € Vollkosten je Stunde rund 120.000 € pro Jahr, vor Implementierungs- und Betriebskosten.</w:t>
      </w:r>
    </w:p>
    <w:p>
      <w:pPr>
        <w:keepNext/>
        <w:pageBreakBefore/>
        <w:spacing w:after="40"/>
      </w:pPr>
      <w:r>
        <w:rPr>
          <w:color w:val="6B7080"/>
          <w:sz w:val="19"/>
          <w:szCs w:val="19"/>
        </w:rPr>
        <w:t xml:space="preserve">Anwendungsfall 3  ·  CISO / IT-Security</w:t>
      </w:r>
    </w:p>
    <w:p>
      <w:pPr>
        <w:keepNext/>
        <w:spacing w:after="80" w:line="252" w:lineRule="auto"/>
      </w:pPr>
      <w:r>
        <w:rPr>
          <w:rFonts w:ascii="Cambria" w:cs="Cambria" w:eastAsia="Cambria" w:hAnsi="Cambria"/>
          <w:color w:val="050A30"/>
          <w:sz w:val="52"/>
          <w:szCs w:val="52"/>
        </w:rPr>
        <w:t xml:space="preserve">AI Security Testing &amp; Software-Alter</w:t>
      </w:r>
    </w:p>
    <w:p>
      <w:pPr>
        <w:pBdr>
          <w:bottom w:val="single" w:color="050A30" w:sz="8"/>
        </w:pBdr>
        <w:spacing w:after="360" w:line="264" w:lineRule="auto"/>
      </w:pPr>
      <w:r>
        <w:rPr>
          <w:rFonts w:ascii="Cambria" w:cs="Cambria" w:eastAsia="Cambria" w:hAnsi="Cambria"/>
          <w:i/>
          <w:iCs/>
          <w:color w:val="050A30"/>
          <w:sz w:val="28"/>
          <w:szCs w:val="28"/>
        </w:rPr>
        <w:t xml:space="preserve">Kontinuierlich wissen, welche Anwendungen veraltete oder angreifbare Komponenten enthalten, und dort gezielt testen.</w:t>
      </w:r>
    </w:p>
    <w:tbl>
      <w:tblPr>
        <w:tblW w:type="dxa" w:w="1457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856"/>
        <w:gridCol w:w="4856"/>
        <w:gridCol w:w="4858"/>
      </w:tblGrid>
      <w:tr>
        <w:trPr>
          <w:cantSplit/>
        </w:trPr>
        <w:tc>
          <w:tcPr>
            <w:tcW w:type="dxa" w:w="485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0"/>
              <w:bottom w:type="dxa" w:w="120"/>
              <w:right w:type="dxa" w:w="240"/>
            </w:tcMar>
          </w:tcPr>
          <w:p>
            <w:pPr>
              <w:keepNext/>
              <w:spacing w:after="120"/>
            </w:pPr>
            <w:r>
              <w:rPr>
                <w:b/>
                <w:bCs/>
                <w:color w:val="6B7080"/>
                <w:sz w:val="19"/>
                <w:szCs w:val="19"/>
              </w:rPr>
              <w:t xml:space="preserve">Heute</w:t>
            </w:r>
          </w:p>
          <w:p>
            <w:pPr>
              <w:spacing w:after="120" w:before="0" w:line="288" w:lineRule="auto"/>
            </w:pPr>
            <w:r>
              <w:rPr>
                <w:sz w:val="22"/>
                <w:szCs w:val="22"/>
              </w:rPr>
              <w:t xml:space="preserve">Der Finanzbericht 2025 nennt Cyberangriffe und fehlerhafte Systemänderungen als zentrale IKT-Risiken. Die EZB führt Cyberresilienz und Penetrationstests als Aufsichtsschwerpunkt 2026–2028.</w:t>
            </w:r>
          </w:p>
          <w:p>
            <w:pPr>
              <w:spacing w:after="120" w:before="0" w:line="288" w:lineRule="auto"/>
            </w:pPr>
            <w:r>
              <w:rPr>
                <w:sz w:val="22"/>
                <w:szCs w:val="22"/>
              </w:rPr>
              <w:t xml:space="preserve">Die Anwendungslandschaft umfasst Eigenentwicklungen, Systeme mehrerer Generationen, externe Bibliotheken und Schnittstellen.</w:t>
            </w:r>
          </w:p>
        </w:tc>
        <w:tc>
          <w:tcPr>
            <w:tcW w:type="dxa" w:w="4856"/>
            <w:tcBorders>
              <w:top w:val="none" w:color="FFFFFF" w:sz="0"/>
              <w:left w:val="single" w:color="D6D9E1" w:sz="4"/>
              <w:bottom w:val="none" w:color="FFFFFF" w:sz="0"/>
              <w:right w:val="none" w:color="FFFFFF" w:sz="0"/>
            </w:tcBorders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keepNext/>
              <w:spacing w:after="120"/>
            </w:pPr>
            <w:r>
              <w:rPr>
                <w:b/>
                <w:bCs/>
                <w:color w:val="6B7080"/>
                <w:sz w:val="19"/>
                <w:szCs w:val="19"/>
              </w:rPr>
              <w:t xml:space="preserve">Das Problem</w:t>
            </w:r>
          </w:p>
          <w:p>
            <w:pPr>
              <w:spacing w:after="120" w:before="0" w:line="288" w:lineRule="auto"/>
            </w:pPr>
            <w:r>
              <w:rPr>
                <w:sz w:val="22"/>
                <w:szCs w:val="22"/>
              </w:rPr>
              <w:t xml:space="preserve">Eine Anwendung kann im Betrieb stabil laufen und dennoch Komponenten ohne Herstellersupport oder mit bekannten, aktiv ausgenutzten Schwachstellen enthalten.</w:t>
            </w:r>
          </w:p>
          <w:p>
            <w:pPr>
              <w:spacing w:after="120" w:before="0" w:line="288" w:lineRule="auto"/>
            </w:pPr>
            <w:r>
              <w:rPr>
                <w:sz w:val="22"/>
                <w:szCs w:val="22"/>
              </w:rPr>
              <w:t xml:space="preserve">Penetrationstests liefern ein Bild zu einem Zeitpunkt. Eine laufende Sicht auf Alter, Supportstatus und Erreichbarkeit der Komponenten je Anwendung fehlt häufig.</w:t>
            </w:r>
          </w:p>
        </w:tc>
        <w:tc>
          <w:tcPr>
            <w:tcW w:type="dxa" w:w="4858"/>
            <w:tcBorders>
              <w:top w:val="none" w:color="FFFFFF" w:sz="0"/>
              <w:left w:val="single" w:color="D6D9E1" w:sz="4"/>
              <w:bottom w:val="none" w:color="FFFFFF" w:sz="0"/>
              <w:right w:val="none" w:color="FFFFFF" w:sz="0"/>
            </w:tcBorders>
            <w:tcMar>
              <w:top w:type="dxa" w:w="120"/>
              <w:left w:type="dxa" w:w="240"/>
              <w:bottom w:type="dxa" w:w="120"/>
              <w:right w:type="dxa" w:w="0"/>
            </w:tcMar>
          </w:tcPr>
          <w:p>
            <w:pPr>
              <w:keepNext/>
              <w:spacing w:after="120"/>
            </w:pPr>
            <w:r>
              <w:rPr>
                <w:b/>
                <w:bCs/>
                <w:color w:val="6B7080"/>
                <w:sz w:val="19"/>
                <w:szCs w:val="19"/>
              </w:rPr>
              <w:t xml:space="preserve">Mit KI</w:t>
            </w:r>
          </w:p>
          <w:p>
            <w:pPr>
              <w:spacing w:after="120" w:before="0" w:line="288" w:lineRule="auto"/>
            </w:pPr>
            <w:r>
              <w:rPr>
                <w:sz w:val="22"/>
                <w:szCs w:val="22"/>
              </w:rPr>
              <w:t xml:space="preserve">Komponenteninventar (SBOM) je Anwendung aus Repositories und Build-Artefakten; Abgleich mit Schwachstellendaten, Supportstatus und dem CISA-Katalog aktiv ausgenutzter Schwachstellen.</w:t>
            </w:r>
          </w:p>
          <w:p>
            <w:pPr>
              <w:spacing w:after="120" w:before="0" w:line="288" w:lineRule="auto"/>
            </w:pPr>
            <w:r>
              <w:rPr>
                <w:sz w:val="22"/>
                <w:szCs w:val="22"/>
              </w:rPr>
              <w:t xml:space="preserve">Priorisierung nach Erreichbarkeit und Schutzbedarf. Automatisierte Tests in freigegebenen, isolierten Umgebungen; Nachtest nach jeder Behebung.</w:t>
            </w:r>
          </w:p>
          <w:p>
            <w:pPr>
              <w:spacing w:after="120" w:before="0" w:line="288" w:lineRule="auto"/>
            </w:pPr>
            <w:r>
              <w:rPr>
                <w:sz w:val="22"/>
                <w:szCs w:val="22"/>
              </w:rPr>
              <w:t xml:space="preserve">Ergänzend ein Report zu Software- und Code-Alter je Anwendung.</w:t>
            </w:r>
          </w:p>
        </w:tc>
      </w:tr>
    </w:tbl>
    <w:p>
      <w:pPr>
        <w:spacing w:after="200"/>
      </w:pPr>
    </w:p>
    <w:p>
      <w:pPr>
        <w:keepNext/>
        <w:spacing w:after="120"/>
      </w:pPr>
      <w:r>
        <w:rPr>
          <w:b/>
          <w:bCs/>
          <w:color w:val="6B7080"/>
          <w:sz w:val="19"/>
          <w:szCs w:val="19"/>
        </w:rPr>
        <w:t xml:space="preserve">Was die KfW davon hat</w:t>
      </w:r>
    </w:p>
    <w:tbl>
      <w:tblPr>
        <w:tblW w:type="dxa" w:w="1457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single" w:color="FFFFFF" w:sz="16"/>
        </w:tblBorders>
        <w:tblLayout w:type="fixed"/>
      </w:tblPr>
      <w:tblGrid>
        <w:gridCol w:w="4856"/>
        <w:gridCol w:w="4856"/>
        <w:gridCol w:w="4858"/>
      </w:tblGrid>
      <w:tr>
        <w:trPr>
          <w:cantSplit/>
        </w:trPr>
        <w:tc>
          <w:tcPr>
            <w:tcW w:type="dxa" w:w="4856"/>
            <w:shd w:fill="F4F5F8" w:color="auto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spacing w:after="60" w:line="240" w:lineRule="auto"/>
            </w:pPr>
            <w:r>
              <w:rPr>
                <w:rFonts w:ascii="Cambria" w:cs="Cambria" w:eastAsia="Cambria" w:hAnsi="Cambria"/>
                <w:color w:val="050A30"/>
                <w:sz w:val="34"/>
                <w:szCs w:val="34"/>
              </w:rPr>
              <w:t xml:space="preserve">Transparenz</w:t>
            </w:r>
          </w:p>
          <w:p>
            <w:pPr>
              <w:spacing w:after="0" w:line="276" w:lineRule="auto"/>
            </w:pPr>
            <w:r>
              <w:rPr>
                <w:color w:val="6B7080"/>
                <w:sz w:val="20"/>
                <w:szCs w:val="20"/>
              </w:rPr>
              <w:t xml:space="preserve">Software-Alter, End-of-Life-Quote und erreichbare kritische Schwachstellen je Anwendung</w:t>
            </w:r>
          </w:p>
        </w:tc>
        <w:tc>
          <w:tcPr>
            <w:tcW w:type="dxa" w:w="4856"/>
            <w:shd w:fill="F4F5F8" w:color="auto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spacing w:after="60" w:line="240" w:lineRule="auto"/>
            </w:pPr>
            <w:r>
              <w:rPr>
                <w:rFonts w:ascii="Cambria" w:cs="Cambria" w:eastAsia="Cambria" w:hAnsi="Cambria"/>
                <w:color w:val="050A30"/>
                <w:sz w:val="34"/>
                <w:szCs w:val="34"/>
              </w:rPr>
              <w:t xml:space="preserve">Kürzere Remediation Time</w:t>
            </w:r>
          </w:p>
          <w:p>
            <w:pPr>
              <w:spacing w:after="0" w:line="276" w:lineRule="auto"/>
            </w:pPr>
            <w:r>
              <w:rPr>
                <w:color w:val="6B7080"/>
                <w:sz w:val="20"/>
                <w:szCs w:val="20"/>
              </w:rPr>
              <w:t xml:space="preserve">von der Erkennung bis zur verifizierten Behebung</w:t>
            </w:r>
          </w:p>
        </w:tc>
        <w:tc>
          <w:tcPr>
            <w:tcW w:type="dxa" w:w="4858"/>
            <w:shd w:fill="F4F5F8" w:color="auto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spacing w:after="60" w:line="240" w:lineRule="auto"/>
            </w:pPr>
            <w:r>
              <w:rPr>
                <w:rFonts w:ascii="Cambria" w:cs="Cambria" w:eastAsia="Cambria" w:hAnsi="Cambria"/>
                <w:color w:val="050A30"/>
                <w:sz w:val="34"/>
                <w:szCs w:val="34"/>
              </w:rPr>
              <w:t xml:space="preserve">Gezielter Testaufwand</w:t>
            </w:r>
          </w:p>
          <w:p>
            <w:pPr>
              <w:spacing w:after="0" w:line="276" w:lineRule="auto"/>
            </w:pPr>
            <w:r>
              <w:rPr>
                <w:color w:val="6B7080"/>
                <w:sz w:val="20"/>
                <w:szCs w:val="20"/>
              </w:rPr>
              <w:t xml:space="preserve">auf Anwendungen mit hohem Risiko und hoher Exposition</w:t>
            </w:r>
          </w:p>
        </w:tc>
      </w:tr>
    </w:tbl>
    <w:p>
      <w:pPr>
        <w:spacing w:after="0" w:before="160"/>
      </w:pPr>
      <w:r>
        <w:rPr>
          <w:color w:val="6B7080"/>
          <w:sz w:val="17"/>
          <w:szCs w:val="17"/>
        </w:rPr>
        <w:t xml:space="preserve">Ergänzt manuelle Penetrationstests und bedrohungsorientierte Tests (TLPT) nach DORA, ersetzt sie nicht.</w:t>
      </w:r>
    </w:p>
    <w:p>
      <w:pPr>
        <w:keepNext/>
        <w:pageBreakBefore/>
        <w:spacing w:after="40"/>
      </w:pPr>
      <w:r>
        <w:rPr>
          <w:color w:val="6B7080"/>
          <w:sz w:val="19"/>
          <w:szCs w:val="19"/>
        </w:rPr>
        <w:t xml:space="preserve">Anwendungsfall 4  ·  IT-Risiko / Auslagerung</w:t>
      </w:r>
    </w:p>
    <w:p>
      <w:pPr>
        <w:keepNext/>
        <w:spacing w:after="80" w:line="252" w:lineRule="auto"/>
      </w:pPr>
      <w:r>
        <w:rPr>
          <w:rFonts w:ascii="Cambria" w:cs="Cambria" w:eastAsia="Cambria" w:hAnsi="Cambria"/>
          <w:color w:val="050A30"/>
          <w:sz w:val="52"/>
          <w:szCs w:val="52"/>
        </w:rPr>
        <w:t xml:space="preserve">Third-Party Dependency Intelligence</w:t>
      </w:r>
    </w:p>
    <w:p>
      <w:pPr>
        <w:pBdr>
          <w:bottom w:val="single" w:color="050A30" w:sz="8"/>
        </w:pBdr>
        <w:spacing w:after="360" w:line="264" w:lineRule="auto"/>
      </w:pPr>
      <w:r>
        <w:rPr>
          <w:rFonts w:ascii="Cambria" w:cs="Cambria" w:eastAsia="Cambria" w:hAnsi="Cambria"/>
          <w:i/>
          <w:iCs/>
          <w:color w:val="050A30"/>
          <w:sz w:val="28"/>
          <w:szCs w:val="28"/>
        </w:rPr>
        <w:t xml:space="preserve">Abhängigkeiten von Dienstleistern, Subdienstleistern und Systemen in einem Modell zusammenführen.</w:t>
      </w:r>
    </w:p>
    <w:tbl>
      <w:tblPr>
        <w:tblW w:type="dxa" w:w="1457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856"/>
        <w:gridCol w:w="4856"/>
        <w:gridCol w:w="4858"/>
      </w:tblGrid>
      <w:tr>
        <w:trPr>
          <w:cantSplit/>
        </w:trPr>
        <w:tc>
          <w:tcPr>
            <w:tcW w:type="dxa" w:w="485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0"/>
              <w:bottom w:type="dxa" w:w="120"/>
              <w:right w:type="dxa" w:w="240"/>
            </w:tcMar>
          </w:tcPr>
          <w:p>
            <w:pPr>
              <w:keepNext/>
              <w:spacing w:after="120"/>
            </w:pPr>
            <w:r>
              <w:rPr>
                <w:b/>
                <w:bCs/>
                <w:color w:val="6B7080"/>
                <w:sz w:val="19"/>
                <w:szCs w:val="19"/>
              </w:rPr>
              <w:t xml:space="preserve">Heute</w:t>
            </w:r>
          </w:p>
          <w:p>
            <w:pPr>
              <w:spacing w:after="120" w:before="0" w:line="288" w:lineRule="auto"/>
            </w:pPr>
            <w:r>
              <w:rPr>
                <w:sz w:val="22"/>
                <w:szCs w:val="22"/>
              </w:rPr>
              <w:t xml:space="preserve">Kritische Geschäftsprozesse hängen von Cloud-Providern, Softwareherstellern, Rechenzentrumsdiensten und deren Subdienstleistern ab.</w:t>
            </w:r>
          </w:p>
          <w:p>
            <w:pPr>
              <w:spacing w:after="120" w:before="0" w:line="288" w:lineRule="auto"/>
            </w:pPr>
            <w:r>
              <w:rPr>
                <w:sz w:val="22"/>
                <w:szCs w:val="22"/>
              </w:rPr>
              <w:t xml:space="preserve">DORA verlangt ein strukturiertes Management dieser Abhängigkeiten. Die EBA hat im September 2026 Leitlinien auch für Drittparteien außerhalb des IKT-Bereichs finalisiert.</w:t>
            </w:r>
          </w:p>
        </w:tc>
        <w:tc>
          <w:tcPr>
            <w:tcW w:type="dxa" w:w="4856"/>
            <w:tcBorders>
              <w:top w:val="none" w:color="FFFFFF" w:sz="0"/>
              <w:left w:val="single" w:color="D6D9E1" w:sz="4"/>
              <w:bottom w:val="none" w:color="FFFFFF" w:sz="0"/>
              <w:right w:val="none" w:color="FFFFFF" w:sz="0"/>
            </w:tcBorders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keepNext/>
              <w:spacing w:after="120"/>
            </w:pPr>
            <w:r>
              <w:rPr>
                <w:b/>
                <w:bCs/>
                <w:color w:val="6B7080"/>
                <w:sz w:val="19"/>
                <w:szCs w:val="19"/>
              </w:rPr>
              <w:t xml:space="preserve">Das Problem</w:t>
            </w:r>
          </w:p>
          <w:p>
            <w:pPr>
              <w:spacing w:after="120" w:before="0" w:line="288" w:lineRule="auto"/>
            </w:pPr>
            <w:r>
              <w:rPr>
                <w:sz w:val="22"/>
                <w:szCs w:val="22"/>
              </w:rPr>
              <w:t xml:space="preserve">Hinter einer Anwendung stehen oft mehrere Anbieter und Subunternehmer. Die Informationen dazu liegen verteilt in Vertragsmanagement, IT-Architektur, Prozessdokumentation und Risikomanagement.</w:t>
            </w:r>
          </w:p>
          <w:p>
            <w:pPr>
              <w:spacing w:after="120" w:before="0" w:line="288" w:lineRule="auto"/>
            </w:pPr>
            <w:r>
              <w:rPr>
                <w:sz w:val="22"/>
                <w:szCs w:val="22"/>
              </w:rPr>
              <w:t xml:space="preserve">Bei einem Dienstleistervorfall muss die Betroffenheit aus diesen Quellen erst zusammengetragen werden.</w:t>
            </w:r>
          </w:p>
        </w:tc>
        <w:tc>
          <w:tcPr>
            <w:tcW w:type="dxa" w:w="4858"/>
            <w:tcBorders>
              <w:top w:val="none" w:color="FFFFFF" w:sz="0"/>
              <w:left w:val="single" w:color="D6D9E1" w:sz="4"/>
              <w:bottom w:val="none" w:color="FFFFFF" w:sz="0"/>
              <w:right w:val="none" w:color="FFFFFF" w:sz="0"/>
            </w:tcBorders>
            <w:tcMar>
              <w:top w:type="dxa" w:w="120"/>
              <w:left w:type="dxa" w:w="240"/>
              <w:bottom w:type="dxa" w:w="120"/>
              <w:right w:type="dxa" w:w="0"/>
            </w:tcMar>
          </w:tcPr>
          <w:p>
            <w:pPr>
              <w:keepNext/>
              <w:spacing w:after="120"/>
            </w:pPr>
            <w:r>
              <w:rPr>
                <w:b/>
                <w:bCs/>
                <w:color w:val="6B7080"/>
                <w:sz w:val="19"/>
                <w:szCs w:val="19"/>
              </w:rPr>
              <w:t xml:space="preserve">Mit KI</w:t>
            </w:r>
          </w:p>
          <w:p>
            <w:pPr>
              <w:spacing w:after="120" w:before="0" w:line="288" w:lineRule="auto"/>
            </w:pPr>
            <w:r>
              <w:rPr>
                <w:sz w:val="22"/>
                <w:szCs w:val="22"/>
              </w:rPr>
              <w:t xml:space="preserve">Ein Abhängigkeitsmodell verknüpft Verträge, Dienstleister, Subdienstleisterketten, Systeme und Geschäftsprozesse.</w:t>
            </w:r>
          </w:p>
          <w:p>
            <w:pPr>
              <w:spacing w:after="120" w:before="0" w:line="288" w:lineRule="auto"/>
            </w:pPr>
            <w:r>
              <w:rPr>
                <w:sz w:val="22"/>
                <w:szCs w:val="22"/>
              </w:rPr>
              <w:t xml:space="preserve">Es zeigt je Dienstleister die abhängigen Funktionen, bestehende vertragliche Absicherungen, dokumentierte Exit- und Wiederanlaufpläne und fehlende Nachweise.</w:t>
            </w:r>
          </w:p>
          <w:p>
            <w:pPr>
              <w:spacing w:after="120" w:before="0" w:line="288" w:lineRule="auto"/>
            </w:pPr>
            <w:r>
              <w:rPr>
                <w:sz w:val="22"/>
                <w:szCs w:val="22"/>
              </w:rPr>
              <w:t xml:space="preserve">Konzentrationsrisiken werden aus den vorhandenen Daten sichtbar.</w:t>
            </w:r>
          </w:p>
        </w:tc>
      </w:tr>
    </w:tbl>
    <w:p>
      <w:pPr>
        <w:spacing w:after="200"/>
      </w:pPr>
    </w:p>
    <w:p>
      <w:pPr>
        <w:keepNext/>
        <w:spacing w:after="120"/>
      </w:pPr>
      <w:r>
        <w:rPr>
          <w:b/>
          <w:bCs/>
          <w:color w:val="6B7080"/>
          <w:sz w:val="19"/>
          <w:szCs w:val="19"/>
        </w:rPr>
        <w:t xml:space="preserve">Was die KfW davon hat</w:t>
      </w:r>
    </w:p>
    <w:tbl>
      <w:tblPr>
        <w:tblW w:type="dxa" w:w="1457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single" w:color="FFFFFF" w:sz="16"/>
        </w:tblBorders>
        <w:tblLayout w:type="fixed"/>
      </w:tblPr>
      <w:tblGrid>
        <w:gridCol w:w="4856"/>
        <w:gridCol w:w="4856"/>
        <w:gridCol w:w="4858"/>
      </w:tblGrid>
      <w:tr>
        <w:trPr>
          <w:cantSplit/>
        </w:trPr>
        <w:tc>
          <w:tcPr>
            <w:tcW w:type="dxa" w:w="4856"/>
            <w:shd w:fill="F4F5F8" w:color="auto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spacing w:after="60" w:line="240" w:lineRule="auto"/>
            </w:pPr>
            <w:r>
              <w:rPr>
                <w:rFonts w:ascii="Cambria" w:cs="Cambria" w:eastAsia="Cambria" w:hAnsi="Cambria"/>
                <w:color w:val="050A30"/>
                <w:sz w:val="34"/>
                <w:szCs w:val="34"/>
              </w:rPr>
              <w:t xml:space="preserve">Schnellere Betroffenheitsanalyse</w:t>
            </w:r>
          </w:p>
          <w:p>
            <w:pPr>
              <w:spacing w:after="0" w:line="276" w:lineRule="auto"/>
            </w:pPr>
            <w:r>
              <w:rPr>
                <w:color w:val="6B7080"/>
                <w:sz w:val="20"/>
                <w:szCs w:val="20"/>
              </w:rPr>
              <w:t xml:space="preserve">bei Störungen oder Sicherheitsmeldungen eines Dienstleisters</w:t>
            </w:r>
          </w:p>
        </w:tc>
        <w:tc>
          <w:tcPr>
            <w:tcW w:type="dxa" w:w="4856"/>
            <w:shd w:fill="F4F5F8" w:color="auto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spacing w:after="60" w:line="240" w:lineRule="auto"/>
            </w:pPr>
            <w:r>
              <w:rPr>
                <w:rFonts w:ascii="Cambria" w:cs="Cambria" w:eastAsia="Cambria" w:hAnsi="Cambria"/>
                <w:color w:val="050A30"/>
                <w:sz w:val="34"/>
                <w:szCs w:val="34"/>
              </w:rPr>
              <w:t xml:space="preserve">Vollständige Erfassung</w:t>
            </w:r>
          </w:p>
          <w:p>
            <w:pPr>
              <w:spacing w:after="0" w:line="276" w:lineRule="auto"/>
            </w:pPr>
            <w:r>
              <w:rPr>
                <w:color w:val="6B7080"/>
                <w:sz w:val="20"/>
                <w:szCs w:val="20"/>
              </w:rPr>
              <w:t xml:space="preserve">kritischer Abhängigkeiten einschließlich Subdienstleister</w:t>
            </w:r>
          </w:p>
        </w:tc>
        <w:tc>
          <w:tcPr>
            <w:tcW w:type="dxa" w:w="4858"/>
            <w:shd w:fill="F4F5F8" w:color="auto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spacing w:after="60" w:line="240" w:lineRule="auto"/>
            </w:pPr>
            <w:r>
              <w:rPr>
                <w:rFonts w:ascii="Cambria" w:cs="Cambria" w:eastAsia="Cambria" w:hAnsi="Cambria"/>
                <w:color w:val="050A30"/>
                <w:sz w:val="34"/>
                <w:szCs w:val="34"/>
              </w:rPr>
              <w:t xml:space="preserve">Prüfbare Nachweise</w:t>
            </w:r>
          </w:p>
          <w:p>
            <w:pPr>
              <w:spacing w:after="0" w:line="276" w:lineRule="auto"/>
            </w:pPr>
            <w:r>
              <w:rPr>
                <w:color w:val="6B7080"/>
                <w:sz w:val="20"/>
                <w:szCs w:val="20"/>
              </w:rPr>
              <w:t xml:space="preserve">Exit-Pläne und Absicherungen direkt am Geschäftsprozess</w:t>
            </w:r>
          </w:p>
        </w:tc>
      </w:tr>
    </w:tbl>
    <w:p/>
    <w:p>
      <w:pPr>
        <w:keepNext/>
        <w:pageBreakBefore/>
        <w:spacing w:after="40"/>
      </w:pPr>
      <w:r>
        <w:rPr>
          <w:color w:val="6B7080"/>
          <w:sz w:val="19"/>
          <w:szCs w:val="19"/>
        </w:rPr>
        <w:t xml:space="preserve">Anwendungsfall 5  ·  IKS / Operational Risk</w:t>
      </w:r>
    </w:p>
    <w:p>
      <w:pPr>
        <w:keepNext/>
        <w:spacing w:after="80" w:line="252" w:lineRule="auto"/>
      </w:pPr>
      <w:r>
        <w:rPr>
          <w:rFonts w:ascii="Cambria" w:cs="Cambria" w:eastAsia="Cambria" w:hAnsi="Cambria"/>
          <w:color w:val="050A30"/>
          <w:sz w:val="52"/>
          <w:szCs w:val="52"/>
        </w:rPr>
        <w:t xml:space="preserve">Continuous Control Intelligence</w:t>
      </w:r>
    </w:p>
    <w:p>
      <w:pPr>
        <w:pBdr>
          <w:bottom w:val="single" w:color="050A30" w:sz="8"/>
        </w:pBdr>
        <w:spacing w:after="360" w:line="264" w:lineRule="auto"/>
      </w:pPr>
      <w:r>
        <w:rPr>
          <w:rFonts w:ascii="Cambria" w:cs="Cambria" w:eastAsia="Cambria" w:hAnsi="Cambria"/>
          <w:i/>
          <w:iCs/>
          <w:color w:val="050A30"/>
          <w:sz w:val="28"/>
          <w:szCs w:val="28"/>
        </w:rPr>
        <w:t xml:space="preserve">Kontrollabweichungen laufend aus Prozessdaten erkennen statt nur zu festen Prüfzeitpunkten.</w:t>
      </w:r>
    </w:p>
    <w:tbl>
      <w:tblPr>
        <w:tblW w:type="dxa" w:w="1457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856"/>
        <w:gridCol w:w="4856"/>
        <w:gridCol w:w="4858"/>
      </w:tblGrid>
      <w:tr>
        <w:trPr>
          <w:cantSplit/>
        </w:trPr>
        <w:tc>
          <w:tcPr>
            <w:tcW w:type="dxa" w:w="485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0"/>
              <w:bottom w:type="dxa" w:w="120"/>
              <w:right w:type="dxa" w:w="240"/>
            </w:tcMar>
          </w:tcPr>
          <w:p>
            <w:pPr>
              <w:keepNext/>
              <w:spacing w:after="120"/>
            </w:pPr>
            <w:r>
              <w:rPr>
                <w:b/>
                <w:bCs/>
                <w:color w:val="6B7080"/>
                <w:sz w:val="19"/>
                <w:szCs w:val="19"/>
              </w:rPr>
              <w:t xml:space="preserve">Heute</w:t>
            </w:r>
          </w:p>
          <w:p>
            <w:pPr>
              <w:spacing w:after="120" w:before="0" w:line="288" w:lineRule="auto"/>
            </w:pPr>
            <w:r>
              <w:rPr>
                <w:sz w:val="22"/>
                <w:szCs w:val="22"/>
              </w:rPr>
              <w:t xml:space="preserve">Die KfW verfügt über etablierte IKS-Kontrollen, regelmäßige Risiko-Assessments und bereichsspezifische OpRisk-Dashboards.</w:t>
            </w:r>
          </w:p>
          <w:p>
            <w:pPr>
              <w:spacing w:after="120" w:before="0" w:line="288" w:lineRule="auto"/>
            </w:pPr>
            <w:r>
              <w:rPr>
                <w:sz w:val="22"/>
                <w:szCs w:val="22"/>
              </w:rPr>
              <w:t xml:space="preserve">Kontrollen werden in festen Abständen geprüft, Nachweise zusammengetragen und Maßnahmen nachverfolgt.</w:t>
            </w:r>
          </w:p>
        </w:tc>
        <w:tc>
          <w:tcPr>
            <w:tcW w:type="dxa" w:w="4856"/>
            <w:tcBorders>
              <w:top w:val="none" w:color="FFFFFF" w:sz="0"/>
              <w:left w:val="single" w:color="D6D9E1" w:sz="4"/>
              <w:bottom w:val="none" w:color="FFFFFF" w:sz="0"/>
              <w:right w:val="none" w:color="FFFFFF" w:sz="0"/>
            </w:tcBorders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keepNext/>
              <w:spacing w:after="120"/>
            </w:pPr>
            <w:r>
              <w:rPr>
                <w:b/>
                <w:bCs/>
                <w:color w:val="6B7080"/>
                <w:sz w:val="19"/>
                <w:szCs w:val="19"/>
              </w:rPr>
              <w:t xml:space="preserve">Das Problem</w:t>
            </w:r>
          </w:p>
          <w:p>
            <w:pPr>
              <w:spacing w:after="120" w:before="0" w:line="288" w:lineRule="auto"/>
            </w:pPr>
            <w:r>
              <w:rPr>
                <w:sz w:val="22"/>
                <w:szCs w:val="22"/>
              </w:rPr>
              <w:t xml:space="preserve">Zwischen zwei Prüfzeitpunkten entstehende Abweichungen werden erst bei der nächsten Prüfung sichtbar.</w:t>
            </w:r>
          </w:p>
          <w:p>
            <w:pPr>
              <w:spacing w:after="120" w:before="0" w:line="288" w:lineRule="auto"/>
            </w:pPr>
            <w:r>
              <w:rPr>
                <w:sz w:val="22"/>
                <w:szCs w:val="22"/>
              </w:rPr>
              <w:t xml:space="preserve">Kontrollnachweise, Prozessdaten, Berechtigungen und Maßnahmenstatus liegen in verschiedenen Systemen. Ob eine Korrekturmaßnahme gewirkt hat, ist aufwendig zu belegen.</w:t>
            </w:r>
          </w:p>
        </w:tc>
        <w:tc>
          <w:tcPr>
            <w:tcW w:type="dxa" w:w="4858"/>
            <w:tcBorders>
              <w:top w:val="none" w:color="FFFFFF" w:sz="0"/>
              <w:left w:val="single" w:color="D6D9E1" w:sz="4"/>
              <w:bottom w:val="none" w:color="FFFFFF" w:sz="0"/>
              <w:right w:val="none" w:color="FFFFFF" w:sz="0"/>
            </w:tcBorders>
            <w:tcMar>
              <w:top w:type="dxa" w:w="120"/>
              <w:left w:type="dxa" w:w="240"/>
              <w:bottom w:type="dxa" w:w="120"/>
              <w:right w:type="dxa" w:w="0"/>
            </w:tcMar>
          </w:tcPr>
          <w:p>
            <w:pPr>
              <w:keepNext/>
              <w:spacing w:after="120"/>
            </w:pPr>
            <w:r>
              <w:rPr>
                <w:b/>
                <w:bCs/>
                <w:color w:val="6B7080"/>
                <w:sz w:val="19"/>
                <w:szCs w:val="19"/>
              </w:rPr>
              <w:t xml:space="preserve">Mit KI</w:t>
            </w:r>
          </w:p>
          <w:p>
            <w:pPr>
              <w:spacing w:after="120" w:before="0" w:line="288" w:lineRule="auto"/>
            </w:pPr>
            <w:r>
              <w:rPr>
                <w:sz w:val="22"/>
                <w:szCs w:val="22"/>
              </w:rPr>
              <w:t xml:space="preserve">Prozess- und Transaktionsdaten werden laufend gegen definierte Kontrollregeln geprüft, etwa Berechtigungsänderung ohne Freigabe, verletzte Funktionstrennung oder Kontrolle ohne vollständigen Nachweis.</w:t>
            </w:r>
          </w:p>
          <w:p>
            <w:pPr>
              <w:spacing w:after="120" w:before="0" w:line="288" w:lineRule="auto"/>
            </w:pPr>
            <w:r>
              <w:rPr>
                <w:sz w:val="22"/>
                <w:szCs w:val="22"/>
              </w:rPr>
              <w:t xml:space="preserve">Auffälligkeiten werden im Prozesskontext eingeordnet und begründet an die Kontrollverantwortlichen übergeben.</w:t>
            </w:r>
          </w:p>
          <w:p>
            <w:pPr>
              <w:spacing w:after="120" w:before="0" w:line="288" w:lineRule="auto"/>
            </w:pPr>
            <w:r>
              <w:rPr>
                <w:sz w:val="22"/>
                <w:szCs w:val="22"/>
              </w:rPr>
              <w:t xml:space="preserve">Die Interne Revision kann die Ergebnisse unabhängig prüfen.</w:t>
            </w:r>
          </w:p>
        </w:tc>
      </w:tr>
    </w:tbl>
    <w:p>
      <w:pPr>
        <w:spacing w:after="200"/>
      </w:pPr>
    </w:p>
    <w:p>
      <w:pPr>
        <w:keepNext/>
        <w:spacing w:after="120"/>
      </w:pPr>
      <w:r>
        <w:rPr>
          <w:b/>
          <w:bCs/>
          <w:color w:val="6B7080"/>
          <w:sz w:val="19"/>
          <w:szCs w:val="19"/>
        </w:rPr>
        <w:t xml:space="preserve">Was die KfW davon hat</w:t>
      </w:r>
    </w:p>
    <w:tbl>
      <w:tblPr>
        <w:tblW w:type="dxa" w:w="1457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single" w:color="FFFFFF" w:sz="16"/>
        </w:tblBorders>
        <w:tblLayout w:type="fixed"/>
      </w:tblPr>
      <w:tblGrid>
        <w:gridCol w:w="4856"/>
        <w:gridCol w:w="4856"/>
        <w:gridCol w:w="4858"/>
      </w:tblGrid>
      <w:tr>
        <w:trPr>
          <w:cantSplit/>
        </w:trPr>
        <w:tc>
          <w:tcPr>
            <w:tcW w:type="dxa" w:w="4856"/>
            <w:shd w:fill="F4F5F8" w:color="auto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spacing w:after="60" w:line="240" w:lineRule="auto"/>
            </w:pPr>
            <w:r>
              <w:rPr>
                <w:rFonts w:ascii="Cambria" w:cs="Cambria" w:eastAsia="Cambria" w:hAnsi="Cambria"/>
                <w:color w:val="050A30"/>
                <w:sz w:val="34"/>
                <w:szCs w:val="34"/>
              </w:rPr>
              <w:t xml:space="preserve">Frühere Erkennung</w:t>
            </w:r>
          </w:p>
          <w:p>
            <w:pPr>
              <w:spacing w:after="0" w:line="276" w:lineRule="auto"/>
            </w:pPr>
            <w:r>
              <w:rPr>
                <w:color w:val="6B7080"/>
                <w:sz w:val="20"/>
                <w:szCs w:val="20"/>
              </w:rPr>
              <w:t xml:space="preserve">Abweichungen nahe am Zeitpunkt ihres Entstehens</w:t>
            </w:r>
          </w:p>
        </w:tc>
        <w:tc>
          <w:tcPr>
            <w:tcW w:type="dxa" w:w="4856"/>
            <w:shd w:fill="F4F5F8" w:color="auto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spacing w:after="60" w:line="240" w:lineRule="auto"/>
            </w:pPr>
            <w:r>
              <w:rPr>
                <w:rFonts w:ascii="Cambria" w:cs="Cambria" w:eastAsia="Cambria" w:hAnsi="Cambria"/>
                <w:color w:val="050A30"/>
                <w:sz w:val="34"/>
                <w:szCs w:val="34"/>
              </w:rPr>
              <w:t xml:space="preserve">Weniger manuelle Auswertung</w:t>
            </w:r>
          </w:p>
          <w:p>
            <w:pPr>
              <w:spacing w:after="0" w:line="276" w:lineRule="auto"/>
            </w:pPr>
            <w:r>
              <w:rPr>
                <w:color w:val="6B7080"/>
                <w:sz w:val="20"/>
                <w:szCs w:val="20"/>
              </w:rPr>
              <w:t xml:space="preserve">Nachweise werden systemseitig zusammengeführt</w:t>
            </w:r>
          </w:p>
        </w:tc>
        <w:tc>
          <w:tcPr>
            <w:tcW w:type="dxa" w:w="4858"/>
            <w:shd w:fill="F4F5F8" w:color="auto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spacing w:after="60" w:line="240" w:lineRule="auto"/>
            </w:pPr>
            <w:r>
              <w:rPr>
                <w:rFonts w:ascii="Cambria" w:cs="Cambria" w:eastAsia="Cambria" w:hAnsi="Cambria"/>
                <w:color w:val="050A30"/>
                <w:sz w:val="34"/>
                <w:szCs w:val="34"/>
              </w:rPr>
              <w:t xml:space="preserve">Nachweis der Wirksamkeit</w:t>
            </w:r>
          </w:p>
          <w:p>
            <w:pPr>
              <w:spacing w:after="0" w:line="276" w:lineRule="auto"/>
            </w:pPr>
            <w:r>
              <w:rPr>
                <w:color w:val="6B7080"/>
                <w:sz w:val="20"/>
                <w:szCs w:val="20"/>
              </w:rPr>
              <w:t xml:space="preserve">von Korrekturmaßnahmen anhand der Prozessdaten</w:t>
            </w:r>
          </w:p>
        </w:tc>
      </w:tr>
    </w:tbl>
    <w:p/>
    <w:p>
      <w:pPr>
        <w:keepNext/>
        <w:pageBreakBefore/>
        <w:spacing w:after="40"/>
      </w:pPr>
      <w:r>
        <w:rPr>
          <w:color w:val="6B7080"/>
          <w:sz w:val="19"/>
          <w:szCs w:val="19"/>
        </w:rPr>
        <w:t xml:space="preserve">Anwendungsfall 6  ·  KfW IPEX-Bank, Kreditrisiko</w:t>
      </w:r>
    </w:p>
    <w:p>
      <w:pPr>
        <w:keepNext/>
        <w:spacing w:after="80" w:line="252" w:lineRule="auto"/>
      </w:pPr>
      <w:r>
        <w:rPr>
          <w:rFonts w:ascii="Cambria" w:cs="Cambria" w:eastAsia="Cambria" w:hAnsi="Cambria"/>
          <w:color w:val="050A30"/>
          <w:sz w:val="52"/>
          <w:szCs w:val="52"/>
        </w:rPr>
        <w:t xml:space="preserve">Project Finance Early Warning</w:t>
      </w:r>
    </w:p>
    <w:p>
      <w:pPr>
        <w:pBdr>
          <w:bottom w:val="single" w:color="050A30" w:sz="8"/>
        </w:pBdr>
        <w:spacing w:after="360" w:line="264" w:lineRule="auto"/>
      </w:pPr>
      <w:r>
        <w:rPr>
          <w:rFonts w:ascii="Cambria" w:cs="Cambria" w:eastAsia="Cambria" w:hAnsi="Cambria"/>
          <w:i/>
          <w:iCs/>
          <w:color w:val="050A30"/>
          <w:sz w:val="28"/>
          <w:szCs w:val="28"/>
        </w:rPr>
        <w:t xml:space="preserve">Verteilte Signale aus Projektberichten, Covenants und Marktdaten je Finanzierung zusammenführen.</w:t>
      </w:r>
    </w:p>
    <w:tbl>
      <w:tblPr>
        <w:tblW w:type="dxa" w:w="1457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856"/>
        <w:gridCol w:w="4856"/>
        <w:gridCol w:w="4858"/>
      </w:tblGrid>
      <w:tr>
        <w:trPr>
          <w:cantSplit/>
        </w:trPr>
        <w:tc>
          <w:tcPr>
            <w:tcW w:type="dxa" w:w="485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0"/>
              <w:bottom w:type="dxa" w:w="120"/>
              <w:right w:type="dxa" w:w="240"/>
            </w:tcMar>
          </w:tcPr>
          <w:p>
            <w:pPr>
              <w:keepNext/>
              <w:spacing w:after="120"/>
            </w:pPr>
            <w:r>
              <w:rPr>
                <w:b/>
                <w:bCs/>
                <w:color w:val="6B7080"/>
                <w:sz w:val="19"/>
                <w:szCs w:val="19"/>
              </w:rPr>
              <w:t xml:space="preserve">Heute</w:t>
            </w:r>
          </w:p>
          <w:p>
            <w:pPr>
              <w:spacing w:after="120" w:before="0" w:line="288" w:lineRule="auto"/>
            </w:pPr>
            <w:r>
              <w:rPr>
                <w:sz w:val="22"/>
                <w:szCs w:val="22"/>
              </w:rPr>
              <w:t xml:space="preserve">Die KfW IPEX-Bank begleitet langfristige Projekte in Energie, Mobilität und Infrastruktur; Ende 2025 lag der Kreditbestand bei 88,9 Mrd. €.</w:t>
            </w:r>
          </w:p>
          <w:p>
            <w:pPr>
              <w:spacing w:after="120" w:before="0" w:line="288" w:lineRule="auto"/>
            </w:pPr>
            <w:r>
              <w:rPr>
                <w:sz w:val="22"/>
                <w:szCs w:val="22"/>
              </w:rPr>
              <w:t xml:space="preserve">Jedes Projekt liefert laufend Finanzberichte, Baufortschrittsmeldungen und Covenant-Reporting; hinzu kommen Markt- und Branchendaten.</w:t>
            </w:r>
          </w:p>
        </w:tc>
        <w:tc>
          <w:tcPr>
            <w:tcW w:type="dxa" w:w="4856"/>
            <w:tcBorders>
              <w:top w:val="none" w:color="FFFFFF" w:sz="0"/>
              <w:left w:val="single" w:color="D6D9E1" w:sz="4"/>
              <w:bottom w:val="none" w:color="FFFFFF" w:sz="0"/>
              <w:right w:val="none" w:color="FFFFFF" w:sz="0"/>
            </w:tcBorders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keepNext/>
              <w:spacing w:after="120"/>
            </w:pPr>
            <w:r>
              <w:rPr>
                <w:b/>
                <w:bCs/>
                <w:color w:val="6B7080"/>
                <w:sz w:val="19"/>
                <w:szCs w:val="19"/>
              </w:rPr>
              <w:t xml:space="preserve">Das Problem</w:t>
            </w:r>
          </w:p>
          <w:p>
            <w:pPr>
              <w:spacing w:after="120" w:before="0" w:line="288" w:lineRule="auto"/>
            </w:pPr>
            <w:r>
              <w:rPr>
                <w:sz w:val="22"/>
                <w:szCs w:val="22"/>
              </w:rPr>
              <w:t xml:space="preserve">Verschlechterungen kündigen sich meist durch mehrere kleine Signale an, verteilt über Dokumente, Quellen und Monate: eine Bauverzögerung, steigende Beschaffungskosten, eine angepasste Prognose eines Auftragnehmers.</w:t>
            </w:r>
          </w:p>
          <w:p>
            <w:pPr>
              <w:spacing w:after="120" w:before="0" w:line="288" w:lineRule="auto"/>
            </w:pPr>
            <w:r>
              <w:rPr>
                <w:sz w:val="22"/>
                <w:szCs w:val="22"/>
              </w:rPr>
              <w:t xml:space="preserve">Bei einem Portfolio dieser Größe ist es im Kreditreview aufwendig, diese Signale je Projekt in einen gemeinsamen Risikokontext zu bringen.</w:t>
            </w:r>
          </w:p>
        </w:tc>
        <w:tc>
          <w:tcPr>
            <w:tcW w:type="dxa" w:w="4858"/>
            <w:tcBorders>
              <w:top w:val="none" w:color="FFFFFF" w:sz="0"/>
              <w:left w:val="single" w:color="D6D9E1" w:sz="4"/>
              <w:bottom w:val="none" w:color="FFFFFF" w:sz="0"/>
              <w:right w:val="none" w:color="FFFFFF" w:sz="0"/>
            </w:tcBorders>
            <w:tcMar>
              <w:top w:type="dxa" w:w="120"/>
              <w:left w:type="dxa" w:w="240"/>
              <w:bottom w:type="dxa" w:w="120"/>
              <w:right w:type="dxa" w:w="0"/>
            </w:tcMar>
          </w:tcPr>
          <w:p>
            <w:pPr>
              <w:keepNext/>
              <w:spacing w:after="120"/>
            </w:pPr>
            <w:r>
              <w:rPr>
                <w:b/>
                <w:bCs/>
                <w:color w:val="6B7080"/>
                <w:sz w:val="19"/>
                <w:szCs w:val="19"/>
              </w:rPr>
              <w:t xml:space="preserve">Mit KI</w:t>
            </w:r>
          </w:p>
          <w:p>
            <w:pPr>
              <w:spacing w:after="120" w:before="0" w:line="288" w:lineRule="auto"/>
            </w:pPr>
            <w:r>
              <w:rPr>
                <w:sz w:val="22"/>
                <w:szCs w:val="22"/>
              </w:rPr>
              <w:t xml:space="preserve">Das System liest Projektberichte, Vertrags- und Covenant-Dokumente sowie externe Signale und verknüpft sie mit den Annahmen des Finanzierungsmodells.</w:t>
            </w:r>
          </w:p>
          <w:p>
            <w:pPr>
              <w:spacing w:after="120" w:before="0" w:line="288" w:lineRule="auto"/>
            </w:pPr>
            <w:r>
              <w:rPr>
                <w:sz w:val="22"/>
                <w:szCs w:val="22"/>
              </w:rPr>
              <w:t xml:space="preserve">Es zeigt, welche Annahmen und Verpflichtungen überprüft werden sollten, und begründet dies mit den zugrunde liegenden Quellen.</w:t>
            </w:r>
          </w:p>
          <w:p>
            <w:pPr>
              <w:spacing w:after="120" w:before="0" w:line="288" w:lineRule="auto"/>
            </w:pPr>
            <w:r>
              <w:rPr>
                <w:sz w:val="22"/>
                <w:szCs w:val="22"/>
              </w:rPr>
              <w:t xml:space="preserve">Cashflow-, Deckungsgrad- und Risikoberechnungen bleiben in den validierten Modellen.</w:t>
            </w:r>
          </w:p>
        </w:tc>
      </w:tr>
    </w:tbl>
    <w:p>
      <w:pPr>
        <w:spacing w:after="200"/>
      </w:pPr>
    </w:p>
    <w:p>
      <w:pPr>
        <w:keepNext/>
        <w:spacing w:after="120"/>
      </w:pPr>
      <w:r>
        <w:rPr>
          <w:b/>
          <w:bCs/>
          <w:color w:val="6B7080"/>
          <w:sz w:val="19"/>
          <w:szCs w:val="19"/>
        </w:rPr>
        <w:t xml:space="preserve">Was die KfW davon hat</w:t>
      </w:r>
    </w:p>
    <w:tbl>
      <w:tblPr>
        <w:tblW w:type="dxa" w:w="1457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single" w:color="FFFFFF" w:sz="16"/>
        </w:tblBorders>
        <w:tblLayout w:type="fixed"/>
      </w:tblPr>
      <w:tblGrid>
        <w:gridCol w:w="4856"/>
        <w:gridCol w:w="4856"/>
        <w:gridCol w:w="4858"/>
      </w:tblGrid>
      <w:tr>
        <w:trPr>
          <w:cantSplit/>
        </w:trPr>
        <w:tc>
          <w:tcPr>
            <w:tcW w:type="dxa" w:w="4856"/>
            <w:shd w:fill="F4F5F8" w:color="auto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spacing w:after="60" w:line="240" w:lineRule="auto"/>
            </w:pPr>
            <w:r>
              <w:rPr>
                <w:rFonts w:ascii="Cambria" w:cs="Cambria" w:eastAsia="Cambria" w:hAnsi="Cambria"/>
                <w:color w:val="050A30"/>
                <w:sz w:val="34"/>
                <w:szCs w:val="34"/>
              </w:rPr>
              <w:t xml:space="preserve">Längere Vorwarnzeit</w:t>
            </w:r>
          </w:p>
          <w:p>
            <w:pPr>
              <w:spacing w:after="0" w:line="276" w:lineRule="auto"/>
            </w:pPr>
            <w:r>
              <w:rPr>
                <w:color w:val="6B7080"/>
                <w:sz w:val="20"/>
                <w:szCs w:val="20"/>
              </w:rPr>
              <w:t xml:space="preserve">vor Covenant-Verstößen und Ratingveränderungen</w:t>
            </w:r>
          </w:p>
        </w:tc>
        <w:tc>
          <w:tcPr>
            <w:tcW w:type="dxa" w:w="4856"/>
            <w:shd w:fill="F4F5F8" w:color="auto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spacing w:after="60" w:line="240" w:lineRule="auto"/>
            </w:pPr>
            <w:r>
              <w:rPr>
                <w:rFonts w:ascii="Cambria" w:cs="Cambria" w:eastAsia="Cambria" w:hAnsi="Cambria"/>
                <w:color w:val="050A30"/>
                <w:sz w:val="34"/>
                <w:szCs w:val="34"/>
              </w:rPr>
              <w:t xml:space="preserve">Effizientere Kreditreviews</w:t>
            </w:r>
          </w:p>
          <w:p>
            <w:pPr>
              <w:spacing w:after="0" w:line="276" w:lineRule="auto"/>
            </w:pPr>
            <w:r>
              <w:rPr>
                <w:color w:val="6B7080"/>
                <w:sz w:val="20"/>
                <w:szCs w:val="20"/>
              </w:rPr>
              <w:t xml:space="preserve">weniger Zeit für die Sichtung, mehr für die Bewertung</w:t>
            </w:r>
          </w:p>
        </w:tc>
        <w:tc>
          <w:tcPr>
            <w:tcW w:type="dxa" w:w="4858"/>
            <w:shd w:fill="F4F5F8" w:color="auto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spacing w:after="60" w:line="240" w:lineRule="auto"/>
            </w:pPr>
            <w:r>
              <w:rPr>
                <w:rFonts w:ascii="Cambria" w:cs="Cambria" w:eastAsia="Cambria" w:hAnsi="Cambria"/>
                <w:color w:val="050A30"/>
                <w:sz w:val="34"/>
                <w:szCs w:val="34"/>
              </w:rPr>
              <w:t xml:space="preserve">Begrenzung von Verlusten</w:t>
            </w:r>
          </w:p>
          <w:p>
            <w:pPr>
              <w:spacing w:after="0" w:line="276" w:lineRule="auto"/>
            </w:pPr>
            <w:r>
              <w:rPr>
                <w:color w:val="6B7080"/>
                <w:sz w:val="20"/>
                <w:szCs w:val="20"/>
              </w:rPr>
              <w:t xml:space="preserve">durch frühere Maßnahmen bei kritischen Entwicklungen</w:t>
            </w:r>
          </w:p>
        </w:tc>
      </w:tr>
    </w:tbl>
    <w:p/>
    <w:p>
      <w:pPr>
        <w:keepNext/>
        <w:pageBreakBefore/>
        <w:spacing w:after="40"/>
      </w:pPr>
      <w:r>
        <w:rPr>
          <w:color w:val="6B7080"/>
          <w:sz w:val="19"/>
          <w:szCs w:val="19"/>
        </w:rPr>
        <w:t xml:space="preserve">Anwendungsfall 7  ·  KfW IPEX-Bank, Exportfinanzierung</w:t>
      </w:r>
    </w:p>
    <w:p>
      <w:pPr>
        <w:keepNext/>
        <w:spacing w:after="80" w:line="252" w:lineRule="auto"/>
      </w:pPr>
      <w:r>
        <w:rPr>
          <w:rFonts w:ascii="Cambria" w:cs="Cambria" w:eastAsia="Cambria" w:hAnsi="Cambria"/>
          <w:color w:val="050A30"/>
          <w:sz w:val="52"/>
          <w:szCs w:val="52"/>
        </w:rPr>
        <w:t xml:space="preserve">Export Finance Structuring Intelligence</w:t>
      </w:r>
    </w:p>
    <w:p>
      <w:pPr>
        <w:pBdr>
          <w:bottom w:val="single" w:color="050A30" w:sz="8"/>
        </w:pBdr>
        <w:spacing w:after="360" w:line="264" w:lineRule="auto"/>
      </w:pPr>
      <w:r>
        <w:rPr>
          <w:rFonts w:ascii="Cambria" w:cs="Cambria" w:eastAsia="Cambria" w:hAnsi="Cambria"/>
          <w:i/>
          <w:iCs/>
          <w:color w:val="050A30"/>
          <w:sz w:val="28"/>
          <w:szCs w:val="28"/>
        </w:rPr>
        <w:t xml:space="preserve">Für jede Finanzierungsanfrage alternative ECA-Strukturen systematisch prüfen und vergleichen.</w:t>
      </w:r>
    </w:p>
    <w:tbl>
      <w:tblPr>
        <w:tblW w:type="dxa" w:w="1457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856"/>
        <w:gridCol w:w="4856"/>
        <w:gridCol w:w="4858"/>
      </w:tblGrid>
      <w:tr>
        <w:trPr>
          <w:cantSplit/>
        </w:trPr>
        <w:tc>
          <w:tcPr>
            <w:tcW w:type="dxa" w:w="485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0"/>
              <w:bottom w:type="dxa" w:w="120"/>
              <w:right w:type="dxa" w:w="240"/>
            </w:tcMar>
          </w:tcPr>
          <w:p>
            <w:pPr>
              <w:keepNext/>
              <w:spacing w:after="120"/>
            </w:pPr>
            <w:r>
              <w:rPr>
                <w:b/>
                <w:bCs/>
                <w:color w:val="6B7080"/>
                <w:sz w:val="19"/>
                <w:szCs w:val="19"/>
              </w:rPr>
              <w:t xml:space="preserve">Heute</w:t>
            </w:r>
          </w:p>
          <w:p>
            <w:pPr>
              <w:spacing w:after="120" w:before="0" w:line="288" w:lineRule="auto"/>
            </w:pPr>
            <w:r>
              <w:rPr>
                <w:sz w:val="22"/>
                <w:szCs w:val="22"/>
              </w:rPr>
              <w:t xml:space="preserve">Das ECA-Transaktionsvolumen der KfW IPEX-Bank lag 2025 bei rund 4,4 Mrd. €. Die Zahl der Deckungsprodukte der Exportkreditagenturen hat deutlich zugenommen.</w:t>
            </w:r>
          </w:p>
          <w:p>
            <w:pPr>
              <w:spacing w:after="120" w:before="0" w:line="288" w:lineRule="auto"/>
            </w:pPr>
            <w:r>
              <w:rPr>
                <w:sz w:val="22"/>
                <w:szCs w:val="22"/>
              </w:rPr>
              <w:t xml:space="preserve">Ein KI-Projekt zur Dokumentenanalyse ist bereits gestartet.</w:t>
            </w:r>
          </w:p>
        </w:tc>
        <w:tc>
          <w:tcPr>
            <w:tcW w:type="dxa" w:w="4856"/>
            <w:tcBorders>
              <w:top w:val="none" w:color="FFFFFF" w:sz="0"/>
              <w:left w:val="single" w:color="D6D9E1" w:sz="4"/>
              <w:bottom w:val="none" w:color="FFFFFF" w:sz="0"/>
              <w:right w:val="none" w:color="FFFFFF" w:sz="0"/>
            </w:tcBorders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keepNext/>
              <w:spacing w:after="120"/>
            </w:pPr>
            <w:r>
              <w:rPr>
                <w:b/>
                <w:bCs/>
                <w:color w:val="6B7080"/>
                <w:sz w:val="19"/>
                <w:szCs w:val="19"/>
              </w:rPr>
              <w:t xml:space="preserve">Das Problem</w:t>
            </w:r>
          </w:p>
          <w:p>
            <w:pPr>
              <w:spacing w:after="120" w:before="0" w:line="288" w:lineRule="auto"/>
            </w:pPr>
            <w:r>
              <w:rPr>
                <w:sz w:val="22"/>
                <w:szCs w:val="22"/>
              </w:rPr>
              <w:t xml:space="preserve">Welche Deckung zu einem Vorhaben passt, hängt von Land, Lieferkette, Risikokonstellation und Förderkriterien ab.</w:t>
            </w:r>
          </w:p>
          <w:p>
            <w:pPr>
              <w:spacing w:after="120" w:before="0" w:line="288" w:lineRule="auto"/>
            </w:pPr>
            <w:r>
              <w:rPr>
                <w:sz w:val="22"/>
                <w:szCs w:val="22"/>
              </w:rPr>
              <w:t xml:space="preserve">Unter Zeitdruck ist es schwierig, alle Varianten gleichwertig zu prüfen. Strukturen, die ein Mandat erst ermöglichen würden, bleiben dann ungeprüft.</w:t>
            </w:r>
          </w:p>
        </w:tc>
        <w:tc>
          <w:tcPr>
            <w:tcW w:type="dxa" w:w="4858"/>
            <w:tcBorders>
              <w:top w:val="none" w:color="FFFFFF" w:sz="0"/>
              <w:left w:val="single" w:color="D6D9E1" w:sz="4"/>
              <w:bottom w:val="none" w:color="FFFFFF" w:sz="0"/>
              <w:right w:val="none" w:color="FFFFFF" w:sz="0"/>
            </w:tcBorders>
            <w:tcMar>
              <w:top w:type="dxa" w:w="120"/>
              <w:left w:type="dxa" w:w="240"/>
              <w:bottom w:type="dxa" w:w="120"/>
              <w:right w:type="dxa" w:w="0"/>
            </w:tcMar>
          </w:tcPr>
          <w:p>
            <w:pPr>
              <w:keepNext/>
              <w:spacing w:after="120"/>
            </w:pPr>
            <w:r>
              <w:rPr>
                <w:b/>
                <w:bCs/>
                <w:color w:val="6B7080"/>
                <w:sz w:val="19"/>
                <w:szCs w:val="19"/>
              </w:rPr>
              <w:t xml:space="preserve">Mit KI</w:t>
            </w:r>
          </w:p>
          <w:p>
            <w:pPr>
              <w:spacing w:after="120" w:before="0" w:line="288" w:lineRule="auto"/>
            </w:pPr>
            <w:r>
              <w:rPr>
                <w:sz w:val="22"/>
                <w:szCs w:val="22"/>
              </w:rPr>
              <w:t xml:space="preserve">Jede Anfrage wird gegen die Deckungsbedingungen relevanter Agenturen und gegen vergleichbare historische Transaktionen der Bank geprüft.</w:t>
            </w:r>
          </w:p>
          <w:p>
            <w:pPr>
              <w:spacing w:after="120" w:before="0" w:line="288" w:lineRule="auto"/>
            </w:pPr>
            <w:r>
              <w:rPr>
                <w:sz w:val="22"/>
                <w:szCs w:val="22"/>
              </w:rPr>
              <w:t xml:space="preserve">Das System stellt Strukturvarianten mit Voraussetzungen, Risikoaufteilung und wirtschaftlicher Einschätzung gegenüber.</w:t>
            </w:r>
          </w:p>
          <w:p>
            <w:pPr>
              <w:spacing w:after="120" w:before="0" w:line="288" w:lineRule="auto"/>
            </w:pPr>
            <w:r>
              <w:rPr>
                <w:sz w:val="22"/>
                <w:szCs w:val="22"/>
              </w:rPr>
              <w:t xml:space="preserve">Die Strukturierungsexperten entscheiden, welche Variante weiterverfolgt wird.</w:t>
            </w:r>
          </w:p>
        </w:tc>
      </w:tr>
    </w:tbl>
    <w:p>
      <w:pPr>
        <w:spacing w:after="200"/>
      </w:pPr>
    </w:p>
    <w:p>
      <w:pPr>
        <w:keepNext/>
        <w:spacing w:after="120"/>
      </w:pPr>
      <w:r>
        <w:rPr>
          <w:b/>
          <w:bCs/>
          <w:color w:val="6B7080"/>
          <w:sz w:val="19"/>
          <w:szCs w:val="19"/>
        </w:rPr>
        <w:t xml:space="preserve">Was die KfW davon hat</w:t>
      </w:r>
    </w:p>
    <w:tbl>
      <w:tblPr>
        <w:tblW w:type="dxa" w:w="1457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single" w:color="FFFFFF" w:sz="16"/>
        </w:tblBorders>
        <w:tblLayout w:type="fixed"/>
      </w:tblPr>
      <w:tblGrid>
        <w:gridCol w:w="4856"/>
        <w:gridCol w:w="4856"/>
        <w:gridCol w:w="4858"/>
      </w:tblGrid>
      <w:tr>
        <w:trPr>
          <w:cantSplit/>
        </w:trPr>
        <w:tc>
          <w:tcPr>
            <w:tcW w:type="dxa" w:w="4856"/>
            <w:shd w:fill="F4F5F8" w:color="auto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spacing w:after="60" w:line="240" w:lineRule="auto"/>
            </w:pPr>
            <w:r>
              <w:rPr>
                <w:rFonts w:ascii="Cambria" w:cs="Cambria" w:eastAsia="Cambria" w:hAnsi="Cambria"/>
                <w:color w:val="050A30"/>
                <w:sz w:val="34"/>
                <w:szCs w:val="34"/>
              </w:rPr>
              <w:t xml:space="preserve">Zusätzliche Mandate</w:t>
            </w:r>
          </w:p>
          <w:p>
            <w:pPr>
              <w:spacing w:after="0" w:line="276" w:lineRule="auto"/>
            </w:pPr>
            <w:r>
              <w:rPr>
                <w:color w:val="6B7080"/>
                <w:sz w:val="20"/>
                <w:szCs w:val="20"/>
              </w:rPr>
              <w:t xml:space="preserve">durch Strukturen, die heute nicht systematisch geprüft werden</w:t>
            </w:r>
          </w:p>
        </w:tc>
        <w:tc>
          <w:tcPr>
            <w:tcW w:type="dxa" w:w="4856"/>
            <w:shd w:fill="F4F5F8" w:color="auto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spacing w:after="60" w:line="240" w:lineRule="auto"/>
            </w:pPr>
            <w:r>
              <w:rPr>
                <w:rFonts w:ascii="Cambria" w:cs="Cambria" w:eastAsia="Cambria" w:hAnsi="Cambria"/>
                <w:color w:val="050A30"/>
                <w:sz w:val="34"/>
                <w:szCs w:val="34"/>
              </w:rPr>
              <w:t xml:space="preserve">Kürzere Zeit bis zum Term Sheet</w:t>
            </w:r>
          </w:p>
          <w:p>
            <w:pPr>
              <w:spacing w:after="0" w:line="276" w:lineRule="auto"/>
            </w:pPr>
            <w:r>
              <w:rPr>
                <w:color w:val="6B7080"/>
                <w:sz w:val="20"/>
                <w:szCs w:val="20"/>
              </w:rPr>
              <w:t xml:space="preserve">durch vorbereitete Strukturvergleiche</w:t>
            </w:r>
          </w:p>
        </w:tc>
        <w:tc>
          <w:tcPr>
            <w:tcW w:type="dxa" w:w="4858"/>
            <w:shd w:fill="F4F5F8" w:color="auto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spacing w:after="60" w:line="240" w:lineRule="auto"/>
            </w:pPr>
            <w:r>
              <w:rPr>
                <w:rFonts w:ascii="Cambria" w:cs="Cambria" w:eastAsia="Cambria" w:hAnsi="Cambria"/>
                <w:color w:val="050A30"/>
                <w:sz w:val="34"/>
                <w:szCs w:val="34"/>
              </w:rPr>
              <w:t xml:space="preserve">300.000 €</w:t>
            </w:r>
          </w:p>
          <w:p>
            <w:pPr>
              <w:spacing w:after="0" w:line="276" w:lineRule="auto"/>
            </w:pPr>
            <w:r>
              <w:rPr>
                <w:color w:val="6B7080"/>
                <w:sz w:val="20"/>
                <w:szCs w:val="20"/>
              </w:rPr>
              <w:t xml:space="preserve">Bruttoertrag je Zusatzmandat bei 150 Mio. € und 20 bp (Annahme)</w:t>
            </w:r>
          </w:p>
        </w:tc>
      </w:tr>
    </w:tbl>
    <w:p>
      <w:pPr>
        <w:spacing w:after="0" w:before="160"/>
      </w:pPr>
      <w:r>
        <w:rPr>
          <w:color w:val="6B7080"/>
          <w:sz w:val="17"/>
          <w:szCs w:val="17"/>
        </w:rPr>
        <w:t xml:space="preserve">Der Gebührensatz ist eine Rechenannahme, kein veröffentlichter KfW-Wert. Risiko-, Personal- und Strukturierungskosten sind nicht abgezogen.</w:t>
      </w:r>
    </w:p>
    <w:p>
      <w:pPr>
        <w:keepNext/>
        <w:pageBreakBefore/>
        <w:spacing w:after="40"/>
      </w:pPr>
      <w:r>
        <w:rPr>
          <w:color w:val="6B7080"/>
          <w:sz w:val="19"/>
          <w:szCs w:val="19"/>
        </w:rPr>
        <w:t xml:space="preserve">Anwendungsfall 8  ·  KfW IPEX-Bank, Syndizierung</w:t>
      </w:r>
    </w:p>
    <w:p>
      <w:pPr>
        <w:keepNext/>
        <w:spacing w:after="80" w:line="252" w:lineRule="auto"/>
      </w:pPr>
      <w:r>
        <w:rPr>
          <w:rFonts w:ascii="Cambria" w:cs="Cambria" w:eastAsia="Cambria" w:hAnsi="Cambria"/>
          <w:color w:val="050A30"/>
          <w:sz w:val="52"/>
          <w:szCs w:val="52"/>
        </w:rPr>
        <w:t xml:space="preserve">Syndication &amp; Capital Intelligence</w:t>
      </w:r>
    </w:p>
    <w:p>
      <w:pPr>
        <w:pBdr>
          <w:bottom w:val="single" w:color="050A30" w:sz="8"/>
        </w:pBdr>
        <w:spacing w:after="360" w:line="264" w:lineRule="auto"/>
      </w:pPr>
      <w:r>
        <w:rPr>
          <w:rFonts w:ascii="Cambria" w:cs="Cambria" w:eastAsia="Cambria" w:hAnsi="Cambria"/>
          <w:i/>
          <w:iCs/>
          <w:color w:val="050A30"/>
          <w:sz w:val="28"/>
          <w:szCs w:val="28"/>
        </w:rPr>
        <w:t xml:space="preserve">Geeignete Konsortialpartner und Syndizierungsstrukturen aus historischen Transaktionen ableiten.</w:t>
      </w:r>
    </w:p>
    <w:tbl>
      <w:tblPr>
        <w:tblW w:type="dxa" w:w="1457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856"/>
        <w:gridCol w:w="4856"/>
        <w:gridCol w:w="4858"/>
      </w:tblGrid>
      <w:tr>
        <w:trPr>
          <w:cantSplit/>
        </w:trPr>
        <w:tc>
          <w:tcPr>
            <w:tcW w:type="dxa" w:w="485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0"/>
              <w:bottom w:type="dxa" w:w="120"/>
              <w:right w:type="dxa" w:w="240"/>
            </w:tcMar>
          </w:tcPr>
          <w:p>
            <w:pPr>
              <w:keepNext/>
              <w:spacing w:after="120"/>
            </w:pPr>
            <w:r>
              <w:rPr>
                <w:b/>
                <w:bCs/>
                <w:color w:val="6B7080"/>
                <w:sz w:val="19"/>
                <w:szCs w:val="19"/>
              </w:rPr>
              <w:t xml:space="preserve">Heute</w:t>
            </w:r>
          </w:p>
          <w:p>
            <w:pPr>
              <w:spacing w:after="120" w:before="0" w:line="288" w:lineRule="auto"/>
            </w:pPr>
            <w:r>
              <w:rPr>
                <w:sz w:val="22"/>
                <w:szCs w:val="22"/>
              </w:rPr>
              <w:t xml:space="preserve">Die KfW IPEX-Bank wies 2025 ein arrangiertes Syndizierungsvolumen von 6,9 Mrd. € aus. Großvolumige Finanzierungen werden mit Banken und institutionellen Investoren geteilt.</w:t>
            </w:r>
          </w:p>
          <w:p>
            <w:pPr>
              <w:spacing w:after="120" w:before="0" w:line="288" w:lineRule="auto"/>
            </w:pPr>
            <w:r>
              <w:rPr>
                <w:sz w:val="22"/>
                <w:szCs w:val="22"/>
              </w:rPr>
              <w:t xml:space="preserve">Der Erfolg der Platzierung bestimmt, wie viel Kapazität für weiteres Geschäft verfügbar bleibt.</w:t>
            </w:r>
          </w:p>
        </w:tc>
        <w:tc>
          <w:tcPr>
            <w:tcW w:type="dxa" w:w="4856"/>
            <w:tcBorders>
              <w:top w:val="none" w:color="FFFFFF" w:sz="0"/>
              <w:left w:val="single" w:color="D6D9E1" w:sz="4"/>
              <w:bottom w:val="none" w:color="FFFFFF" w:sz="0"/>
              <w:right w:val="none" w:color="FFFFFF" w:sz="0"/>
            </w:tcBorders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keepNext/>
              <w:spacing w:after="120"/>
            </w:pPr>
            <w:r>
              <w:rPr>
                <w:b/>
                <w:bCs/>
                <w:color w:val="6B7080"/>
                <w:sz w:val="19"/>
                <w:szCs w:val="19"/>
              </w:rPr>
              <w:t xml:space="preserve">Das Problem</w:t>
            </w:r>
          </w:p>
          <w:p>
            <w:pPr>
              <w:spacing w:after="120" w:before="0" w:line="288" w:lineRule="auto"/>
            </w:pPr>
            <w:r>
              <w:rPr>
                <w:sz w:val="22"/>
                <w:szCs w:val="22"/>
              </w:rPr>
              <w:t xml:space="preserve">Je Transaktion sind Partner nach Sektor, Land, Laufzeit, Ticketgröße und bestehender Beziehung zu bewerten, dazu Strukturvarianten mit unterschiedlicher Kapitalbindung.</w:t>
            </w:r>
          </w:p>
          <w:p>
            <w:pPr>
              <w:spacing w:after="120" w:before="0" w:line="288" w:lineRule="auto"/>
            </w:pPr>
            <w:r>
              <w:rPr>
                <w:sz w:val="22"/>
                <w:szCs w:val="22"/>
              </w:rPr>
              <w:t xml:space="preserve">Ein großer Teil dieses Wissens liegt in abgeschlossenen Transaktionen und bei einzelnen Personen, nicht in einem auswertbaren System.</w:t>
            </w:r>
          </w:p>
        </w:tc>
        <w:tc>
          <w:tcPr>
            <w:tcW w:type="dxa" w:w="4858"/>
            <w:tcBorders>
              <w:top w:val="none" w:color="FFFFFF" w:sz="0"/>
              <w:left w:val="single" w:color="D6D9E1" w:sz="4"/>
              <w:bottom w:val="none" w:color="FFFFFF" w:sz="0"/>
              <w:right w:val="none" w:color="FFFFFF" w:sz="0"/>
            </w:tcBorders>
            <w:tcMar>
              <w:top w:type="dxa" w:w="120"/>
              <w:left w:type="dxa" w:w="240"/>
              <w:bottom w:type="dxa" w:w="120"/>
              <w:right w:type="dxa" w:w="0"/>
            </w:tcMar>
          </w:tcPr>
          <w:p>
            <w:pPr>
              <w:keepNext/>
              <w:spacing w:after="120"/>
            </w:pPr>
            <w:r>
              <w:rPr>
                <w:b/>
                <w:bCs/>
                <w:color w:val="6B7080"/>
                <w:sz w:val="19"/>
                <w:szCs w:val="19"/>
              </w:rPr>
              <w:t xml:space="preserve">Mit KI</w:t>
            </w:r>
          </w:p>
          <w:p>
            <w:pPr>
              <w:spacing w:after="120" w:before="0" w:line="288" w:lineRule="auto"/>
            </w:pPr>
            <w:r>
              <w:rPr>
                <w:sz w:val="22"/>
                <w:szCs w:val="22"/>
              </w:rPr>
              <w:t xml:space="preserve">Das System wertet historische Syndizierungen, dokumentierte Partnerpräferenzen und die aktuelle Pipeline aus.</w:t>
            </w:r>
          </w:p>
          <w:p>
            <w:pPr>
              <w:spacing w:after="120" w:before="0" w:line="288" w:lineRule="auto"/>
            </w:pPr>
            <w:r>
              <w:rPr>
                <w:sz w:val="22"/>
                <w:szCs w:val="22"/>
              </w:rPr>
              <w:t xml:space="preserve">Es schlägt Partner und Strukturvarianten vor und vergleicht Szenarien nach Platzierbarkeit, Kapitalbindung und Ergebnis, auf Basis der bestehenden Risikomodelle.</w:t>
            </w:r>
          </w:p>
          <w:p>
            <w:pPr>
              <w:spacing w:after="120" w:before="0" w:line="288" w:lineRule="auto"/>
            </w:pPr>
            <w:r>
              <w:rPr>
                <w:sz w:val="22"/>
                <w:szCs w:val="22"/>
              </w:rPr>
              <w:t xml:space="preserve">Das Syndizierungsteam entscheidet über Ansprache und Struktur.</w:t>
            </w:r>
          </w:p>
        </w:tc>
      </w:tr>
    </w:tbl>
    <w:p>
      <w:pPr>
        <w:spacing w:after="200"/>
      </w:pPr>
    </w:p>
    <w:p>
      <w:pPr>
        <w:keepNext/>
        <w:spacing w:after="120"/>
      </w:pPr>
      <w:r>
        <w:rPr>
          <w:b/>
          <w:bCs/>
          <w:color w:val="6B7080"/>
          <w:sz w:val="19"/>
          <w:szCs w:val="19"/>
        </w:rPr>
        <w:t xml:space="preserve">Was die KfW davon hat</w:t>
      </w:r>
    </w:p>
    <w:tbl>
      <w:tblPr>
        <w:tblW w:type="dxa" w:w="1457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single" w:color="FFFFFF" w:sz="16"/>
        </w:tblBorders>
        <w:tblLayout w:type="fixed"/>
      </w:tblPr>
      <w:tblGrid>
        <w:gridCol w:w="4856"/>
        <w:gridCol w:w="4856"/>
        <w:gridCol w:w="4858"/>
      </w:tblGrid>
      <w:tr>
        <w:trPr>
          <w:cantSplit/>
        </w:trPr>
        <w:tc>
          <w:tcPr>
            <w:tcW w:type="dxa" w:w="4856"/>
            <w:shd w:fill="F4F5F8" w:color="auto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spacing w:after="60" w:line="240" w:lineRule="auto"/>
            </w:pPr>
            <w:r>
              <w:rPr>
                <w:rFonts w:ascii="Cambria" w:cs="Cambria" w:eastAsia="Cambria" w:hAnsi="Cambria"/>
                <w:color w:val="050A30"/>
                <w:sz w:val="34"/>
                <w:szCs w:val="34"/>
              </w:rPr>
              <w:t xml:space="preserve">Höhere Platzierungsquote</w:t>
            </w:r>
          </w:p>
          <w:p>
            <w:pPr>
              <w:spacing w:after="0" w:line="276" w:lineRule="auto"/>
            </w:pPr>
            <w:r>
              <w:rPr>
                <w:color w:val="6B7080"/>
                <w:sz w:val="20"/>
                <w:szCs w:val="20"/>
              </w:rPr>
              <w:t xml:space="preserve">und kürzere Zeit bis zur Syndizierung</w:t>
            </w:r>
          </w:p>
        </w:tc>
        <w:tc>
          <w:tcPr>
            <w:tcW w:type="dxa" w:w="4856"/>
            <w:shd w:fill="F4F5F8" w:color="auto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spacing w:after="60" w:line="240" w:lineRule="auto"/>
            </w:pPr>
            <w:r>
              <w:rPr>
                <w:rFonts w:ascii="Cambria" w:cs="Cambria" w:eastAsia="Cambria" w:hAnsi="Cambria"/>
                <w:color w:val="050A30"/>
                <w:sz w:val="34"/>
                <w:szCs w:val="34"/>
              </w:rPr>
              <w:t xml:space="preserve">Geringere Kapitalbindung</w:t>
            </w:r>
          </w:p>
          <w:p>
            <w:pPr>
              <w:spacing w:after="0" w:line="276" w:lineRule="auto"/>
            </w:pPr>
            <w:r>
              <w:rPr>
                <w:color w:val="6B7080"/>
                <w:sz w:val="20"/>
                <w:szCs w:val="20"/>
              </w:rPr>
              <w:t xml:space="preserve">je Transaktion durch passendere Strukturen</w:t>
            </w:r>
          </w:p>
        </w:tc>
        <w:tc>
          <w:tcPr>
            <w:tcW w:type="dxa" w:w="4858"/>
            <w:shd w:fill="F4F5F8" w:color="auto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spacing w:after="60" w:line="240" w:lineRule="auto"/>
            </w:pPr>
            <w:r>
              <w:rPr>
                <w:rFonts w:ascii="Cambria" w:cs="Cambria" w:eastAsia="Cambria" w:hAnsi="Cambria"/>
                <w:color w:val="050A30"/>
                <w:sz w:val="34"/>
                <w:szCs w:val="34"/>
              </w:rPr>
              <w:t xml:space="preserve">Zusätzliches Geschäft</w:t>
            </w:r>
          </w:p>
          <w:p>
            <w:pPr>
              <w:spacing w:after="0" w:line="276" w:lineRule="auto"/>
            </w:pPr>
            <w:r>
              <w:rPr>
                <w:color w:val="6B7080"/>
                <w:sz w:val="20"/>
                <w:szCs w:val="20"/>
              </w:rPr>
              <w:t xml:space="preserve">innerhalb bestehender Risiko- und Kapitalvorgaben</w:t>
            </w:r>
          </w:p>
        </w:tc>
      </w:tr>
    </w:tbl>
    <w:p/>
    <w:sectPr>
      <w:footerReference w:type="default" r:id="rId7"/>
      <w:pgSz w:w="16838" w:h="11906" w:orient="landscape"/>
      <w:pgMar w:top="1134" w:right="1134" w:bottom="1134" w:left="1134" w:header="708" w:footer="5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14570"/>
      </w:tabs>
    </w:pPr>
    <w:r>
      <w:rPr>
        <w:color w:val="6B7080"/>
        <w:sz w:val="15"/>
        <w:szCs w:val="15"/>
      </w:rPr>
      <w:t xml:space="preserve">KfW  ·  KI-Anwendungsfälle</w:t>
    </w:r>
    <w:r>
      <w:t xml:space="preserve">	</w:t>
    </w:r>
    <w:r>
      <w:rPr>
        <w:color w:val="6B7080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300" w:hanging="300"/>
      </w:pPr>
      <w:rPr>
        <w:color w:val="050A30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E2233"/>
        <w:sz w:val="20"/>
        <w:szCs w:val="20"/>
      </w:rPr>
    </w:rPrDefault>
    <w:pPrDefault>
      <w:pPr>
        <w:spacing w:line="288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2ce6bee60e59fa09dd2f29a258d93099b13abfb2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KfW – Acht Anwendungsfälle für KI</dc:title>
  <dc:creator>Un-named</dc:creator>
  <cp:lastModifiedBy>Un-named</cp:lastModifiedBy>
  <cp:revision>1</cp:revision>
  <dcterms:created xsi:type="dcterms:W3CDTF">2026-10-26T22:06:23.879Z</dcterms:created>
  <dcterms:modified xsi:type="dcterms:W3CDTF">2026-10-26T22:06:23.879Z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