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inline distT="0" distB="0" distL="0" distR="0">
            <wp:extent cx="200025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00250" cy="400050"/>
                    </a:xfrm>
                    <a:prstGeom prst="rect">
                      <a:avLst/>
                    </a:prstGeom>
                  </pic:spPr>
                </pic:pic>
              </a:graphicData>
            </a:graphic>
          </wp:inline>
        </w:drawing>
      </w:r>
    </w:p>
    <w:p>
      <w:pPr>
        <w:spacing w:before="2800"/>
      </w:pPr>
    </w:p>
    <w:p>
      <w:pPr>
        <w:spacing w:after="360"/>
      </w:pPr>
      <w:r>
        <w:rPr>
          <w:b/>
          <w:bCs/>
          <w:color w:val="6B7080"/>
          <w:spacing w:val="40"/>
          <w:sz w:val="16"/>
          <w:szCs w:val="16"/>
        </w:rPr>
        <w:t xml:space="preserve">KfW BANKENGRUPPE  ·  DISKUSSIONSGRUNDLAGE  ·  OKTOBER 2026</w:t>
      </w:r>
    </w:p>
    <w:p>
      <w:pPr>
        <w:spacing w:after="360" w:line="252" w:lineRule="auto"/>
      </w:pPr>
      <w:r>
        <w:rPr>
          <w:rFonts w:ascii="Cambria" w:cs="Cambria" w:eastAsia="Cambria" w:hAnsi="Cambria"/>
          <w:color w:val="050A30"/>
          <w:sz w:val="56"/>
          <w:szCs w:val="56"/>
        </w:rPr>
        <w:t xml:space="preserve">Von punktueller Automatisierung zu kontinuierlicher Risiko- und Wertschöpfungsintelligenz</w:t>
      </w:r>
    </w:p>
    <w:p>
      <w:pPr>
        <w:pBdr>
          <w:top w:val="single" w:color="050A30" w:sz="6" w:space="18"/>
        </w:pBdr>
        <w:spacing w:after="0" w:line="300" w:lineRule="auto"/>
      </w:pPr>
      <w:r>
        <w:rPr>
          <w:color w:val="6B7080"/>
          <w:sz w:val="26"/>
          <w:szCs w:val="26"/>
        </w:rPr>
        <w:t xml:space="preserve">Acht strategische KI-Anwendungsfälle – von der Ausgangslage über den Lösungsansatz bis zum messbaren Pilot</w:t>
      </w:r>
    </w:p>
    <w:p>
      <w:pPr>
        <w:spacing w:before="3000"/>
      </w:pPr>
    </w:p>
    <w:p>
      <w:pPr>
        <w:tabs>
          <w:tab w:val="left" w:pos="2200"/>
        </w:tabs>
        <w:spacing w:after="60"/>
      </w:pPr>
      <w:r>
        <w:rPr>
          <w:b/>
          <w:bCs/>
          <w:color w:val="6B7080"/>
          <w:spacing w:val="20"/>
          <w:sz w:val="15"/>
          <w:szCs w:val="15"/>
        </w:rPr>
        <w:t xml:space="preserve">VORBEREITET FÜR</w:t>
      </w:r>
      <w:r>
        <w:rPr>
          <w:color w:val="050A30"/>
          <w:sz w:val="19"/>
          <w:szCs w:val="19"/>
        </w:rPr>
        <w:t xml:space="preserve">	KfW Bankengruppe</w:t>
      </w:r>
    </w:p>
    <w:p>
      <w:pPr>
        <w:tabs>
          <w:tab w:val="left" w:pos="2200"/>
        </w:tabs>
        <w:spacing w:after="60"/>
      </w:pPr>
      <w:r>
        <w:rPr>
          <w:b/>
          <w:bCs/>
          <w:color w:val="6B7080"/>
          <w:spacing w:val="20"/>
          <w:sz w:val="15"/>
          <w:szCs w:val="15"/>
        </w:rPr>
        <w:t xml:space="preserve">VORBEREITET VON</w:t>
      </w:r>
      <w:r>
        <w:rPr>
          <w:color w:val="050A30"/>
          <w:sz w:val="19"/>
          <w:szCs w:val="19"/>
        </w:rPr>
        <w:t xml:space="preserve">	SH &amp; Partner</w:t>
      </w:r>
    </w:p>
    <w:p>
      <w:pPr>
        <w:tabs>
          <w:tab w:val="left" w:pos="2200"/>
        </w:tabs>
        <w:spacing w:after="60"/>
      </w:pPr>
      <w:r>
        <w:rPr>
          <w:b/>
          <w:bCs/>
          <w:color w:val="6B7080"/>
          <w:spacing w:val="20"/>
          <w:sz w:val="15"/>
          <w:szCs w:val="15"/>
        </w:rPr>
        <w:t xml:space="preserve">STATUS</w:t>
      </w:r>
      <w:r>
        <w:rPr>
          <w:color w:val="050A30"/>
          <w:sz w:val="19"/>
          <w:szCs w:val="19"/>
        </w:rPr>
        <w:t xml:space="preserve">	Vertraulich – zur gemeinsamen Validierung</w:t>
      </w:r>
    </w:p>
    <w:p>
      <w:pPr>
        <w:sectPr>
          <w:headerReference w:type="default" r:id="rId7"/>
          <w:footerReference w:type="default" r:id="rId8"/>
          <w:pgSz w:w="11906" w:h="16838" w:orient="portrait"/>
          <w:pgMar w:top="1418" w:right="1418" w:bottom="1418" w:left="1418" w:header="708" w:footer="708" w:gutter="0"/>
          <w:pgNumType/>
          <w:docGrid w:linePitch="360"/>
        </w:sectPr>
      </w:pPr>
    </w:p>
    <w:p>
      <w:pPr>
        <w:keepNext/>
        <w:spacing w:after="60"/>
      </w:pPr>
      <w:r>
        <w:rPr>
          <w:b/>
          <w:bCs/>
          <w:color w:val="6B7080"/>
          <w:spacing w:val="30"/>
          <w:sz w:val="16"/>
          <w:szCs w:val="16"/>
        </w:rPr>
        <w:t xml:space="preserve">01</w:t>
      </w:r>
    </w:p>
    <w:p>
      <w:pPr>
        <w:keepNext/>
        <w:pBdr>
          <w:bottom w:val="single" w:color="050A30" w:sz="6"/>
        </w:pBdr>
        <w:spacing w:after="200" w:line="264" w:lineRule="auto"/>
      </w:pPr>
      <w:r>
        <w:rPr>
          <w:rFonts w:ascii="Cambria" w:cs="Cambria" w:eastAsia="Cambria" w:hAnsi="Cambria"/>
          <w:color w:val="050A30"/>
          <w:sz w:val="40"/>
          <w:szCs w:val="40"/>
        </w:rPr>
        <w:t xml:space="preserve">Executive Summary</w:t>
      </w:r>
    </w:p>
    <w:p>
      <w:pPr>
        <w:spacing w:after="240" w:line="300" w:lineRule="auto"/>
      </w:pPr>
      <w:r>
        <w:rPr>
          <w:rFonts w:ascii="Cambria" w:cs="Cambria" w:eastAsia="Cambria" w:hAnsi="Cambria"/>
          <w:color w:val="050A30"/>
          <w:sz w:val="26"/>
          <w:szCs w:val="26"/>
        </w:rPr>
        <w:t xml:space="preserve">Die nächste Stufe der KI-Transformation liegt nicht in weiteren isolierten Assistenten, sondern in KI, die Informationen kontinuierlich verknüpft, Risiken früh erkennt, konkrete Handlungsvorschläge vorbereitet und ihre Wirkung messbar macht.</w:t>
      </w:r>
    </w:p>
    <w:p>
      <w:pPr>
        <w:spacing w:after="120" w:before="0" w:line="288" w:lineRule="auto"/>
      </w:pPr>
      <w:r>
        <w:t xml:space="preserve">Die KfW steht vor zwei parallel wachsenden Herausforderungen. Neue regulatorische Anforderungen, Cyberbedrohungen und komplexere IT-Landschaften erhöhen den Prüfungs- und Steuerungsaufwand. Gleichzeitig eröffnen sich im internationalen Finanzierungsgeschäft Potenziale, die durch schnellere und fundiertere Entscheidungen erschlossen werden können.</w:t>
      </w:r>
    </w:p>
    <w:p>
      <w:pPr>
        <w:spacing w:after="120" w:before="0" w:line="288" w:lineRule="auto"/>
      </w:pPr>
      <w:r>
        <w:t xml:space="preserve">Die Bank verfügt bereits über ausgeprägte Fachkompetenz, etablierte Kontrollprozesse und erste KI-Anwendungen. Darauf bauen wir auf: Die acht hier skizzierten Anwendungsfälle setzen an bestehenden KfW-Prozessen an und sind jeweils mit einem klar messbaren Pilot hinterlegt.</w:t>
      </w:r>
    </w:p>
    <w:p>
      <w:pPr>
        <w:keepNext/>
        <w:spacing w:after="70" w:before="280"/>
      </w:pPr>
      <w:r>
        <w:rPr>
          <w:b/>
          <w:bCs/>
          <w:color w:val="6B7080"/>
          <w:spacing w:val="30"/>
          <w:sz w:val="16"/>
          <w:szCs w:val="16"/>
        </w:rPr>
        <w:t xml:space="preserve">BELASTBARE ANKNÜPFUNGSPUNKTE</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23"/>
        <w:gridCol w:w="3023"/>
        <w:gridCol w:w="3024"/>
      </w:tblGrid>
      <w:tr>
        <w:trPr>
          <w:cantSplit/>
        </w:trPr>
        <w:tc>
          <w:tcPr>
            <w:tcW w:type="dxa" w:w="3023"/>
            <w:tcBorders>
              <w:top w:val="single" w:color="050A30" w:sz="12"/>
              <w:left w:val="none" w:color="FFFFFF" w:sz="0"/>
              <w:bottom w:val="none" w:color="FFFFFF" w:sz="0"/>
              <w:right w:val="none" w:color="FFFFFF" w:sz="0"/>
            </w:tcBorders>
            <w:tcMar>
              <w:top w:type="dxa" w:w="160"/>
              <w:left w:type="dxa" w:w="0"/>
              <w:bottom w:type="dxa" w:w="120"/>
              <w:right w:type="dxa" w:w="200"/>
            </w:tcMar>
          </w:tcPr>
          <w:p>
            <w:pPr>
              <w:spacing w:after="40"/>
            </w:pPr>
            <w:r>
              <w:rPr>
                <w:rFonts w:ascii="Cambria" w:cs="Cambria" w:eastAsia="Cambria" w:hAnsi="Cambria"/>
                <w:color w:val="050A30"/>
                <w:sz w:val="44"/>
                <w:szCs w:val="44"/>
              </w:rPr>
              <w:t xml:space="preserve">~60</w:t>
            </w:r>
          </w:p>
          <w:p>
            <w:pPr>
              <w:spacing w:after="40"/>
            </w:pPr>
            <w:r>
              <w:rPr>
                <w:b/>
                <w:bCs/>
                <w:color w:val="050A30"/>
                <w:sz w:val="19"/>
                <w:szCs w:val="19"/>
              </w:rPr>
              <w:t xml:space="preserve">Revisionsprüfungen p. a.</w:t>
            </w:r>
          </w:p>
          <w:p>
            <w:pPr>
              <w:spacing w:after="0"/>
            </w:pPr>
            <w:r>
              <w:rPr>
                <w:color w:val="6B7080"/>
                <w:sz w:val="17"/>
                <w:szCs w:val="17"/>
              </w:rPr>
              <w:t xml:space="preserve">Angabe der KfW-Konzernrevision</w:t>
            </w:r>
          </w:p>
        </w:tc>
        <w:tc>
          <w:tcPr>
            <w:tcW w:type="dxa" w:w="3023"/>
            <w:tcBorders>
              <w:top w:val="single" w:color="050A30" w:sz="12"/>
              <w:left w:val="none" w:color="FFFFFF" w:sz="0"/>
              <w:bottom w:val="none" w:color="FFFFFF" w:sz="0"/>
              <w:right w:val="none" w:color="FFFFFF" w:sz="0"/>
            </w:tcBorders>
            <w:tcMar>
              <w:top w:type="dxa" w:w="160"/>
              <w:left w:type="dxa" w:w="200"/>
              <w:bottom w:type="dxa" w:w="120"/>
              <w:right w:type="dxa" w:w="200"/>
            </w:tcMar>
          </w:tcPr>
          <w:p>
            <w:pPr>
              <w:spacing w:after="40"/>
            </w:pPr>
            <w:r>
              <w:rPr>
                <w:rFonts w:ascii="Cambria" w:cs="Cambria" w:eastAsia="Cambria" w:hAnsi="Cambria"/>
                <w:color w:val="050A30"/>
                <w:sz w:val="44"/>
                <w:szCs w:val="44"/>
              </w:rPr>
              <w:t xml:space="preserve">2026–28</w:t>
            </w:r>
          </w:p>
          <w:p>
            <w:pPr>
              <w:spacing w:after="40"/>
            </w:pPr>
            <w:r>
              <w:rPr>
                <w:b/>
                <w:bCs/>
                <w:color w:val="050A30"/>
                <w:sz w:val="19"/>
                <w:szCs w:val="19"/>
              </w:rPr>
              <w:t xml:space="preserve">EZB-Aufsichtsprioritäten</w:t>
            </w:r>
          </w:p>
          <w:p>
            <w:pPr>
              <w:spacing w:after="0"/>
            </w:pPr>
            <w:r>
              <w:rPr>
                <w:color w:val="6B7080"/>
                <w:sz w:val="17"/>
                <w:szCs w:val="17"/>
              </w:rPr>
              <w:t xml:space="preserve">Cyberresilienz, IT-Kontrollen, Drittparteienrisiken</w:t>
            </w:r>
          </w:p>
        </w:tc>
        <w:tc>
          <w:tcPr>
            <w:tcW w:type="dxa" w:w="3024"/>
            <w:tcBorders>
              <w:top w:val="single" w:color="050A30" w:sz="12"/>
              <w:left w:val="none" w:color="FFFFFF" w:sz="0"/>
              <w:bottom w:val="none" w:color="FFFFFF" w:sz="0"/>
              <w:right w:val="none" w:color="FFFFFF" w:sz="0"/>
            </w:tcBorders>
            <w:tcMar>
              <w:top w:type="dxa" w:w="160"/>
              <w:left w:type="dxa" w:w="200"/>
              <w:bottom w:type="dxa" w:w="120"/>
              <w:right w:type="dxa" w:w="200"/>
            </w:tcMar>
          </w:tcPr>
          <w:p>
            <w:pPr>
              <w:spacing w:after="40"/>
            </w:pPr>
            <w:r>
              <w:rPr>
                <w:rFonts w:ascii="Cambria" w:cs="Cambria" w:eastAsia="Cambria" w:hAnsi="Cambria"/>
                <w:color w:val="050A30"/>
                <w:sz w:val="44"/>
                <w:szCs w:val="44"/>
              </w:rPr>
              <w:t xml:space="preserve">24,2 Mrd. €</w:t>
            </w:r>
          </w:p>
          <w:p>
            <w:pPr>
              <w:spacing w:after="40"/>
            </w:pPr>
            <w:r>
              <w:rPr>
                <w:b/>
                <w:bCs/>
                <w:color w:val="050A30"/>
                <w:sz w:val="19"/>
                <w:szCs w:val="19"/>
              </w:rPr>
              <w:t xml:space="preserve">IPEX-Neuzusagen 2025</w:t>
            </w:r>
          </w:p>
          <w:p>
            <w:pPr>
              <w:spacing w:after="0"/>
            </w:pPr>
            <w:r>
              <w:rPr>
                <w:color w:val="6B7080"/>
                <w:sz w:val="17"/>
                <w:szCs w:val="17"/>
              </w:rPr>
              <w:t xml:space="preserve">Kommerzieller Hebel für KI</w:t>
            </w:r>
          </w:p>
        </w:tc>
      </w:tr>
    </w:tbl>
    <w:p>
      <w:pPr>
        <w:keepNext/>
        <w:spacing w:after="70" w:before="320"/>
      </w:pPr>
      <w:r>
        <w:rPr>
          <w:b/>
          <w:bCs/>
          <w:color w:val="6B7080"/>
          <w:spacing w:val="30"/>
          <w:sz w:val="16"/>
          <w:szCs w:val="16"/>
        </w:rPr>
        <w:t xml:space="preserve">DREI WERTTREIBER</w:t>
      </w:r>
    </w:p>
    <w:tbl>
      <w:tblPr>
        <w:tblW w:type="dxa" w:w="9070"/>
        <w:tblBorders>
          <w:top w:val="none" w:color="FFFFFF" w:sz="0"/>
          <w:left w:val="none" w:color="FFFFFF" w:sz="0"/>
          <w:bottom w:val="none" w:color="FFFFFF" w:sz="0"/>
          <w:right w:val="none" w:color="FFFFFF" w:sz="0"/>
          <w:insideH w:val="none" w:color="FFFFFF" w:sz="0"/>
          <w:insideV w:val="single" w:color="FFFFFF" w:sz="24"/>
        </w:tblBorders>
        <w:tblLayout w:type="fixed"/>
      </w:tblPr>
      <w:tblGrid>
        <w:gridCol w:w="3023"/>
        <w:gridCol w:w="3023"/>
        <w:gridCol w:w="3024"/>
      </w:tblGrid>
      <w:tr>
        <w:trPr>
          <w:cantSplit/>
        </w:trPr>
        <w:tc>
          <w:tcPr>
            <w:tcW w:type="dxa" w:w="3023"/>
            <w:shd w:fill="F4F5F8" w:color="auto" w:val="clear"/>
            <w:tcMar>
              <w:top w:type="dxa" w:w="200"/>
              <w:left w:type="dxa" w:w="200"/>
              <w:bottom w:type="dxa" w:w="200"/>
              <w:right w:type="dxa" w:w="200"/>
            </w:tcMar>
          </w:tcPr>
          <w:p>
            <w:pPr>
              <w:spacing w:after="60"/>
            </w:pPr>
            <w:r>
              <w:rPr>
                <w:b/>
                <w:bCs/>
                <w:color w:val="6B7080"/>
                <w:spacing w:val="20"/>
                <w:sz w:val="15"/>
                <w:szCs w:val="15"/>
              </w:rPr>
              <w:t xml:space="preserve">USE CASES 01–02</w:t>
            </w:r>
          </w:p>
          <w:p>
            <w:pPr>
              <w:spacing w:after="100" w:line="252" w:lineRule="auto"/>
            </w:pPr>
            <w:r>
              <w:rPr>
                <w:rFonts w:ascii="Cambria" w:cs="Cambria" w:eastAsia="Cambria" w:hAnsi="Cambria"/>
                <w:color w:val="050A30"/>
                <w:sz w:val="26"/>
                <w:szCs w:val="26"/>
              </w:rPr>
              <w:t xml:space="preserve">Operational Excellence</w:t>
            </w:r>
          </w:p>
          <w:p>
            <w:pPr>
              <w:spacing w:after="100" w:line="264" w:lineRule="auto"/>
            </w:pPr>
            <w:r>
              <w:rPr>
                <w:sz w:val="18"/>
                <w:szCs w:val="18"/>
              </w:rPr>
              <w:t xml:space="preserve">Fachliche Prüfung, Berichterstellung und regulatorische Umsetzung effizienter gestalten.</w:t>
            </w:r>
          </w:p>
          <w:p>
            <w:pPr>
              <w:spacing w:after="0"/>
            </w:pPr>
            <w:r>
              <w:rPr>
                <w:color w:val="6B7080"/>
                <w:sz w:val="16"/>
                <w:szCs w:val="16"/>
              </w:rPr>
              <w:t xml:space="preserve">Regulatory Impact · Audit Reporting</w:t>
            </w:r>
          </w:p>
        </w:tc>
        <w:tc>
          <w:tcPr>
            <w:tcW w:type="dxa" w:w="3023"/>
            <w:shd w:fill="F4F5F8" w:color="auto" w:val="clear"/>
            <w:tcMar>
              <w:top w:type="dxa" w:w="200"/>
              <w:left w:type="dxa" w:w="200"/>
              <w:bottom w:type="dxa" w:w="200"/>
              <w:right w:type="dxa" w:w="200"/>
            </w:tcMar>
          </w:tcPr>
          <w:p>
            <w:pPr>
              <w:spacing w:after="60"/>
            </w:pPr>
            <w:r>
              <w:rPr>
                <w:b/>
                <w:bCs/>
                <w:color w:val="6B7080"/>
                <w:spacing w:val="20"/>
                <w:sz w:val="15"/>
                <w:szCs w:val="15"/>
              </w:rPr>
              <w:t xml:space="preserve">USE CASES 03–06</w:t>
            </w:r>
          </w:p>
          <w:p>
            <w:pPr>
              <w:spacing w:after="100" w:line="252" w:lineRule="auto"/>
            </w:pPr>
            <w:r>
              <w:rPr>
                <w:rFonts w:ascii="Cambria" w:cs="Cambria" w:eastAsia="Cambria" w:hAnsi="Cambria"/>
                <w:color w:val="050A30"/>
                <w:sz w:val="26"/>
                <w:szCs w:val="26"/>
              </w:rPr>
              <w:t xml:space="preserve">Risk &amp; Cyber Resilience</w:t>
            </w:r>
          </w:p>
          <w:p>
            <w:pPr>
              <w:spacing w:after="100" w:line="264" w:lineRule="auto"/>
            </w:pPr>
            <w:r>
              <w:rPr>
                <w:sz w:val="18"/>
                <w:szCs w:val="18"/>
              </w:rPr>
              <w:t xml:space="preserve">Risiken erkennen, bevor sie zu Vorfällen werden, und Kontrollen kontinuierlich prüfen.</w:t>
            </w:r>
          </w:p>
          <w:p>
            <w:pPr>
              <w:spacing w:after="0"/>
            </w:pPr>
            <w:r>
              <w:rPr>
                <w:color w:val="6B7080"/>
                <w:sz w:val="16"/>
                <w:szCs w:val="16"/>
              </w:rPr>
              <w:t xml:space="preserve">Security Testing · Third Party · Continuous Audit · Early Warning</w:t>
            </w:r>
          </w:p>
        </w:tc>
        <w:tc>
          <w:tcPr>
            <w:tcW w:type="dxa" w:w="3024"/>
            <w:shd w:fill="F4F5F8" w:color="auto" w:val="clear"/>
            <w:tcMar>
              <w:top w:type="dxa" w:w="200"/>
              <w:left w:type="dxa" w:w="200"/>
              <w:bottom w:type="dxa" w:w="200"/>
              <w:right w:type="dxa" w:w="200"/>
            </w:tcMar>
          </w:tcPr>
          <w:p>
            <w:pPr>
              <w:spacing w:after="60"/>
            </w:pPr>
            <w:r>
              <w:rPr>
                <w:b/>
                <w:bCs/>
                <w:color w:val="6B7080"/>
                <w:spacing w:val="20"/>
                <w:sz w:val="15"/>
                <w:szCs w:val="15"/>
              </w:rPr>
              <w:t xml:space="preserve">USE CASES 07–08</w:t>
            </w:r>
          </w:p>
          <w:p>
            <w:pPr>
              <w:spacing w:after="100" w:line="252" w:lineRule="auto"/>
            </w:pPr>
            <w:r>
              <w:rPr>
                <w:rFonts w:ascii="Cambria" w:cs="Cambria" w:eastAsia="Cambria" w:hAnsi="Cambria"/>
                <w:color w:val="050A30"/>
                <w:sz w:val="26"/>
                <w:szCs w:val="26"/>
              </w:rPr>
              <w:t xml:space="preserve">Commercial Performance</w:t>
            </w:r>
          </w:p>
          <w:p>
            <w:pPr>
              <w:spacing w:after="100" w:line="264" w:lineRule="auto"/>
            </w:pPr>
            <w:r>
              <w:rPr>
                <w:sz w:val="18"/>
                <w:szCs w:val="18"/>
              </w:rPr>
              <w:t xml:space="preserve">Finanzierungsoptionen erschließen, schneller abschließen, Kapital effizienter einsetzen.</w:t>
            </w:r>
          </w:p>
          <w:p>
            <w:pPr>
              <w:spacing w:after="0"/>
            </w:pPr>
            <w:r>
              <w:rPr>
                <w:color w:val="6B7080"/>
                <w:sz w:val="16"/>
                <w:szCs w:val="16"/>
              </w:rPr>
              <w:t xml:space="preserve">Export Finance Structuring · Syndication</w:t>
            </w:r>
          </w:p>
        </w:tc>
      </w:tr>
    </w:tbl>
    <w:p>
      <w:pPr>
        <w:keepNext/>
        <w:spacing w:after="70" w:before="320"/>
      </w:pPr>
      <w:r>
        <w:rPr>
          <w:b/>
          <w:bCs/>
          <w:color w:val="6B7080"/>
          <w:spacing w:val="30"/>
          <w:sz w:val="16"/>
          <w:szCs w:val="16"/>
        </w:rPr>
        <w:t xml:space="preserve">UNSERE EMPFEHLUNG</w:t>
      </w:r>
    </w:p>
    <w:p>
      <w:pPr>
        <w:spacing w:after="120" w:before="0" w:line="288" w:lineRule="auto"/>
      </w:pPr>
      <w:r>
        <w:t xml:space="preserve">Für den Einstieg empfehlen wir drei Kernfälle mit klar unterschiedlichem Nutzenprofil – </w:t>
      </w:r>
      <w:r>
        <w:rPr>
          <w:b/>
          <w:bCs/>
          <w:color w:val="050A30"/>
        </w:rPr>
        <w:t xml:space="preserve">Audit Reporting</w:t>
      </w:r>
      <w:r>
        <w:t xml:space="preserve">, </w:t>
      </w:r>
      <w:r>
        <w:rPr>
          <w:b/>
          <w:bCs/>
          <w:color w:val="050A30"/>
        </w:rPr>
        <w:t xml:space="preserve">AI Security Testing mit Software-Altersanalyse</w:t>
      </w:r>
      <w:r>
        <w:t xml:space="preserve"> und </w:t>
      </w:r>
      <w:r>
        <w:rPr>
          <w:b/>
          <w:bCs/>
          <w:color w:val="050A30"/>
        </w:rPr>
        <w:t xml:space="preserve">Regulatory Impact Intelligence</w:t>
      </w:r>
      <w:r>
        <w:t xml:space="preserve"> – ergänzt um </w:t>
      </w:r>
      <w:r>
        <w:rPr>
          <w:b/>
          <w:bCs/>
          <w:color w:val="050A30"/>
        </w:rPr>
        <w:t xml:space="preserve">Export Finance Structuring</w:t>
      </w:r>
      <w:r>
        <w:t xml:space="preserve"> als kommerziellen Schwerpunkt für die KfW IPEX-Bank.</w:t>
      </w:r>
    </w:p>
    <w:p>
      <w:r>
        <w:br w:type="page"/>
      </w:r>
    </w:p>
    <w:p>
      <w:pPr>
        <w:keepNext/>
        <w:spacing w:after="60"/>
      </w:pPr>
      <w:r>
        <w:rPr>
          <w:b/>
          <w:bCs/>
          <w:color w:val="6B7080"/>
          <w:spacing w:val="30"/>
          <w:sz w:val="16"/>
          <w:szCs w:val="16"/>
        </w:rPr>
        <w:t xml:space="preserve">02</w:t>
      </w:r>
    </w:p>
    <w:p>
      <w:pPr>
        <w:keepNext/>
        <w:pBdr>
          <w:bottom w:val="single" w:color="050A30" w:sz="6"/>
        </w:pBdr>
        <w:spacing w:after="200" w:line="264" w:lineRule="auto"/>
      </w:pPr>
      <w:r>
        <w:rPr>
          <w:rFonts w:ascii="Cambria" w:cs="Cambria" w:eastAsia="Cambria" w:hAnsi="Cambria"/>
          <w:color w:val="050A30"/>
          <w:sz w:val="40"/>
          <w:szCs w:val="40"/>
        </w:rPr>
        <w:t xml:space="preserve">Ausgangslage und Leitfrage</w:t>
      </w:r>
    </w:p>
    <w:tbl>
      <w:tblPr>
        <w:tblW w:type="dxa" w:w="9070"/>
        <w:tblBorders>
          <w:top w:val="single" w:color="050A30" w:sz="8"/>
          <w:left w:val="none" w:color="FFFFFF" w:sz="0"/>
          <w:bottom w:val="single" w:color="050A30" w:sz="8"/>
          <w:right w:val="none" w:color="FFFFFF" w:sz="0"/>
          <w:insideH w:val="single" w:color="D6D9E1" w:sz="4"/>
          <w:insideV w:val="none" w:color="FFFFFF" w:sz="0"/>
        </w:tblBorders>
        <w:tblLayout w:type="fixed"/>
      </w:tblPr>
      <w:tblGrid>
        <w:gridCol w:w="2000"/>
        <w:gridCol w:w="7070"/>
      </w:tblGrid>
      <w:tr>
        <w:trPr>
          <w:cantSplit/>
        </w:trPr>
        <w:tc>
          <w:tcPr>
            <w:tcW w:type="dxa" w:w="2000"/>
            <w:tcMar>
              <w:top w:type="dxa" w:w="180"/>
              <w:left w:type="dxa" w:w="0"/>
              <w:bottom w:type="dxa" w:w="180"/>
              <w:right w:type="dxa" w:w="160"/>
            </w:tcMar>
          </w:tcPr>
          <w:p>
            <w:r>
              <w:rPr>
                <w:b/>
                <w:bCs/>
                <w:color w:val="6B7080"/>
                <w:spacing w:val="30"/>
                <w:sz w:val="15"/>
                <w:szCs w:val="15"/>
              </w:rPr>
              <w:t xml:space="preserve">SITUATION</w:t>
            </w:r>
          </w:p>
        </w:tc>
        <w:tc>
          <w:tcPr>
            <w:tcW w:type="dxa" w:w="7070"/>
            <w:tcMar>
              <w:top w:type="dxa" w:w="180"/>
              <w:left w:type="dxa" w:w="160"/>
              <w:bottom w:type="dxa" w:w="180"/>
              <w:right w:type="dxa" w:w="0"/>
            </w:tcMar>
          </w:tcPr>
          <w:p>
            <w:pPr>
              <w:spacing w:after="80" w:line="264" w:lineRule="auto"/>
            </w:pPr>
            <w:r>
              <w:rPr>
                <w:rFonts w:ascii="Cambria" w:cs="Cambria" w:eastAsia="Cambria" w:hAnsi="Cambria"/>
                <w:color w:val="050A30"/>
                <w:sz w:val="25"/>
                <w:szCs w:val="25"/>
              </w:rPr>
              <w:t xml:space="preserve">Die KfW ist fachlich und technologisch anspruchsvoll aufgestellt.</w:t>
            </w:r>
          </w:p>
          <w:p>
            <w:pPr>
              <w:spacing w:after="0" w:line="288" w:lineRule="auto"/>
            </w:pPr>
            <w:r>
              <w:rPr>
                <w:sz w:val="20"/>
                <w:szCs w:val="20"/>
              </w:rPr>
              <w:t xml:space="preserve">Die Bank verbindet komplexe Förder- und Finanzierungsprozesse mit hohen Anforderungen an Sicherheit, Regulierung und Kontrollqualität.</w:t>
            </w:r>
          </w:p>
        </w:tc>
      </w:tr>
      <w:tr>
        <w:trPr>
          <w:cantSplit/>
        </w:trPr>
        <w:tc>
          <w:tcPr>
            <w:tcW w:type="dxa" w:w="2000"/>
            <w:tcMar>
              <w:top w:type="dxa" w:w="180"/>
              <w:left w:type="dxa" w:w="0"/>
              <w:bottom w:type="dxa" w:w="180"/>
              <w:right w:type="dxa" w:w="160"/>
            </w:tcMar>
          </w:tcPr>
          <w:p>
            <w:r>
              <w:rPr>
                <w:b/>
                <w:bCs/>
                <w:color w:val="6B7080"/>
                <w:spacing w:val="30"/>
                <w:sz w:val="15"/>
                <w:szCs w:val="15"/>
              </w:rPr>
              <w:t xml:space="preserve">KOMPLIKATION</w:t>
            </w:r>
          </w:p>
        </w:tc>
        <w:tc>
          <w:tcPr>
            <w:tcW w:type="dxa" w:w="7070"/>
            <w:tcMar>
              <w:top w:type="dxa" w:w="180"/>
              <w:left w:type="dxa" w:w="160"/>
              <w:bottom w:type="dxa" w:w="180"/>
              <w:right w:type="dxa" w:w="0"/>
            </w:tcMar>
          </w:tcPr>
          <w:p>
            <w:pPr>
              <w:spacing w:after="80" w:line="264" w:lineRule="auto"/>
            </w:pPr>
            <w:r>
              <w:rPr>
                <w:rFonts w:ascii="Cambria" w:cs="Cambria" w:eastAsia="Cambria" w:hAnsi="Cambria"/>
                <w:color w:val="050A30"/>
                <w:sz w:val="25"/>
                <w:szCs w:val="25"/>
              </w:rPr>
              <w:t xml:space="preserve">Die Komplexität wächst schneller als die verfügbare Bearbeitungskapazität.</w:t>
            </w:r>
          </w:p>
          <w:p>
            <w:pPr>
              <w:spacing w:after="0" w:line="288" w:lineRule="auto"/>
            </w:pPr>
            <w:r>
              <w:rPr>
                <w:sz w:val="20"/>
                <w:szCs w:val="20"/>
              </w:rPr>
              <w:t xml:space="preserve">Neue Anforderungen, wachsende IT- und Dienstleisterabhängigkeiten und anspruchsvollere Risikobewertungen erhöhen den Aufwand – während Entscheidungen zugleich schneller und wirtschaftlicher werden sollen.</w:t>
            </w:r>
          </w:p>
        </w:tc>
      </w:tr>
      <w:tr>
        <w:trPr>
          <w:cantSplit/>
        </w:trPr>
        <w:tc>
          <w:tcPr>
            <w:tcW w:type="dxa" w:w="2000"/>
            <w:tcMar>
              <w:top w:type="dxa" w:w="180"/>
              <w:left w:type="dxa" w:w="0"/>
              <w:bottom w:type="dxa" w:w="180"/>
              <w:right w:type="dxa" w:w="160"/>
            </w:tcMar>
          </w:tcPr>
          <w:p>
            <w:r>
              <w:rPr>
                <w:b/>
                <w:bCs/>
                <w:color w:val="6B7080"/>
                <w:spacing w:val="30"/>
                <w:sz w:val="15"/>
                <w:szCs w:val="15"/>
              </w:rPr>
              <w:t xml:space="preserve">LEITFRAGE</w:t>
            </w:r>
          </w:p>
        </w:tc>
        <w:tc>
          <w:tcPr>
            <w:tcW w:type="dxa" w:w="7070"/>
            <w:tcMar>
              <w:top w:type="dxa" w:w="180"/>
              <w:left w:type="dxa" w:w="160"/>
              <w:bottom w:type="dxa" w:w="180"/>
              <w:right w:type="dxa" w:w="0"/>
            </w:tcMar>
          </w:tcPr>
          <w:p>
            <w:pPr>
              <w:spacing w:after="80" w:line="264" w:lineRule="auto"/>
            </w:pPr>
            <w:r>
              <w:rPr>
                <w:rFonts w:ascii="Cambria" w:cs="Cambria" w:eastAsia="Cambria" w:hAnsi="Cambria"/>
                <w:color w:val="050A30"/>
                <w:sz w:val="25"/>
                <w:szCs w:val="25"/>
              </w:rPr>
              <w:t xml:space="preserve">Wie lässt sich diese Komplexität beherrschen, ohne proportional mehr Ressourcen einzusetzen?</w:t>
            </w:r>
          </w:p>
          <w:p>
            <w:pPr>
              <w:spacing w:after="0" w:line="288" w:lineRule="auto"/>
            </w:pPr>
            <w:r>
              <w:rPr>
                <w:sz w:val="20"/>
                <w:szCs w:val="20"/>
              </w:rPr>
              <w:t xml:space="preserve">Und wie lässt sich KI nicht nur zur Kostensenkung, sondern auch zur Stärkung von Sicherheit und wirtschaftlicher Leistungsfähigkeit nutzen?</w:t>
            </w:r>
          </w:p>
        </w:tc>
      </w:tr>
      <w:tr>
        <w:trPr>
          <w:cantSplit/>
        </w:trPr>
        <w:tc>
          <w:tcPr>
            <w:tcW w:type="dxa" w:w="2000"/>
            <w:tcMar>
              <w:top w:type="dxa" w:w="180"/>
              <w:left w:type="dxa" w:w="0"/>
              <w:bottom w:type="dxa" w:w="180"/>
              <w:right w:type="dxa" w:w="160"/>
            </w:tcMar>
          </w:tcPr>
          <w:p>
            <w:r>
              <w:rPr>
                <w:b/>
                <w:bCs/>
                <w:color w:val="6B7080"/>
                <w:spacing w:val="30"/>
                <w:sz w:val="15"/>
                <w:szCs w:val="15"/>
              </w:rPr>
              <w:t xml:space="preserve">ANTWORT</w:t>
            </w:r>
          </w:p>
        </w:tc>
        <w:tc>
          <w:tcPr>
            <w:tcW w:type="dxa" w:w="7070"/>
            <w:tcMar>
              <w:top w:type="dxa" w:w="180"/>
              <w:left w:type="dxa" w:w="160"/>
              <w:bottom w:type="dxa" w:w="180"/>
              <w:right w:type="dxa" w:w="0"/>
            </w:tcMar>
          </w:tcPr>
          <w:p>
            <w:pPr>
              <w:spacing w:after="80" w:line="264" w:lineRule="auto"/>
            </w:pPr>
            <w:r>
              <w:rPr>
                <w:rFonts w:ascii="Cambria" w:cs="Cambria" w:eastAsia="Cambria" w:hAnsi="Cambria"/>
                <w:color w:val="050A30"/>
                <w:sz w:val="25"/>
                <w:szCs w:val="25"/>
              </w:rPr>
              <w:t xml:space="preserve">Spezialisierte KI-Systeme, die erkennen, prüfen, bewerten und Entscheidungen vorbereiten.</w:t>
            </w:r>
          </w:p>
          <w:p>
            <w:pPr>
              <w:spacing w:after="0" w:line="288" w:lineRule="auto"/>
            </w:pPr>
            <w:r>
              <w:rPr>
                <w:sz w:val="20"/>
                <w:szCs w:val="20"/>
              </w:rPr>
              <w:t xml:space="preserve">Acht Anwendungsfälle adressieren diese Herausforderungen entlang bestehender KfW-Prozesse – jeweils mit klar definiertem Geschäftsergebnis und messbarem Pilot.</w:t>
            </w:r>
          </w:p>
        </w:tc>
      </w:tr>
    </w:tbl>
    <w:p>
      <w:pPr>
        <w:keepNext/>
        <w:spacing w:after="70" w:before="360"/>
      </w:pPr>
      <w:r>
        <w:rPr>
          <w:b/>
          <w:bCs/>
          <w:color w:val="6B7080"/>
          <w:spacing w:val="30"/>
          <w:sz w:val="16"/>
          <w:szCs w:val="16"/>
        </w:rPr>
        <w:t xml:space="preserve">LEITPRINZIPIEN UNSERES ANSATZES</w:t>
      </w:r>
    </w:p>
    <w:p>
      <w:pPr>
        <w:pStyle w:val="ListParagraph"/>
        <w:keepLines/>
        <w:numPr>
          <w:ilvl w:val="0"/>
          <w:numId w:val="2"/>
        </w:numPr>
        <w:spacing w:after="80" w:line="288" w:lineRule="auto"/>
      </w:pPr>
      <w:r>
        <w:rPr>
          <w:b/>
          <w:bCs/>
          <w:color w:val="050A30"/>
        </w:rPr>
        <w:t xml:space="preserve">Der Mensch entscheidet.</w:t>
      </w:r>
      <w:r>
        <w:t xml:space="preserve"> Die KI bereitet vor, belegt und priorisiert; fachliche Bewertung und Freigabe bleiben bei den verantwortlichen Funktionen.</w:t>
      </w:r>
    </w:p>
    <w:p>
      <w:pPr>
        <w:pStyle w:val="ListParagraph"/>
        <w:keepLines/>
        <w:numPr>
          <w:ilvl w:val="0"/>
          <w:numId w:val="2"/>
        </w:numPr>
        <w:spacing w:after="80" w:line="288" w:lineRule="auto"/>
      </w:pPr>
      <w:r>
        <w:rPr>
          <w:b/>
          <w:bCs/>
          <w:color w:val="050A30"/>
        </w:rPr>
        <w:t xml:space="preserve">Nachvollziehbarkeit vor Automatisierungsgrad.</w:t>
      </w:r>
      <w:r>
        <w:t xml:space="preserve"> Jede Aussage ist auf Quellen und Nachweise rückführbar – prüfungs- und aufsichtsfest.</w:t>
      </w:r>
    </w:p>
    <w:p>
      <w:pPr>
        <w:pStyle w:val="ListParagraph"/>
        <w:keepLines/>
        <w:numPr>
          <w:ilvl w:val="0"/>
          <w:numId w:val="2"/>
        </w:numPr>
        <w:spacing w:after="80" w:line="288" w:lineRule="auto"/>
      </w:pPr>
      <w:r>
        <w:rPr>
          <w:b/>
          <w:bCs/>
          <w:color w:val="050A30"/>
        </w:rPr>
        <w:t xml:space="preserve">Bestehende Systeme ergänzen, nicht ersetzen.</w:t>
      </w:r>
      <w:r>
        <w:t xml:space="preserve"> Validierte Risikomodelle, Kontrollverfahren und Prüfmethoden bleiben maßgeblich.</w:t>
      </w:r>
    </w:p>
    <w:p>
      <w:pPr>
        <w:pStyle w:val="ListParagraph"/>
        <w:keepLines/>
        <w:numPr>
          <w:ilvl w:val="0"/>
          <w:numId w:val="2"/>
        </w:numPr>
        <w:spacing w:after="80" w:line="288" w:lineRule="auto"/>
      </w:pPr>
      <w:r>
        <w:rPr>
          <w:b/>
          <w:bCs/>
          <w:color w:val="050A30"/>
        </w:rPr>
        <w:t xml:space="preserve">Messbarkeit von Beginn an.</w:t>
      </w:r>
      <w:r>
        <w:t xml:space="preserve"> Jeder Pilot startet mit Baseline, definierten Messgrößen und einem klaren Go/No-Go-Kriterium.</w:t>
      </w:r>
    </w:p>
    <w:p>
      <w:pPr>
        <w:spacing w:before="240"/>
      </w:pPr>
      <w:r>
        <w:rPr>
          <w:i/>
          <w:iCs/>
          <w:color w:val="6B7080"/>
          <w:sz w:val="17"/>
          <w:szCs w:val="17"/>
        </w:rPr>
        <w:t xml:space="preserve">Die Anwendungsfälle sind als Hypothesen formuliert. Sie unterstellen nicht, dass die KfW entsprechende Funktionen bislang nicht umgesetzt hat, und sind gemeinsam mit den Fachverantwortlichen zu validieren.</w:t>
      </w:r>
    </w:p>
    <w:p>
      <w:r>
        <w:br w:type="page"/>
      </w:r>
    </w:p>
    <w:p>
      <w:pPr>
        <w:keepNext/>
        <w:spacing w:after="60"/>
      </w:pPr>
      <w:r>
        <w:rPr>
          <w:b/>
          <w:bCs/>
          <w:color w:val="6B7080"/>
          <w:spacing w:val="30"/>
          <w:sz w:val="16"/>
          <w:szCs w:val="16"/>
        </w:rPr>
        <w:t xml:space="preserve">03</w:t>
      </w:r>
    </w:p>
    <w:p>
      <w:pPr>
        <w:keepNext/>
        <w:pBdr>
          <w:bottom w:val="single" w:color="050A30" w:sz="6"/>
        </w:pBdr>
        <w:spacing w:after="200" w:line="264" w:lineRule="auto"/>
      </w:pPr>
      <w:r>
        <w:rPr>
          <w:rFonts w:ascii="Cambria" w:cs="Cambria" w:eastAsia="Cambria" w:hAnsi="Cambria"/>
          <w:color w:val="050A30"/>
          <w:sz w:val="40"/>
          <w:szCs w:val="40"/>
        </w:rPr>
        <w:t xml:space="preserve">Die acht Anwendungsfälle im Überblick</w:t>
      </w:r>
    </w:p>
    <w:p>
      <w:pPr>
        <w:spacing w:after="200" w:before="0" w:line="288" w:lineRule="auto"/>
      </w:pPr>
      <w:r>
        <w:rPr>
          <w:sz w:val="22"/>
          <w:szCs w:val="22"/>
        </w:rPr>
        <w:t xml:space="preserve">Jeder Anwendungsfall folgt derselben Logik: Ausgangslage, eigentliche Herausforderung, Lösungsansatz, Wirkung und ein konkreter, messbarer Pilot.</w:t>
      </w:r>
    </w:p>
    <w:tbl>
      <w:tblPr>
        <w:tblW w:type="dxa" w:w="9070"/>
        <w:tblBorders>
          <w:top w:val="single" w:color="050A30" w:sz="8"/>
          <w:left w:val="none" w:color="FFFFFF" w:sz="0"/>
          <w:bottom w:val="single" w:color="050A30" w:sz="8"/>
          <w:right w:val="none" w:color="FFFFFF" w:sz="0"/>
          <w:insideH w:val="single" w:color="D6D9E1" w:sz="4"/>
          <w:insideV w:val="none" w:color="FFFFFF" w:sz="0"/>
        </w:tblBorders>
        <w:tblLayout w:type="fixed"/>
      </w:tblPr>
      <w:tblGrid>
        <w:gridCol w:w="600"/>
        <w:gridCol w:w="3000"/>
        <w:gridCol w:w="2000"/>
        <w:gridCol w:w="2370"/>
        <w:gridCol w:w="1100"/>
      </w:tblGrid>
      <w:tr>
        <w:trPr>
          <w:tblHeader/>
        </w:trPr>
        <w:tc>
          <w:tcPr>
            <w:tcW w:type="dxa" w:w="600"/>
            <w:tcMar>
              <w:top w:type="dxa" w:w="90"/>
              <w:left w:type="dxa" w:w="0"/>
              <w:bottom w:type="dxa" w:w="90"/>
              <w:right w:type="dxa" w:w="120"/>
            </w:tcMar>
            <w:vAlign w:val="center"/>
          </w:tcPr>
          <w:p>
            <w:pPr>
              <w:spacing w:after="0" w:line="264" w:lineRule="auto"/>
            </w:pPr>
            <w:r>
              <w:rPr>
                <w:b/>
                <w:bCs/>
                <w:color w:val="6B7080"/>
                <w:spacing w:val="20"/>
                <w:sz w:val="15"/>
                <w:szCs w:val="15"/>
              </w:rPr>
              <w:t xml:space="preserve">NR.</w:t>
            </w:r>
          </w:p>
        </w:tc>
        <w:tc>
          <w:tcPr>
            <w:tcW w:type="dxa" w:w="3000"/>
            <w:tcMar>
              <w:top w:type="dxa" w:w="90"/>
              <w:left w:type="dxa" w:w="120"/>
              <w:bottom w:type="dxa" w:w="90"/>
              <w:right w:type="dxa" w:w="120"/>
            </w:tcMar>
            <w:vAlign w:val="center"/>
          </w:tcPr>
          <w:p>
            <w:pPr>
              <w:spacing w:after="0" w:line="264" w:lineRule="auto"/>
            </w:pPr>
            <w:r>
              <w:rPr>
                <w:b/>
                <w:bCs/>
                <w:color w:val="6B7080"/>
                <w:spacing w:val="20"/>
                <w:sz w:val="15"/>
                <w:szCs w:val="15"/>
              </w:rPr>
              <w:t xml:space="preserve">ANWENDUNGSFALL</w:t>
            </w:r>
          </w:p>
        </w:tc>
        <w:tc>
          <w:tcPr>
            <w:tcW w:type="dxa" w:w="2000"/>
            <w:tcMar>
              <w:top w:type="dxa" w:w="90"/>
              <w:left w:type="dxa" w:w="120"/>
              <w:bottom w:type="dxa" w:w="90"/>
              <w:right w:type="dxa" w:w="120"/>
            </w:tcMar>
            <w:vAlign w:val="center"/>
          </w:tcPr>
          <w:p>
            <w:pPr>
              <w:spacing w:after="0" w:line="264" w:lineRule="auto"/>
            </w:pPr>
            <w:r>
              <w:rPr>
                <w:b/>
                <w:bCs/>
                <w:color w:val="6B7080"/>
                <w:spacing w:val="20"/>
                <w:sz w:val="15"/>
                <w:szCs w:val="15"/>
              </w:rPr>
              <w:t xml:space="preserve">WERTTREIBER</w:t>
            </w:r>
          </w:p>
        </w:tc>
        <w:tc>
          <w:tcPr>
            <w:tcW w:type="dxa" w:w="2370"/>
            <w:tcMar>
              <w:top w:type="dxa" w:w="90"/>
              <w:left w:type="dxa" w:w="120"/>
              <w:bottom w:type="dxa" w:w="90"/>
              <w:right w:type="dxa" w:w="120"/>
            </w:tcMar>
            <w:vAlign w:val="center"/>
          </w:tcPr>
          <w:p>
            <w:pPr>
              <w:spacing w:after="0" w:line="264" w:lineRule="auto"/>
            </w:pPr>
            <w:r>
              <w:rPr>
                <w:b/>
                <w:bCs/>
                <w:color w:val="6B7080"/>
                <w:spacing w:val="20"/>
                <w:sz w:val="15"/>
                <w:szCs w:val="15"/>
              </w:rPr>
              <w:t xml:space="preserve">PRIMÄRER NUTZEN</w:t>
            </w:r>
          </w:p>
        </w:tc>
        <w:tc>
          <w:tcPr>
            <w:tcW w:type="dxa" w:w="1100"/>
            <w:tcMar>
              <w:top w:type="dxa" w:w="90"/>
              <w:left w:type="dxa" w:w="120"/>
              <w:bottom w:type="dxa" w:w="90"/>
              <w:right w:type="dxa" w:w="120"/>
            </w:tcMar>
            <w:vAlign w:val="center"/>
          </w:tcPr>
          <w:p>
            <w:pPr>
              <w:spacing w:after="0" w:line="264" w:lineRule="auto"/>
            </w:pPr>
            <w:r>
              <w:rPr>
                <w:b/>
                <w:bCs/>
                <w:color w:val="6B7080"/>
                <w:spacing w:val="20"/>
                <w:sz w:val="15"/>
                <w:szCs w:val="15"/>
              </w:rPr>
              <w:t xml:space="preserve">PRIORITÄT</w:t>
            </w:r>
          </w:p>
        </w:tc>
      </w:tr>
      <w:tr>
        <w:trPr>
          <w:cantSplit/>
        </w:trPr>
        <w:tc>
          <w:tcPr>
            <w:tcW w:type="dxa" w:w="600"/>
            <w:tcMar>
              <w:top w:type="dxa" w:w="90"/>
              <w:left w:type="dxa" w:w="0"/>
              <w:bottom w:type="dxa" w:w="90"/>
              <w:right w:type="dxa" w:w="120"/>
            </w:tcMar>
            <w:vAlign w:val="center"/>
          </w:tcPr>
          <w:p>
            <w:pPr>
              <w:spacing w:after="0" w:line="264" w:lineRule="auto"/>
            </w:pPr>
            <w:r>
              <w:rPr>
                <w:sz w:val="19"/>
                <w:szCs w:val="19"/>
              </w:rPr>
              <w:t xml:space="preserve">01</w:t>
            </w:r>
          </w:p>
        </w:tc>
        <w:tc>
          <w:tcPr>
            <w:tcW w:type="dxa" w:w="3000"/>
            <w:tcMar>
              <w:top w:type="dxa" w:w="90"/>
              <w:left w:type="dxa" w:w="120"/>
              <w:bottom w:type="dxa" w:w="90"/>
              <w:right w:type="dxa" w:w="120"/>
            </w:tcMar>
            <w:vAlign w:val="center"/>
          </w:tcPr>
          <w:p>
            <w:pPr>
              <w:spacing w:after="0" w:line="264" w:lineRule="auto"/>
            </w:pPr>
            <w:r>
              <w:rPr>
                <w:b w:val="false"/>
                <w:bCs w:val="false"/>
                <w:sz w:val="19"/>
                <w:szCs w:val="19"/>
              </w:rPr>
              <w:t xml:space="preserve">Regulatory Impact Intelligence</w:t>
            </w:r>
          </w:p>
        </w:tc>
        <w:tc>
          <w:tcPr>
            <w:tcW w:type="dxa" w:w="2000"/>
            <w:tcMar>
              <w:top w:type="dxa" w:w="90"/>
              <w:left w:type="dxa" w:w="120"/>
              <w:bottom w:type="dxa" w:w="90"/>
              <w:right w:type="dxa" w:w="120"/>
            </w:tcMar>
            <w:vAlign w:val="center"/>
          </w:tcPr>
          <w:p>
            <w:pPr>
              <w:spacing w:after="0" w:line="264" w:lineRule="auto"/>
            </w:pPr>
            <w:r>
              <w:rPr>
                <w:b w:val="false"/>
                <w:bCs w:val="false"/>
                <w:sz w:val="19"/>
                <w:szCs w:val="19"/>
              </w:rPr>
              <w:t xml:space="preserve">Operational Excellence</w:t>
            </w:r>
          </w:p>
        </w:tc>
        <w:tc>
          <w:tcPr>
            <w:tcW w:type="dxa" w:w="2370"/>
            <w:tcMar>
              <w:top w:type="dxa" w:w="90"/>
              <w:left w:type="dxa" w:w="120"/>
              <w:bottom w:type="dxa" w:w="90"/>
              <w:right w:type="dxa" w:w="120"/>
            </w:tcMar>
            <w:vAlign w:val="center"/>
          </w:tcPr>
          <w:p>
            <w:pPr>
              <w:spacing w:after="0" w:line="264" w:lineRule="auto"/>
            </w:pPr>
            <w:r>
              <w:rPr>
                <w:b w:val="false"/>
                <w:bCs w:val="false"/>
                <w:sz w:val="19"/>
                <w:szCs w:val="19"/>
              </w:rPr>
              <w:t xml:space="preserve">Compliance und Umsetzungssicherheit</w:t>
            </w:r>
          </w:p>
        </w:tc>
        <w:tc>
          <w:tcPr>
            <w:tcW w:type="dxa" w:w="1100"/>
            <w:tcMar>
              <w:top w:type="dxa" w:w="90"/>
              <w:left w:type="dxa" w:w="120"/>
              <w:bottom w:type="dxa" w:w="90"/>
              <w:right w:type="dxa" w:w="120"/>
            </w:tcMar>
            <w:vAlign w:val="center"/>
          </w:tcPr>
          <w:p>
            <w:pPr>
              <w:spacing w:after="0" w:line="264" w:lineRule="auto"/>
            </w:pPr>
            <w:r>
              <w:rPr>
                <w:b w:val="false"/>
                <w:bCs w:val="false"/>
                <w:sz w:val="19"/>
                <w:szCs w:val="19"/>
              </w:rPr>
              <w:t xml:space="preserve">Sehr hoch</w:t>
            </w:r>
          </w:p>
        </w:tc>
      </w:tr>
      <w:tr>
        <w:trPr>
          <w:cantSplit/>
        </w:trPr>
        <w:tc>
          <w:tcPr>
            <w:tcW w:type="dxa" w:w="600"/>
            <w:tcMar>
              <w:top w:type="dxa" w:w="90"/>
              <w:left w:type="dxa" w:w="0"/>
              <w:bottom w:type="dxa" w:w="90"/>
              <w:right w:type="dxa" w:w="120"/>
            </w:tcMar>
            <w:vAlign w:val="center"/>
          </w:tcPr>
          <w:p>
            <w:pPr>
              <w:spacing w:after="0" w:line="264" w:lineRule="auto"/>
            </w:pPr>
            <w:r>
              <w:rPr>
                <w:sz w:val="19"/>
                <w:szCs w:val="19"/>
              </w:rPr>
              <w:t xml:space="preserve">02</w:t>
            </w:r>
          </w:p>
        </w:tc>
        <w:tc>
          <w:tcPr>
            <w:tcW w:type="dxa" w:w="3000"/>
            <w:tcMar>
              <w:top w:type="dxa" w:w="90"/>
              <w:left w:type="dxa" w:w="120"/>
              <w:bottom w:type="dxa" w:w="90"/>
              <w:right w:type="dxa" w:w="120"/>
            </w:tcMar>
            <w:vAlign w:val="center"/>
          </w:tcPr>
          <w:p>
            <w:pPr>
              <w:spacing w:after="0" w:line="264" w:lineRule="auto"/>
            </w:pPr>
            <w:r>
              <w:rPr>
                <w:b w:val="false"/>
                <w:bCs w:val="false"/>
                <w:sz w:val="19"/>
                <w:szCs w:val="19"/>
              </w:rPr>
              <w:t xml:space="preserve">Internal Audit Reporting Intelligence</w:t>
            </w:r>
          </w:p>
        </w:tc>
        <w:tc>
          <w:tcPr>
            <w:tcW w:type="dxa" w:w="2000"/>
            <w:tcMar>
              <w:top w:type="dxa" w:w="90"/>
              <w:left w:type="dxa" w:w="120"/>
              <w:bottom w:type="dxa" w:w="90"/>
              <w:right w:type="dxa" w:w="120"/>
            </w:tcMar>
            <w:vAlign w:val="center"/>
          </w:tcPr>
          <w:p>
            <w:pPr>
              <w:spacing w:after="0" w:line="264" w:lineRule="auto"/>
            </w:pPr>
            <w:r>
              <w:rPr>
                <w:b w:val="false"/>
                <w:bCs w:val="false"/>
                <w:sz w:val="19"/>
                <w:szCs w:val="19"/>
              </w:rPr>
              <w:t xml:space="preserve">Operational Excellence</w:t>
            </w:r>
          </w:p>
        </w:tc>
        <w:tc>
          <w:tcPr>
            <w:tcW w:type="dxa" w:w="2370"/>
            <w:tcMar>
              <w:top w:type="dxa" w:w="90"/>
              <w:left w:type="dxa" w:w="120"/>
              <w:bottom w:type="dxa" w:w="90"/>
              <w:right w:type="dxa" w:w="120"/>
            </w:tcMar>
            <w:vAlign w:val="center"/>
          </w:tcPr>
          <w:p>
            <w:pPr>
              <w:spacing w:after="0" w:line="264" w:lineRule="auto"/>
            </w:pPr>
            <w:r>
              <w:rPr>
                <w:b w:val="false"/>
                <w:bCs w:val="false"/>
                <w:sz w:val="19"/>
                <w:szCs w:val="19"/>
              </w:rPr>
              <w:t xml:space="preserve">Direkt quantifizierbare Effizienz</w:t>
            </w:r>
          </w:p>
        </w:tc>
        <w:tc>
          <w:tcPr>
            <w:tcW w:type="dxa" w:w="1100"/>
            <w:tcMar>
              <w:top w:type="dxa" w:w="90"/>
              <w:left w:type="dxa" w:w="120"/>
              <w:bottom w:type="dxa" w:w="90"/>
              <w:right w:type="dxa" w:w="120"/>
            </w:tcMar>
            <w:vAlign w:val="center"/>
          </w:tcPr>
          <w:p>
            <w:pPr>
              <w:spacing w:after="0" w:line="264" w:lineRule="auto"/>
            </w:pPr>
            <w:r>
              <w:rPr>
                <w:b w:val="false"/>
                <w:bCs w:val="false"/>
                <w:sz w:val="19"/>
                <w:szCs w:val="19"/>
              </w:rPr>
              <w:t xml:space="preserve">Sehr hoch</w:t>
            </w:r>
          </w:p>
        </w:tc>
      </w:tr>
      <w:tr>
        <w:trPr>
          <w:cantSplit/>
        </w:trPr>
        <w:tc>
          <w:tcPr>
            <w:tcW w:type="dxa" w:w="600"/>
            <w:tcMar>
              <w:top w:type="dxa" w:w="90"/>
              <w:left w:type="dxa" w:w="0"/>
              <w:bottom w:type="dxa" w:w="90"/>
              <w:right w:type="dxa" w:w="120"/>
            </w:tcMar>
            <w:vAlign w:val="center"/>
          </w:tcPr>
          <w:p>
            <w:pPr>
              <w:spacing w:after="0" w:line="264" w:lineRule="auto"/>
            </w:pPr>
            <w:r>
              <w:rPr>
                <w:sz w:val="19"/>
                <w:szCs w:val="19"/>
              </w:rPr>
              <w:t xml:space="preserve">03</w:t>
            </w:r>
          </w:p>
        </w:tc>
        <w:tc>
          <w:tcPr>
            <w:tcW w:type="dxa" w:w="3000"/>
            <w:tcMar>
              <w:top w:type="dxa" w:w="90"/>
              <w:left w:type="dxa" w:w="120"/>
              <w:bottom w:type="dxa" w:w="90"/>
              <w:right w:type="dxa" w:w="120"/>
            </w:tcMar>
            <w:vAlign w:val="center"/>
          </w:tcPr>
          <w:p>
            <w:pPr>
              <w:spacing w:after="0" w:line="264" w:lineRule="auto"/>
            </w:pPr>
            <w:r>
              <w:rPr>
                <w:b w:val="false"/>
                <w:bCs w:val="false"/>
                <w:sz w:val="19"/>
                <w:szCs w:val="19"/>
              </w:rPr>
              <w:t xml:space="preserve">AI Security Testing &amp; Legacy Risk</w:t>
            </w:r>
          </w:p>
        </w:tc>
        <w:tc>
          <w:tcPr>
            <w:tcW w:type="dxa" w:w="2000"/>
            <w:tcMar>
              <w:top w:type="dxa" w:w="90"/>
              <w:left w:type="dxa" w:w="120"/>
              <w:bottom w:type="dxa" w:w="90"/>
              <w:right w:type="dxa" w:w="120"/>
            </w:tcMar>
            <w:vAlign w:val="center"/>
          </w:tcPr>
          <w:p>
            <w:pPr>
              <w:spacing w:after="0" w:line="264" w:lineRule="auto"/>
            </w:pPr>
            <w:r>
              <w:rPr>
                <w:b w:val="false"/>
                <w:bCs w:val="false"/>
                <w:sz w:val="19"/>
                <w:szCs w:val="19"/>
              </w:rPr>
              <w:t xml:space="preserve">Risk &amp; Cyber Resilience</w:t>
            </w:r>
          </w:p>
        </w:tc>
        <w:tc>
          <w:tcPr>
            <w:tcW w:type="dxa" w:w="2370"/>
            <w:tcMar>
              <w:top w:type="dxa" w:w="90"/>
              <w:left w:type="dxa" w:w="120"/>
              <w:bottom w:type="dxa" w:w="90"/>
              <w:right w:type="dxa" w:w="120"/>
            </w:tcMar>
            <w:vAlign w:val="center"/>
          </w:tcPr>
          <w:p>
            <w:pPr>
              <w:spacing w:after="0" w:line="264" w:lineRule="auto"/>
            </w:pPr>
            <w:r>
              <w:rPr>
                <w:b w:val="false"/>
                <w:bCs w:val="false"/>
                <w:sz w:val="19"/>
                <w:szCs w:val="19"/>
              </w:rPr>
              <w:t xml:space="preserve">Cyberrisiken und technische Transparenz</w:t>
            </w:r>
          </w:p>
        </w:tc>
        <w:tc>
          <w:tcPr>
            <w:tcW w:type="dxa" w:w="1100"/>
            <w:tcMar>
              <w:top w:type="dxa" w:w="90"/>
              <w:left w:type="dxa" w:w="120"/>
              <w:bottom w:type="dxa" w:w="90"/>
              <w:right w:type="dxa" w:w="120"/>
            </w:tcMar>
            <w:vAlign w:val="center"/>
          </w:tcPr>
          <w:p>
            <w:pPr>
              <w:spacing w:after="0" w:line="264" w:lineRule="auto"/>
            </w:pPr>
            <w:r>
              <w:rPr>
                <w:b w:val="false"/>
                <w:bCs w:val="false"/>
                <w:sz w:val="19"/>
                <w:szCs w:val="19"/>
              </w:rPr>
              <w:t xml:space="preserve">Sehr hoch</w:t>
            </w:r>
          </w:p>
        </w:tc>
      </w:tr>
      <w:tr>
        <w:trPr>
          <w:cantSplit/>
        </w:trPr>
        <w:tc>
          <w:tcPr>
            <w:tcW w:type="dxa" w:w="600"/>
            <w:tcMar>
              <w:top w:type="dxa" w:w="90"/>
              <w:left w:type="dxa" w:w="0"/>
              <w:bottom w:type="dxa" w:w="90"/>
              <w:right w:type="dxa" w:w="120"/>
            </w:tcMar>
            <w:vAlign w:val="center"/>
          </w:tcPr>
          <w:p>
            <w:pPr>
              <w:spacing w:after="0" w:line="264" w:lineRule="auto"/>
            </w:pPr>
            <w:r>
              <w:rPr>
                <w:sz w:val="19"/>
                <w:szCs w:val="19"/>
              </w:rPr>
              <w:t xml:space="preserve">04</w:t>
            </w:r>
          </w:p>
        </w:tc>
        <w:tc>
          <w:tcPr>
            <w:tcW w:type="dxa" w:w="3000"/>
            <w:tcMar>
              <w:top w:type="dxa" w:w="90"/>
              <w:left w:type="dxa" w:w="120"/>
              <w:bottom w:type="dxa" w:w="90"/>
              <w:right w:type="dxa" w:w="120"/>
            </w:tcMar>
            <w:vAlign w:val="center"/>
          </w:tcPr>
          <w:p>
            <w:pPr>
              <w:spacing w:after="0" w:line="264" w:lineRule="auto"/>
            </w:pPr>
            <w:r>
              <w:rPr>
                <w:b w:val="false"/>
                <w:bCs w:val="false"/>
                <w:sz w:val="19"/>
                <w:szCs w:val="19"/>
              </w:rPr>
              <w:t xml:space="preserve">Third-Party Dependency Intelligence</w:t>
            </w:r>
          </w:p>
        </w:tc>
        <w:tc>
          <w:tcPr>
            <w:tcW w:type="dxa" w:w="2000"/>
            <w:tcMar>
              <w:top w:type="dxa" w:w="90"/>
              <w:left w:type="dxa" w:w="120"/>
              <w:bottom w:type="dxa" w:w="90"/>
              <w:right w:type="dxa" w:w="120"/>
            </w:tcMar>
            <w:vAlign w:val="center"/>
          </w:tcPr>
          <w:p>
            <w:pPr>
              <w:spacing w:after="0" w:line="264" w:lineRule="auto"/>
            </w:pPr>
            <w:r>
              <w:rPr>
                <w:b w:val="false"/>
                <w:bCs w:val="false"/>
                <w:sz w:val="19"/>
                <w:szCs w:val="19"/>
              </w:rPr>
              <w:t xml:space="preserve">Risk &amp; Cyber Resilience</w:t>
            </w:r>
          </w:p>
        </w:tc>
        <w:tc>
          <w:tcPr>
            <w:tcW w:type="dxa" w:w="2370"/>
            <w:tcMar>
              <w:top w:type="dxa" w:w="90"/>
              <w:left w:type="dxa" w:w="120"/>
              <w:bottom w:type="dxa" w:w="90"/>
              <w:right w:type="dxa" w:w="120"/>
            </w:tcMar>
            <w:vAlign w:val="center"/>
          </w:tcPr>
          <w:p>
            <w:pPr>
              <w:spacing w:after="0" w:line="264" w:lineRule="auto"/>
            </w:pPr>
            <w:r>
              <w:rPr>
                <w:b w:val="false"/>
                <w:bCs w:val="false"/>
                <w:sz w:val="19"/>
                <w:szCs w:val="19"/>
              </w:rPr>
              <w:t xml:space="preserve">Cyberresilienz</w:t>
            </w:r>
          </w:p>
        </w:tc>
        <w:tc>
          <w:tcPr>
            <w:tcW w:type="dxa" w:w="1100"/>
            <w:tcMar>
              <w:top w:type="dxa" w:w="90"/>
              <w:left w:type="dxa" w:w="120"/>
              <w:bottom w:type="dxa" w:w="90"/>
              <w:right w:type="dxa" w:w="120"/>
            </w:tcMar>
            <w:vAlign w:val="center"/>
          </w:tcPr>
          <w:p>
            <w:pPr>
              <w:spacing w:after="0" w:line="264" w:lineRule="auto"/>
            </w:pPr>
            <w:r>
              <w:rPr>
                <w:b w:val="false"/>
                <w:bCs w:val="false"/>
                <w:sz w:val="19"/>
                <w:szCs w:val="19"/>
              </w:rPr>
              <w:t xml:space="preserve">Hoch</w:t>
            </w:r>
          </w:p>
        </w:tc>
      </w:tr>
      <w:tr>
        <w:trPr>
          <w:cantSplit/>
        </w:trPr>
        <w:tc>
          <w:tcPr>
            <w:tcW w:type="dxa" w:w="600"/>
            <w:tcMar>
              <w:top w:type="dxa" w:w="90"/>
              <w:left w:type="dxa" w:w="0"/>
              <w:bottom w:type="dxa" w:w="90"/>
              <w:right w:type="dxa" w:w="120"/>
            </w:tcMar>
            <w:vAlign w:val="center"/>
          </w:tcPr>
          <w:p>
            <w:pPr>
              <w:spacing w:after="0" w:line="264" w:lineRule="auto"/>
            </w:pPr>
            <w:r>
              <w:rPr>
                <w:sz w:val="19"/>
                <w:szCs w:val="19"/>
              </w:rPr>
              <w:t xml:space="preserve">05</w:t>
            </w:r>
          </w:p>
        </w:tc>
        <w:tc>
          <w:tcPr>
            <w:tcW w:type="dxa" w:w="3000"/>
            <w:tcMar>
              <w:top w:type="dxa" w:w="90"/>
              <w:left w:type="dxa" w:w="120"/>
              <w:bottom w:type="dxa" w:w="90"/>
              <w:right w:type="dxa" w:w="120"/>
            </w:tcMar>
            <w:vAlign w:val="center"/>
          </w:tcPr>
          <w:p>
            <w:pPr>
              <w:spacing w:after="0" w:line="264" w:lineRule="auto"/>
            </w:pPr>
            <w:r>
              <w:rPr>
                <w:b w:val="false"/>
                <w:bCs w:val="false"/>
                <w:sz w:val="19"/>
                <w:szCs w:val="19"/>
              </w:rPr>
              <w:t xml:space="preserve">Continuous Audit &amp; Control Intelligence</w:t>
            </w:r>
          </w:p>
        </w:tc>
        <w:tc>
          <w:tcPr>
            <w:tcW w:type="dxa" w:w="2000"/>
            <w:tcMar>
              <w:top w:type="dxa" w:w="90"/>
              <w:left w:type="dxa" w:w="120"/>
              <w:bottom w:type="dxa" w:w="90"/>
              <w:right w:type="dxa" w:w="120"/>
            </w:tcMar>
            <w:vAlign w:val="center"/>
          </w:tcPr>
          <w:p>
            <w:pPr>
              <w:spacing w:after="0" w:line="264" w:lineRule="auto"/>
            </w:pPr>
            <w:r>
              <w:rPr>
                <w:b w:val="false"/>
                <w:bCs w:val="false"/>
                <w:sz w:val="19"/>
                <w:szCs w:val="19"/>
              </w:rPr>
              <w:t xml:space="preserve">Risk &amp; Cyber Resilience</w:t>
            </w:r>
          </w:p>
        </w:tc>
        <w:tc>
          <w:tcPr>
            <w:tcW w:type="dxa" w:w="2370"/>
            <w:tcMar>
              <w:top w:type="dxa" w:w="90"/>
              <w:left w:type="dxa" w:w="120"/>
              <w:bottom w:type="dxa" w:w="90"/>
              <w:right w:type="dxa" w:w="120"/>
            </w:tcMar>
            <w:vAlign w:val="center"/>
          </w:tcPr>
          <w:p>
            <w:pPr>
              <w:spacing w:after="0" w:line="264" w:lineRule="auto"/>
            </w:pPr>
            <w:r>
              <w:rPr>
                <w:b w:val="false"/>
                <w:bCs w:val="false"/>
                <w:sz w:val="19"/>
                <w:szCs w:val="19"/>
              </w:rPr>
              <w:t xml:space="preserve">Kontrollabdeckung und Früherkennung</w:t>
            </w:r>
          </w:p>
        </w:tc>
        <w:tc>
          <w:tcPr>
            <w:tcW w:type="dxa" w:w="1100"/>
            <w:tcMar>
              <w:top w:type="dxa" w:w="90"/>
              <w:left w:type="dxa" w:w="120"/>
              <w:bottom w:type="dxa" w:w="90"/>
              <w:right w:type="dxa" w:w="120"/>
            </w:tcMar>
            <w:vAlign w:val="center"/>
          </w:tcPr>
          <w:p>
            <w:pPr>
              <w:spacing w:after="0" w:line="264" w:lineRule="auto"/>
            </w:pPr>
            <w:r>
              <w:rPr>
                <w:b w:val="false"/>
                <w:bCs w:val="false"/>
                <w:sz w:val="19"/>
                <w:szCs w:val="19"/>
              </w:rPr>
              <w:t xml:space="preserve">Hoch</w:t>
            </w:r>
          </w:p>
        </w:tc>
      </w:tr>
      <w:tr>
        <w:trPr>
          <w:cantSplit/>
        </w:trPr>
        <w:tc>
          <w:tcPr>
            <w:tcW w:type="dxa" w:w="600"/>
            <w:tcMar>
              <w:top w:type="dxa" w:w="90"/>
              <w:left w:type="dxa" w:w="0"/>
              <w:bottom w:type="dxa" w:w="90"/>
              <w:right w:type="dxa" w:w="120"/>
            </w:tcMar>
            <w:vAlign w:val="center"/>
          </w:tcPr>
          <w:p>
            <w:pPr>
              <w:spacing w:after="0" w:line="264" w:lineRule="auto"/>
            </w:pPr>
            <w:r>
              <w:rPr>
                <w:sz w:val="19"/>
                <w:szCs w:val="19"/>
              </w:rPr>
              <w:t xml:space="preserve">06</w:t>
            </w:r>
          </w:p>
        </w:tc>
        <w:tc>
          <w:tcPr>
            <w:tcW w:type="dxa" w:w="3000"/>
            <w:tcMar>
              <w:top w:type="dxa" w:w="90"/>
              <w:left w:type="dxa" w:w="120"/>
              <w:bottom w:type="dxa" w:w="90"/>
              <w:right w:type="dxa" w:w="120"/>
            </w:tcMar>
            <w:vAlign w:val="center"/>
          </w:tcPr>
          <w:p>
            <w:pPr>
              <w:spacing w:after="0" w:line="264" w:lineRule="auto"/>
            </w:pPr>
            <w:r>
              <w:rPr>
                <w:b w:val="false"/>
                <w:bCs w:val="false"/>
                <w:sz w:val="19"/>
                <w:szCs w:val="19"/>
              </w:rPr>
              <w:t xml:space="preserve">Project Finance Early Warning</w:t>
            </w:r>
          </w:p>
        </w:tc>
        <w:tc>
          <w:tcPr>
            <w:tcW w:type="dxa" w:w="2000"/>
            <w:tcMar>
              <w:top w:type="dxa" w:w="90"/>
              <w:left w:type="dxa" w:w="120"/>
              <w:bottom w:type="dxa" w:w="90"/>
              <w:right w:type="dxa" w:w="120"/>
            </w:tcMar>
            <w:vAlign w:val="center"/>
          </w:tcPr>
          <w:p>
            <w:pPr>
              <w:spacing w:after="0" w:line="264" w:lineRule="auto"/>
            </w:pPr>
            <w:r>
              <w:rPr>
                <w:b w:val="false"/>
                <w:bCs w:val="false"/>
                <w:sz w:val="19"/>
                <w:szCs w:val="19"/>
              </w:rPr>
              <w:t xml:space="preserve">Risk &amp; Cyber Resilience</w:t>
            </w:r>
          </w:p>
        </w:tc>
        <w:tc>
          <w:tcPr>
            <w:tcW w:type="dxa" w:w="2370"/>
            <w:tcMar>
              <w:top w:type="dxa" w:w="90"/>
              <w:left w:type="dxa" w:w="120"/>
              <w:bottom w:type="dxa" w:w="90"/>
              <w:right w:type="dxa" w:w="120"/>
            </w:tcMar>
            <w:vAlign w:val="center"/>
          </w:tcPr>
          <w:p>
            <w:pPr>
              <w:spacing w:after="0" w:line="264" w:lineRule="auto"/>
            </w:pPr>
            <w:r>
              <w:rPr>
                <w:b w:val="false"/>
                <w:bCs w:val="false"/>
                <w:sz w:val="19"/>
                <w:szCs w:val="19"/>
              </w:rPr>
              <w:t xml:space="preserve">Vermeidbare Kreditverluste</w:t>
            </w:r>
          </w:p>
        </w:tc>
        <w:tc>
          <w:tcPr>
            <w:tcW w:type="dxa" w:w="1100"/>
            <w:tcMar>
              <w:top w:type="dxa" w:w="90"/>
              <w:left w:type="dxa" w:w="120"/>
              <w:bottom w:type="dxa" w:w="90"/>
              <w:right w:type="dxa" w:w="120"/>
            </w:tcMar>
            <w:vAlign w:val="center"/>
          </w:tcPr>
          <w:p>
            <w:pPr>
              <w:spacing w:after="0" w:line="264" w:lineRule="auto"/>
            </w:pPr>
            <w:r>
              <w:rPr>
                <w:b w:val="false"/>
                <w:bCs w:val="false"/>
                <w:sz w:val="19"/>
                <w:szCs w:val="19"/>
              </w:rPr>
              <w:t xml:space="preserve">Hoch</w:t>
            </w:r>
          </w:p>
        </w:tc>
      </w:tr>
      <w:tr>
        <w:trPr>
          <w:cantSplit/>
        </w:trPr>
        <w:tc>
          <w:tcPr>
            <w:tcW w:type="dxa" w:w="600"/>
            <w:tcMar>
              <w:top w:type="dxa" w:w="90"/>
              <w:left w:type="dxa" w:w="0"/>
              <w:bottom w:type="dxa" w:w="90"/>
              <w:right w:type="dxa" w:w="120"/>
            </w:tcMar>
            <w:vAlign w:val="center"/>
          </w:tcPr>
          <w:p>
            <w:pPr>
              <w:spacing w:after="0" w:line="264" w:lineRule="auto"/>
            </w:pPr>
            <w:r>
              <w:rPr>
                <w:sz w:val="19"/>
                <w:szCs w:val="19"/>
              </w:rPr>
              <w:t xml:space="preserve">07</w:t>
            </w:r>
          </w:p>
        </w:tc>
        <w:tc>
          <w:tcPr>
            <w:tcW w:type="dxa" w:w="3000"/>
            <w:tcMar>
              <w:top w:type="dxa" w:w="90"/>
              <w:left w:type="dxa" w:w="120"/>
              <w:bottom w:type="dxa" w:w="90"/>
              <w:right w:type="dxa" w:w="120"/>
            </w:tcMar>
            <w:vAlign w:val="center"/>
          </w:tcPr>
          <w:p>
            <w:pPr>
              <w:spacing w:after="0" w:line="264" w:lineRule="auto"/>
            </w:pPr>
            <w:r>
              <w:rPr>
                <w:b w:val="false"/>
                <w:bCs w:val="false"/>
                <w:sz w:val="19"/>
                <w:szCs w:val="19"/>
              </w:rPr>
              <w:t xml:space="preserve">Export Finance Structuring Intelligence</w:t>
            </w:r>
          </w:p>
        </w:tc>
        <w:tc>
          <w:tcPr>
            <w:tcW w:type="dxa" w:w="2000"/>
            <w:tcMar>
              <w:top w:type="dxa" w:w="90"/>
              <w:left w:type="dxa" w:w="120"/>
              <w:bottom w:type="dxa" w:w="90"/>
              <w:right w:type="dxa" w:w="120"/>
            </w:tcMar>
            <w:vAlign w:val="center"/>
          </w:tcPr>
          <w:p>
            <w:pPr>
              <w:spacing w:after="0" w:line="264" w:lineRule="auto"/>
            </w:pPr>
            <w:r>
              <w:rPr>
                <w:b w:val="false"/>
                <w:bCs w:val="false"/>
                <w:sz w:val="19"/>
                <w:szCs w:val="19"/>
              </w:rPr>
              <w:t xml:space="preserve">Commercial Performance</w:t>
            </w:r>
          </w:p>
        </w:tc>
        <w:tc>
          <w:tcPr>
            <w:tcW w:type="dxa" w:w="2370"/>
            <w:tcMar>
              <w:top w:type="dxa" w:w="90"/>
              <w:left w:type="dxa" w:w="120"/>
              <w:bottom w:type="dxa" w:w="90"/>
              <w:right w:type="dxa" w:w="120"/>
            </w:tcMar>
            <w:vAlign w:val="center"/>
          </w:tcPr>
          <w:p>
            <w:pPr>
              <w:spacing w:after="0" w:line="264" w:lineRule="auto"/>
            </w:pPr>
            <w:r>
              <w:rPr>
                <w:b w:val="false"/>
                <w:bCs w:val="false"/>
                <w:sz w:val="19"/>
                <w:szCs w:val="19"/>
              </w:rPr>
              <w:t xml:space="preserve">Zusätzliche Erträge</w:t>
            </w:r>
          </w:p>
        </w:tc>
        <w:tc>
          <w:tcPr>
            <w:tcW w:type="dxa" w:w="1100"/>
            <w:tcMar>
              <w:top w:type="dxa" w:w="90"/>
              <w:left w:type="dxa" w:w="120"/>
              <w:bottom w:type="dxa" w:w="90"/>
              <w:right w:type="dxa" w:w="120"/>
            </w:tcMar>
            <w:vAlign w:val="center"/>
          </w:tcPr>
          <w:p>
            <w:pPr>
              <w:spacing w:after="0" w:line="264" w:lineRule="auto"/>
            </w:pPr>
            <w:r>
              <w:rPr>
                <w:b w:val="false"/>
                <w:bCs w:val="false"/>
                <w:sz w:val="19"/>
                <w:szCs w:val="19"/>
              </w:rPr>
              <w:t xml:space="preserve">Sehr hoch</w:t>
            </w:r>
          </w:p>
        </w:tc>
      </w:tr>
      <w:tr>
        <w:trPr>
          <w:cantSplit/>
        </w:trPr>
        <w:tc>
          <w:tcPr>
            <w:tcW w:type="dxa" w:w="600"/>
            <w:tcMar>
              <w:top w:type="dxa" w:w="90"/>
              <w:left w:type="dxa" w:w="0"/>
              <w:bottom w:type="dxa" w:w="90"/>
              <w:right w:type="dxa" w:w="120"/>
            </w:tcMar>
            <w:vAlign w:val="center"/>
          </w:tcPr>
          <w:p>
            <w:pPr>
              <w:spacing w:after="0" w:line="264" w:lineRule="auto"/>
            </w:pPr>
            <w:r>
              <w:rPr>
                <w:sz w:val="19"/>
                <w:szCs w:val="19"/>
              </w:rPr>
              <w:t xml:space="preserve">08</w:t>
            </w:r>
          </w:p>
        </w:tc>
        <w:tc>
          <w:tcPr>
            <w:tcW w:type="dxa" w:w="3000"/>
            <w:tcMar>
              <w:top w:type="dxa" w:w="90"/>
              <w:left w:type="dxa" w:w="120"/>
              <w:bottom w:type="dxa" w:w="90"/>
              <w:right w:type="dxa" w:w="120"/>
            </w:tcMar>
            <w:vAlign w:val="center"/>
          </w:tcPr>
          <w:p>
            <w:pPr>
              <w:spacing w:after="0" w:line="264" w:lineRule="auto"/>
            </w:pPr>
            <w:r>
              <w:rPr>
                <w:b w:val="false"/>
                <w:bCs w:val="false"/>
                <w:sz w:val="19"/>
                <w:szCs w:val="19"/>
              </w:rPr>
              <w:t xml:space="preserve">Intelligent Syndication &amp; Capital Allocation</w:t>
            </w:r>
          </w:p>
        </w:tc>
        <w:tc>
          <w:tcPr>
            <w:tcW w:type="dxa" w:w="2000"/>
            <w:tcMar>
              <w:top w:type="dxa" w:w="90"/>
              <w:left w:type="dxa" w:w="120"/>
              <w:bottom w:type="dxa" w:w="90"/>
              <w:right w:type="dxa" w:w="120"/>
            </w:tcMar>
            <w:vAlign w:val="center"/>
          </w:tcPr>
          <w:p>
            <w:pPr>
              <w:spacing w:after="0" w:line="264" w:lineRule="auto"/>
            </w:pPr>
            <w:r>
              <w:rPr>
                <w:b w:val="false"/>
                <w:bCs w:val="false"/>
                <w:sz w:val="19"/>
                <w:szCs w:val="19"/>
              </w:rPr>
              <w:t xml:space="preserve">Commercial Performance</w:t>
            </w:r>
          </w:p>
        </w:tc>
        <w:tc>
          <w:tcPr>
            <w:tcW w:type="dxa" w:w="2370"/>
            <w:tcMar>
              <w:top w:type="dxa" w:w="90"/>
              <w:left w:type="dxa" w:w="120"/>
              <w:bottom w:type="dxa" w:w="90"/>
              <w:right w:type="dxa" w:w="120"/>
            </w:tcMar>
            <w:vAlign w:val="center"/>
          </w:tcPr>
          <w:p>
            <w:pPr>
              <w:spacing w:after="0" w:line="264" w:lineRule="auto"/>
            </w:pPr>
            <w:r>
              <w:rPr>
                <w:b w:val="false"/>
                <w:bCs w:val="false"/>
                <w:sz w:val="19"/>
                <w:szCs w:val="19"/>
              </w:rPr>
              <w:t xml:space="preserve">Ertrag und Kapitaleffizienz</w:t>
            </w:r>
          </w:p>
        </w:tc>
        <w:tc>
          <w:tcPr>
            <w:tcW w:type="dxa" w:w="1100"/>
            <w:tcMar>
              <w:top w:type="dxa" w:w="90"/>
              <w:left w:type="dxa" w:w="120"/>
              <w:bottom w:type="dxa" w:w="90"/>
              <w:right w:type="dxa" w:w="120"/>
            </w:tcMar>
            <w:vAlign w:val="center"/>
          </w:tcPr>
          <w:p>
            <w:pPr>
              <w:spacing w:after="0" w:line="264" w:lineRule="auto"/>
            </w:pPr>
            <w:r>
              <w:rPr>
                <w:b w:val="false"/>
                <w:bCs w:val="false"/>
                <w:sz w:val="19"/>
                <w:szCs w:val="19"/>
              </w:rPr>
              <w:t xml:space="preserve">Hoch</w:t>
            </w:r>
          </w:p>
        </w:tc>
      </w:tr>
    </w:tbl>
    <w:p>
      <w:pPr>
        <w:spacing w:before="100"/>
      </w:pPr>
      <w:r>
        <w:rPr>
          <w:i/>
          <w:iCs/>
          <w:color w:val="6B7080"/>
          <w:sz w:val="16"/>
          <w:szCs w:val="16"/>
        </w:rPr>
        <w:t xml:space="preserve">Priorität: strategische Einschätzung von SH &amp; Partner auf Basis öffentlich verfügbarer Informationen, ohne Kenntnis des internen Projektstands der KfW.</w:t>
      </w:r>
    </w:p>
    <w:p>
      <w:pPr>
        <w:keepNext/>
        <w:pageBreakBefore/>
        <w:spacing w:after="60"/>
      </w:pPr>
      <w:r>
        <w:rPr>
          <w:b/>
          <w:bCs/>
          <w:color w:val="6B7080"/>
          <w:spacing w:val="30"/>
          <w:sz w:val="16"/>
          <w:szCs w:val="16"/>
        </w:rPr>
        <w:t xml:space="preserve">USE CASE 01  ·  OPERATIONAL EXCELLENCE</w:t>
      </w:r>
    </w:p>
    <w:p>
      <w:pPr>
        <w:keepNext/>
        <w:spacing w:after="80" w:line="264" w:lineRule="auto"/>
      </w:pPr>
      <w:r>
        <w:rPr>
          <w:rFonts w:ascii="Cambria" w:cs="Cambria" w:eastAsia="Cambria" w:hAnsi="Cambria"/>
          <w:color w:val="050A30"/>
          <w:sz w:val="40"/>
          <w:szCs w:val="40"/>
        </w:rPr>
        <w:t xml:space="preserve">Regulatory Impact Intelligence</w:t>
      </w:r>
    </w:p>
    <w:p>
      <w:pPr>
        <w:keepNext/>
        <w:spacing w:after="160" w:line="276" w:lineRule="auto"/>
      </w:pPr>
      <w:r>
        <w:rPr>
          <w:rFonts w:ascii="Cambria" w:cs="Cambria" w:eastAsia="Cambria" w:hAnsi="Cambria"/>
          <w:i/>
          <w:iCs/>
          <w:color w:val="050A30"/>
          <w:sz w:val="24"/>
          <w:szCs w:val="24"/>
        </w:rPr>
        <w:t xml:space="preserve">Von der regulatorischen Veröffentlichung zur konkreten Anpassung interner Regelwerke.</w:t>
      </w:r>
    </w:p>
    <w:p>
      <w:pPr>
        <w:pBdr>
          <w:bottom w:val="single" w:color="D6D9E1" w:sz="4"/>
        </w:pBdr>
        <w:spacing w:after="80"/>
      </w:pPr>
      <w:r>
        <w:rPr>
          <w:b/>
          <w:bCs/>
          <w:color w:val="6B7080"/>
          <w:sz w:val="17"/>
          <w:szCs w:val="17"/>
        </w:rPr>
        <w:t xml:space="preserve">Zielbereich  </w:t>
      </w:r>
      <w:r>
        <w:rPr>
          <w:color w:val="6B7080"/>
          <w:sz w:val="17"/>
          <w:szCs w:val="17"/>
        </w:rPr>
        <w:t xml:space="preserve">Compliance · Regulatory Affairs · Organisationsmanagement</w:t>
      </w:r>
    </w:p>
    <w:p>
      <w:pPr>
        <w:keepNext/>
        <w:spacing w:after="70" w:before="220"/>
      </w:pPr>
      <w:r>
        <w:rPr>
          <w:b/>
          <w:bCs/>
          <w:color w:val="6B7080"/>
          <w:spacing w:val="30"/>
          <w:sz w:val="16"/>
          <w:szCs w:val="16"/>
        </w:rPr>
        <w:t xml:space="preserve">AUSGANGSLAGE</w:t>
      </w:r>
    </w:p>
    <w:p>
      <w:pPr>
        <w:spacing w:after="120" w:before="0" w:line="288" w:lineRule="auto"/>
      </w:pPr>
      <w:r>
        <w:t xml:space="preserve">Die KfW ist mit einer Vielzahl regulatorischer Anforderungen konfrontiert, die sich kontinuierlich verändern und je nach Konzerngesellschaft und Geschäftstätigkeit unterschiedlich zu bewerten sind. Mit der schriftlich fixierten Ordnung (SFO) besteht zugleich ein verbindliches internes Regelwerk, das konzernweite und geschäftsfeldspezifische Vorgaben miteinander verbindet.</w:t>
      </w:r>
    </w:p>
    <w:p>
      <w:pPr>
        <w:keepNext/>
        <w:spacing w:after="70" w:before="220"/>
      </w:pPr>
      <w:r>
        <w:rPr>
          <w:b/>
          <w:bCs/>
          <w:color w:val="6B7080"/>
          <w:spacing w:val="30"/>
          <w:sz w:val="16"/>
          <w:szCs w:val="16"/>
        </w:rPr>
        <w:t xml:space="preserve">DIE EIGENTLICHE HERAUSFORDERUNG</w:t>
      </w:r>
    </w:p>
    <w:p>
      <w:pPr>
        <w:spacing w:after="120" w:before="0" w:line="288" w:lineRule="auto"/>
      </w:pPr>
      <w:r>
        <w:t xml:space="preserve">Die Herausforderung liegt nicht im Auffinden neuer Veröffentlichungen, sondern darin, schnell und belastbar festzustellen, welche Anforderungen tatsächlich relevant sind – und welche internen Dokumente, Prozesse und Kontrollen konkret angepasst werden müssen.</w:t>
      </w:r>
    </w:p>
    <w:p>
      <w:pPr>
        <w:spacing w:after="120" w:before="0" w:line="288" w:lineRule="auto"/>
      </w:pPr>
      <w:r>
        <w:t xml:space="preserve">Eine einzelne Änderung kann zahlreiche Regelwerke berühren. Die manuelle Betroffenheitsanalyse ist fachlich anspruchsvoll, zeitintensiv und muss revisionssicher dokumentiert werden.</w:t>
      </w:r>
    </w:p>
    <w:p>
      <w:pPr>
        <w:keepNext/>
        <w:spacing w:after="70" w:before="220"/>
      </w:pPr>
      <w:r>
        <w:rPr>
          <w:b/>
          <w:bCs/>
          <w:color w:val="6B7080"/>
          <w:spacing w:val="30"/>
          <w:sz w:val="16"/>
          <w:szCs w:val="16"/>
        </w:rPr>
        <w:t xml:space="preserve">LÖSUNGSANSATZ</w:t>
      </w:r>
    </w:p>
    <w:p>
      <w:pPr>
        <w:spacing w:after="120" w:before="0" w:line="288" w:lineRule="auto"/>
      </w:pPr>
      <w:r>
        <w:t xml:space="preserve">Ein KI-System analysiert regulatorische Veröffentlichungen fortlaufend, unterscheidet ihren rechtlichen Status (Konsultation, final, anwendbar) und prüft die Anwendbarkeit auf die einzelnen Konzerngesellschaften. Neue Anforderungen werden mit der SFO abgeglichen: Das System identifiziert betroffene Dokumente, markiert relevante Passagen und erstellt konkrete Anpassungsvorschläge zur fachlichen Freigabe.</w:t>
      </w:r>
    </w:p>
    <w:p>
      <w:pPr>
        <w:spacing w:after="120" w:before="0" w:line="288" w:lineRule="auto"/>
      </w:pPr>
      <w:r>
        <w:rPr>
          <w:b/>
          <w:bCs/>
          <w:color w:val="050A30"/>
        </w:rPr>
        <w:t xml:space="preserve">Beispiel:</w:t>
      </w:r>
      <w:r>
        <w:t xml:space="preserve"> Die am 18. September 2026 finalisierten EBA-Leitlinien zum Management von Drittparteienrisiken eignen sich als Testfall. Das System muss dabei auch erkennen, dass die Leitlinien noch nicht anwendbar sind, und den Umsetzungsbedarf entsprechend terminieren.</w:t>
      </w:r>
    </w:p>
    <w:p>
      <w:pPr>
        <w:keepNext/>
        <w:spacing w:after="70" w:before="220"/>
      </w:pPr>
      <w:r>
        <w:rPr>
          <w:b/>
          <w:bCs/>
          <w:color w:val="6B7080"/>
          <w:spacing w:val="30"/>
          <w:sz w:val="16"/>
          <w:szCs w:val="16"/>
        </w:rPr>
        <w:t xml:space="preserve">WIRKUNG</w:t>
      </w:r>
    </w:p>
    <w:p>
      <w:pPr>
        <w:pStyle w:val="ListParagraph"/>
        <w:keepLines/>
        <w:numPr>
          <w:ilvl w:val="0"/>
          <w:numId w:val="2"/>
        </w:numPr>
        <w:spacing w:after="80" w:line="288" w:lineRule="auto"/>
      </w:pPr>
      <w:r>
        <w:rPr>
          <w:b/>
          <w:bCs/>
          <w:color w:val="050A30"/>
        </w:rPr>
        <w:t xml:space="preserve">Frühzeitigkeit</w:t>
      </w:r>
      <w:r>
        <w:t xml:space="preserve"> – relevante Änderungen und Handlungsbedarfe schneller erkennen.</w:t>
      </w:r>
    </w:p>
    <w:p>
      <w:pPr>
        <w:pStyle w:val="ListParagraph"/>
        <w:keepLines/>
        <w:numPr>
          <w:ilvl w:val="0"/>
          <w:numId w:val="2"/>
        </w:numPr>
        <w:spacing w:after="80" w:line="288" w:lineRule="auto"/>
      </w:pPr>
      <w:r>
        <w:rPr>
          <w:b/>
          <w:bCs/>
          <w:color w:val="050A30"/>
        </w:rPr>
        <w:t xml:space="preserve">Transparenz</w:t>
      </w:r>
      <w:r>
        <w:t xml:space="preserve"> – dokumentgenaue Betroffenheitsanalyse mit lückenloser Quellenverknüpfung.</w:t>
      </w:r>
    </w:p>
    <w:p>
      <w:pPr>
        <w:pStyle w:val="ListParagraph"/>
        <w:keepLines/>
        <w:numPr>
          <w:ilvl w:val="0"/>
          <w:numId w:val="2"/>
        </w:numPr>
        <w:spacing w:after="80" w:line="288" w:lineRule="auto"/>
      </w:pPr>
      <w:r>
        <w:rPr>
          <w:b/>
          <w:bCs/>
          <w:color w:val="050A30"/>
        </w:rPr>
        <w:t xml:space="preserve">Effizienz</w:t>
      </w:r>
      <w:r>
        <w:t xml:space="preserve"> – geringerer Analyse- und Abstimmungsaufwand in Compliance und Fachbereichen.</w:t>
      </w:r>
    </w:p>
    <w:p>
      <w:pPr>
        <w:spacing w:after="160" w:before="0"/>
      </w:pPr>
    </w:p>
    <w:tbl>
      <w:tblPr>
        <w:tblW w:type="dxa" w:w="9070"/>
        <w:tblBorders>
          <w:top w:val="none" w:color="FFFFFF" w:sz="0"/>
          <w:left w:val="none" w:color="FFFFFF" w:sz="0"/>
          <w:bottom w:val="none" w:color="FFFFFF" w:sz="0"/>
          <w:right w:val="none" w:color="FFFFFF" w:sz="0"/>
          <w:insideH w:val="single" w:color="E3E5EB" w:sz="4"/>
          <w:insideV w:val="none" w:color="FFFFFF" w:sz="0"/>
        </w:tblBorders>
        <w:tblLayout w:type="fixed"/>
      </w:tblPr>
      <w:tblGrid>
        <w:gridCol w:w="1900"/>
        <w:gridCol w:w="7170"/>
      </w:tblGrid>
      <w:tr>
        <w:trPr>
          <w:cantSplit/>
        </w:trPr>
        <w:tc>
          <w:tcPr>
            <w:tcW w:type="dxa" w:w="1900"/>
            <w:shd w:fill="F4F5F8" w:color="auto" w:val="clear"/>
            <w:tcMar>
              <w:top w:type="dxa" w:w="140"/>
              <w:left w:type="dxa" w:w="200"/>
              <w:bottom w:type="dxa" w:w="140"/>
              <w:right w:type="dxa" w:w="120"/>
            </w:tcMar>
          </w:tcPr>
          <w:p>
            <w:r>
              <w:rPr>
                <w:b/>
                <w:bCs/>
                <w:color w:val="050A30"/>
                <w:spacing w:val="20"/>
                <w:sz w:val="15"/>
                <w:szCs w:val="15"/>
              </w:rPr>
              <w:t xml:space="preserve">MESSGRÖSSEN</w:t>
            </w:r>
          </w:p>
        </w:tc>
        <w:tc>
          <w:tcPr>
            <w:tcW w:type="dxa" w:w="7170"/>
            <w:shd w:fill="F4F5F8" w:color="auto" w:val="clear"/>
            <w:tcMar>
              <w:top w:type="dxa" w:w="140"/>
              <w:left w:type="dxa" w:w="120"/>
              <w:bottom w:type="dxa" w:w="140"/>
              <w:right w:type="dxa" w:w="200"/>
            </w:tcMar>
          </w:tcPr>
          <w:p>
            <w:pPr>
              <w:spacing w:after="0" w:line="276" w:lineRule="auto"/>
            </w:pPr>
            <w:r>
              <w:rPr>
                <w:sz w:val="19"/>
                <w:szCs w:val="19"/>
              </w:rPr>
              <w:t xml:space="preserve">Durchlaufzeit je Impact Assessment · fachlich bestätigte Trefferquote · Aufwand für Dokumentenabgleiche · Quote fristgerecht umgesetzter Änderungen</w:t>
            </w:r>
          </w:p>
        </w:tc>
      </w:tr>
      <w:tr>
        <w:trPr>
          <w:cantSplit/>
        </w:trPr>
        <w:tc>
          <w:tcPr>
            <w:tcW w:type="dxa" w:w="1900"/>
            <w:shd w:fill="F4F5F8" w:color="auto" w:val="clear"/>
            <w:tcMar>
              <w:top w:type="dxa" w:w="140"/>
              <w:left w:type="dxa" w:w="200"/>
              <w:bottom w:type="dxa" w:w="140"/>
              <w:right w:type="dxa" w:w="120"/>
            </w:tcMar>
          </w:tcPr>
          <w:p>
            <w:r>
              <w:rPr>
                <w:b/>
                <w:bCs/>
                <w:color w:val="050A30"/>
                <w:spacing w:val="20"/>
                <w:sz w:val="15"/>
                <w:szCs w:val="15"/>
              </w:rPr>
              <w:t xml:space="preserve">PILOTANSATZ</w:t>
            </w:r>
          </w:p>
        </w:tc>
        <w:tc>
          <w:tcPr>
            <w:tcW w:type="dxa" w:w="7170"/>
            <w:shd w:fill="F4F5F8" w:color="auto" w:val="clear"/>
            <w:tcMar>
              <w:top w:type="dxa" w:w="140"/>
              <w:left w:type="dxa" w:w="120"/>
              <w:bottom w:type="dxa" w:w="140"/>
              <w:right w:type="dxa" w:w="200"/>
            </w:tcMar>
          </w:tcPr>
          <w:p>
            <w:pPr>
              <w:spacing w:after="0" w:line="276" w:lineRule="auto"/>
            </w:pPr>
            <w:r>
              <w:rPr>
                <w:sz w:val="19"/>
                <w:szCs w:val="19"/>
              </w:rPr>
              <w:t xml:space="preserve">Retrospektive Analyse von 20 regulatorischen Änderungen anhand der damals gültigen Richtlinienversionen; Abgleich mit den bereits freigegebenen fachlichen Bewertungen.</w:t>
            </w:r>
          </w:p>
        </w:tc>
      </w:tr>
    </w:tbl>
    <w:p>
      <w:pPr>
        <w:keepLines/>
        <w:pBdr>
          <w:left w:val="single" w:color="050A30" w:sz="18" w:space="12"/>
        </w:pBdr>
        <w:spacing w:after="120" w:before="280" w:line="300" w:lineRule="auto"/>
        <w:ind w:left="240"/>
      </w:pPr>
      <w:r>
        <w:rPr>
          <w:rFonts w:ascii="Cambria" w:cs="Cambria" w:eastAsia="Cambria" w:hAnsi="Cambria"/>
          <w:i/>
          <w:iCs/>
          <w:color w:val="050A30"/>
          <w:sz w:val="26"/>
          <w:szCs w:val="26"/>
        </w:rPr>
        <w:t xml:space="preserve">Regulatorische Änderungen nicht nur erkennen – sondern unmittelbar verstehen, was sie für die KfW konkret bedeuten.</w:t>
      </w:r>
    </w:p>
    <w:p>
      <w:pPr>
        <w:keepNext/>
        <w:pageBreakBefore/>
        <w:spacing w:after="60"/>
      </w:pPr>
      <w:r>
        <w:rPr>
          <w:b/>
          <w:bCs/>
          <w:color w:val="6B7080"/>
          <w:spacing w:val="30"/>
          <w:sz w:val="16"/>
          <w:szCs w:val="16"/>
        </w:rPr>
        <w:t xml:space="preserve">USE CASE 02  ·  OPERATIONAL EXCELLENCE</w:t>
      </w:r>
    </w:p>
    <w:p>
      <w:pPr>
        <w:keepNext/>
        <w:spacing w:after="80" w:line="264" w:lineRule="auto"/>
      </w:pPr>
      <w:r>
        <w:rPr>
          <w:rFonts w:ascii="Cambria" w:cs="Cambria" w:eastAsia="Cambria" w:hAnsi="Cambria"/>
          <w:color w:val="050A30"/>
          <w:sz w:val="40"/>
          <w:szCs w:val="40"/>
        </w:rPr>
        <w:t xml:space="preserve">Internal Audit Reporting Intelligence</w:t>
      </w:r>
    </w:p>
    <w:p>
      <w:pPr>
        <w:keepNext/>
        <w:spacing w:after="160" w:line="276" w:lineRule="auto"/>
      </w:pPr>
      <w:r>
        <w:rPr>
          <w:rFonts w:ascii="Cambria" w:cs="Cambria" w:eastAsia="Cambria" w:hAnsi="Cambria"/>
          <w:i/>
          <w:iCs/>
          <w:color w:val="050A30"/>
          <w:sz w:val="24"/>
          <w:szCs w:val="24"/>
        </w:rPr>
        <w:t xml:space="preserve">Von umfangreichen Prüfungsunterlagen zu evidenzbasierten Revisionsberichten.</w:t>
      </w:r>
    </w:p>
    <w:p>
      <w:pPr>
        <w:pBdr>
          <w:bottom w:val="single" w:color="D6D9E1" w:sz="4"/>
        </w:pBdr>
        <w:spacing w:after="80"/>
      </w:pPr>
      <w:r>
        <w:rPr>
          <w:b/>
          <w:bCs/>
          <w:color w:val="6B7080"/>
          <w:sz w:val="17"/>
          <w:szCs w:val="17"/>
        </w:rPr>
        <w:t xml:space="preserve">Zielbereich  </w:t>
      </w:r>
      <w:r>
        <w:rPr>
          <w:color w:val="6B7080"/>
          <w:sz w:val="17"/>
          <w:szCs w:val="17"/>
        </w:rPr>
        <w:t xml:space="preserve">Konzernrevision · Prüfungsmanagement</w:t>
      </w:r>
    </w:p>
    <w:p>
      <w:pPr>
        <w:keepNext/>
        <w:spacing w:after="70" w:before="220"/>
      </w:pPr>
      <w:r>
        <w:rPr>
          <w:b/>
          <w:bCs/>
          <w:color w:val="6B7080"/>
          <w:spacing w:val="30"/>
          <w:sz w:val="16"/>
          <w:szCs w:val="16"/>
        </w:rPr>
        <w:t xml:space="preserve">AUSGANGSLAGE</w:t>
      </w:r>
    </w:p>
    <w:p>
      <w:pPr>
        <w:spacing w:after="120" w:before="0" w:line="288" w:lineRule="auto"/>
      </w:pPr>
      <w:r>
        <w:t xml:space="preserve">Die KfW-Konzernrevision arbeitet nach eigener Darstellung mit rund 100 Beschäftigten in vier Abteilungen und führt etwa 60 Prüfungen pro Jahr durch. Ihre Ergebnisse müssen fachlich belastbar, nachvollziehbar und adressatengerecht aufbereitet sein.</w:t>
      </w:r>
    </w:p>
    <w:p>
      <w:pPr>
        <w:keepNext/>
        <w:spacing w:after="70" w:before="220"/>
      </w:pPr>
      <w:r>
        <w:rPr>
          <w:b/>
          <w:bCs/>
          <w:color w:val="6B7080"/>
          <w:spacing w:val="30"/>
          <w:sz w:val="16"/>
          <w:szCs w:val="16"/>
        </w:rPr>
        <w:t xml:space="preserve">DIE EIGENTLICHE HERAUSFORDERUNG</w:t>
      </w:r>
    </w:p>
    <w:p>
      <w:pPr>
        <w:spacing w:after="120" w:before="0" w:line="288" w:lineRule="auto"/>
      </w:pPr>
      <w:r>
        <w:t xml:space="preserve">Ein wesentlicher Teil des Aufwands entsteht nach der eigentlichen Prüfungshandlung: beim Strukturieren von Interviewprotokollen, Kontrollnachweisen und Stichprobenergebnissen sowie bei der konsistenten Formulierung von Feststellungen und Berichten.</w:t>
      </w:r>
    </w:p>
    <w:p>
      <w:pPr>
        <w:spacing w:after="120" w:before="0" w:line="288" w:lineRule="auto"/>
      </w:pPr>
      <w:r>
        <w:t xml:space="preserve">Jede Stunde, die in Dokumentation fließt, fehlt für Risikobewertung und fachliche Vertiefung.</w:t>
      </w:r>
    </w:p>
    <w:p>
      <w:pPr>
        <w:keepNext/>
        <w:spacing w:after="70" w:before="220"/>
      </w:pPr>
      <w:r>
        <w:rPr>
          <w:b/>
          <w:bCs/>
          <w:color w:val="6B7080"/>
          <w:spacing w:val="30"/>
          <w:sz w:val="16"/>
          <w:szCs w:val="16"/>
        </w:rPr>
        <w:t xml:space="preserve">LÖSUNGSANSATZ</w:t>
      </w:r>
    </w:p>
    <w:p>
      <w:pPr>
        <w:spacing w:after="120" w:before="0" w:line="288" w:lineRule="auto"/>
      </w:pPr>
      <w:r>
        <w:t xml:space="preserve">Eine spezialisierte KI verbindet Prüfungsprogramm, relevante Richtlinien, Dokumentennachweise, Interviews und Testergebnisse und erstellt daraus standardisierte Entwürfe von Feststellungen und Revisionsberichten.</w:t>
      </w:r>
    </w:p>
    <w:p>
      <w:pPr>
        <w:spacing w:after="120" w:before="0" w:line="288" w:lineRule="auto"/>
      </w:pPr>
      <w:r>
        <w:t xml:space="preserve">Entscheidend ist die Nachvollziehbarkeit: Jede Feststellung verweist auf die zugrunde liegenden Nachweise. Die KI kennzeichnet unbelegte Aussagen, erkennt Widersprüche und formuliert konsistente Management Summaries. Fachliche Bewertung und Freigabe verbleiben vollständig bei den Revisorinnen und Revisoren.</w:t>
      </w:r>
    </w:p>
    <w:p>
      <w:pPr>
        <w:keepNext/>
        <w:spacing w:after="70" w:before="220"/>
      </w:pPr>
      <w:r>
        <w:rPr>
          <w:b/>
          <w:bCs/>
          <w:color w:val="6B7080"/>
          <w:spacing w:val="30"/>
          <w:sz w:val="16"/>
          <w:szCs w:val="16"/>
        </w:rPr>
        <w:t xml:space="preserve">WIRKUNG</w:t>
      </w:r>
    </w:p>
    <w:p>
      <w:pPr>
        <w:pStyle w:val="ListParagraph"/>
        <w:keepLines/>
        <w:numPr>
          <w:ilvl w:val="0"/>
          <w:numId w:val="2"/>
        </w:numPr>
        <w:spacing w:after="80" w:line="288" w:lineRule="auto"/>
      </w:pPr>
      <w:r>
        <w:rPr>
          <w:b/>
          <w:bCs/>
          <w:color w:val="050A30"/>
        </w:rPr>
        <w:t xml:space="preserve">Effizienz</w:t>
      </w:r>
      <w:r>
        <w:t xml:space="preserve"> – weniger Aufwand für Dokumentation und Berichtserstellung.</w:t>
      </w:r>
    </w:p>
    <w:p>
      <w:pPr>
        <w:pStyle w:val="ListParagraph"/>
        <w:keepLines/>
        <w:numPr>
          <w:ilvl w:val="0"/>
          <w:numId w:val="2"/>
        </w:numPr>
        <w:spacing w:after="80" w:line="288" w:lineRule="auto"/>
      </w:pPr>
      <w:r>
        <w:rPr>
          <w:b/>
          <w:bCs/>
          <w:color w:val="050A30"/>
        </w:rPr>
        <w:t xml:space="preserve">Qualität</w:t>
      </w:r>
      <w:r>
        <w:t xml:space="preserve"> – einheitlichere Berichte und konsequentere Nachweisführung.</w:t>
      </w:r>
    </w:p>
    <w:p>
      <w:pPr>
        <w:pStyle w:val="ListParagraph"/>
        <w:keepLines/>
        <w:numPr>
          <w:ilvl w:val="0"/>
          <w:numId w:val="2"/>
        </w:numPr>
        <w:spacing w:after="80" w:line="288" w:lineRule="auto"/>
      </w:pPr>
      <w:r>
        <w:rPr>
          <w:b/>
          <w:bCs/>
          <w:color w:val="050A30"/>
        </w:rPr>
        <w:t xml:space="preserve">Kapazität</w:t>
      </w:r>
      <w:r>
        <w:t xml:space="preserve"> – mehr Raum für anspruchsvolle Prüfungen mit vorhandenen Ressourcen.</w:t>
      </w:r>
    </w:p>
    <w:p>
      <w:pPr>
        <w:spacing w:after="160" w:before="0"/>
      </w:pPr>
    </w:p>
    <w:tbl>
      <w:tblPr>
        <w:tblW w:type="dxa" w:w="9070"/>
        <w:tblBorders>
          <w:top w:val="none" w:color="FFFFFF" w:sz="0"/>
          <w:left w:val="none" w:color="FFFFFF" w:sz="0"/>
          <w:bottom w:val="none" w:color="FFFFFF" w:sz="0"/>
          <w:right w:val="none" w:color="FFFFFF" w:sz="0"/>
          <w:insideH w:val="single" w:color="E3E5EB" w:sz="4"/>
          <w:insideV w:val="none" w:color="FFFFFF" w:sz="0"/>
        </w:tblBorders>
        <w:tblLayout w:type="fixed"/>
      </w:tblPr>
      <w:tblGrid>
        <w:gridCol w:w="1900"/>
        <w:gridCol w:w="7170"/>
      </w:tblGrid>
      <w:tr>
        <w:trPr>
          <w:cantSplit/>
        </w:trPr>
        <w:tc>
          <w:tcPr>
            <w:tcW w:type="dxa" w:w="1900"/>
            <w:shd w:fill="F4F5F8" w:color="auto" w:val="clear"/>
            <w:tcMar>
              <w:top w:type="dxa" w:w="140"/>
              <w:left w:type="dxa" w:w="200"/>
              <w:bottom w:type="dxa" w:w="140"/>
              <w:right w:type="dxa" w:w="120"/>
            </w:tcMar>
          </w:tcPr>
          <w:p>
            <w:r>
              <w:rPr>
                <w:b/>
                <w:bCs/>
                <w:color w:val="050A30"/>
                <w:spacing w:val="20"/>
                <w:sz w:val="15"/>
                <w:szCs w:val="15"/>
              </w:rPr>
              <w:t xml:space="preserve">MESSGRÖSSEN</w:t>
            </w:r>
          </w:p>
        </w:tc>
        <w:tc>
          <w:tcPr>
            <w:tcW w:type="dxa" w:w="7170"/>
            <w:shd w:fill="F4F5F8" w:color="auto" w:val="clear"/>
            <w:tcMar>
              <w:top w:type="dxa" w:w="140"/>
              <w:left w:type="dxa" w:w="120"/>
              <w:bottom w:type="dxa" w:w="140"/>
              <w:right w:type="dxa" w:w="200"/>
            </w:tcMar>
          </w:tcPr>
          <w:p>
            <w:pPr>
              <w:spacing w:after="0" w:line="276" w:lineRule="auto"/>
            </w:pPr>
            <w:r>
              <w:rPr>
                <w:sz w:val="19"/>
                <w:szCs w:val="19"/>
              </w:rPr>
              <w:t xml:space="preserve">Bearbeitungszeit je Bericht · Anzahl Überarbeitungsschleifen · Evidenzabdeckung der Feststellungen · Zeit zwischen Prüfungsende und Berichtsfreigabe</w:t>
            </w:r>
          </w:p>
        </w:tc>
      </w:tr>
      <w:tr>
        <w:trPr>
          <w:cantSplit/>
        </w:trPr>
        <w:tc>
          <w:tcPr>
            <w:tcW w:type="dxa" w:w="1900"/>
            <w:shd w:fill="F4F5F8" w:color="auto" w:val="clear"/>
            <w:tcMar>
              <w:top w:type="dxa" w:w="140"/>
              <w:left w:type="dxa" w:w="200"/>
              <w:bottom w:type="dxa" w:w="140"/>
              <w:right w:type="dxa" w:w="120"/>
            </w:tcMar>
          </w:tcPr>
          <w:p>
            <w:r>
              <w:rPr>
                <w:b/>
                <w:bCs/>
                <w:color w:val="050A30"/>
                <w:spacing w:val="20"/>
                <w:sz w:val="15"/>
                <w:szCs w:val="15"/>
              </w:rPr>
              <w:t xml:space="preserve">RECHENBEISPIEL</w:t>
            </w:r>
          </w:p>
        </w:tc>
        <w:tc>
          <w:tcPr>
            <w:tcW w:type="dxa" w:w="7170"/>
            <w:shd w:fill="F4F5F8" w:color="auto" w:val="clear"/>
            <w:tcMar>
              <w:top w:type="dxa" w:w="140"/>
              <w:left w:type="dxa" w:w="120"/>
              <w:bottom w:type="dxa" w:w="140"/>
              <w:right w:type="dxa" w:w="200"/>
            </w:tcMar>
          </w:tcPr>
          <w:p>
            <w:pPr>
              <w:spacing w:after="80" w:line="276" w:lineRule="auto"/>
            </w:pPr>
            <w:r>
              <w:rPr>
                <w:sz w:val="19"/>
                <w:szCs w:val="19"/>
              </w:rPr>
              <w:t xml:space="preserve">60 Prüfungen × 20 eingesparte Stunden je Bericht = </w:t>
            </w:r>
            <w:r>
              <w:rPr>
                <w:b/>
                <w:bCs/>
                <w:color w:val="050A30"/>
                <w:sz w:val="19"/>
                <w:szCs w:val="19"/>
              </w:rPr>
              <w:t xml:space="preserve">1.200 Stunden p. a.</w:t>
            </w:r>
          </w:p>
          <w:p>
            <w:pPr>
              <w:spacing w:after="0" w:line="276" w:lineRule="auto"/>
            </w:pPr>
            <w:r>
              <w:rPr>
                <w:sz w:val="19"/>
                <w:szCs w:val="19"/>
              </w:rPr>
              <w:t xml:space="preserve">Bei angenommenen Vollkosten von 100 € je Stunde entspricht dies einem rechnerischen Kapazitätswert von </w:t>
            </w:r>
            <w:r>
              <w:rPr>
                <w:b/>
                <w:bCs/>
                <w:color w:val="050A30"/>
                <w:sz w:val="19"/>
                <w:szCs w:val="19"/>
              </w:rPr>
              <w:t xml:space="preserve">rund 120.000 € p. a.</w:t>
            </w:r>
            <w:r>
              <w:rPr>
                <w:sz w:val="19"/>
                <w:szCs w:val="19"/>
              </w:rPr>
              <w:t xml:space="preserve"> – vor Implementierungs- und Betriebskosten. Einsparung und Stundensatz sind Annahmen, die im Pilot zu verifizieren sind.</w:t>
            </w:r>
          </w:p>
        </w:tc>
      </w:tr>
      <w:tr>
        <w:trPr>
          <w:cantSplit/>
        </w:trPr>
        <w:tc>
          <w:tcPr>
            <w:tcW w:type="dxa" w:w="1900"/>
            <w:shd w:fill="F4F5F8" w:color="auto" w:val="clear"/>
            <w:tcMar>
              <w:top w:type="dxa" w:w="140"/>
              <w:left w:type="dxa" w:w="200"/>
              <w:bottom w:type="dxa" w:w="140"/>
              <w:right w:type="dxa" w:w="120"/>
            </w:tcMar>
          </w:tcPr>
          <w:p>
            <w:r>
              <w:rPr>
                <w:b/>
                <w:bCs/>
                <w:color w:val="050A30"/>
                <w:spacing w:val="20"/>
                <w:sz w:val="15"/>
                <w:szCs w:val="15"/>
              </w:rPr>
              <w:t xml:space="preserve">PILOTANSATZ</w:t>
            </w:r>
          </w:p>
        </w:tc>
        <w:tc>
          <w:tcPr>
            <w:tcW w:type="dxa" w:w="7170"/>
            <w:shd w:fill="F4F5F8" w:color="auto" w:val="clear"/>
            <w:tcMar>
              <w:top w:type="dxa" w:w="140"/>
              <w:left w:type="dxa" w:w="120"/>
              <w:bottom w:type="dxa" w:w="140"/>
              <w:right w:type="dxa" w:w="200"/>
            </w:tcMar>
          </w:tcPr>
          <w:p>
            <w:pPr>
              <w:spacing w:after="0" w:line="276" w:lineRule="auto"/>
            </w:pPr>
            <w:r>
              <w:rPr>
                <w:sz w:val="19"/>
                <w:szCs w:val="19"/>
              </w:rPr>
              <w:t xml:space="preserve">Rekonstruktion von fünf bis zehn abgeschlossenen Prüfungen auf Basis der Originalunterlagen; Vergleich von Zeitbedarf, fachlicher Genauigkeit und Nachvollziehbarkeit mit den freigegebenen Berichten.</w:t>
            </w:r>
          </w:p>
        </w:tc>
      </w:tr>
    </w:tbl>
    <w:p>
      <w:pPr>
        <w:keepLines/>
        <w:pBdr>
          <w:left w:val="single" w:color="050A30" w:sz="18" w:space="12"/>
        </w:pBdr>
        <w:spacing w:after="120" w:before="280" w:line="300" w:lineRule="auto"/>
        <w:ind w:left="240"/>
      </w:pPr>
      <w:r>
        <w:rPr>
          <w:rFonts w:ascii="Cambria" w:cs="Cambria" w:eastAsia="Cambria" w:hAnsi="Cambria"/>
          <w:i/>
          <w:iCs/>
          <w:color w:val="050A30"/>
          <w:sz w:val="26"/>
          <w:szCs w:val="26"/>
        </w:rPr>
        <w:t xml:space="preserve">Weniger Zeit für das Schreiben von Prüfungsberichten. Mehr Zeit für die wirklich kritischen Risiken.</w:t>
      </w:r>
    </w:p>
    <w:p>
      <w:pPr>
        <w:keepNext/>
        <w:pageBreakBefore/>
        <w:spacing w:after="60"/>
      </w:pPr>
      <w:r>
        <w:rPr>
          <w:b/>
          <w:bCs/>
          <w:color w:val="6B7080"/>
          <w:spacing w:val="30"/>
          <w:sz w:val="16"/>
          <w:szCs w:val="16"/>
        </w:rPr>
        <w:t xml:space="preserve">USE CASE 03  ·  RISK &amp; CYBER RESILIENCE</w:t>
      </w:r>
    </w:p>
    <w:p>
      <w:pPr>
        <w:keepNext/>
        <w:spacing w:after="80" w:line="264" w:lineRule="auto"/>
      </w:pPr>
      <w:r>
        <w:rPr>
          <w:rFonts w:ascii="Cambria" w:cs="Cambria" w:eastAsia="Cambria" w:hAnsi="Cambria"/>
          <w:color w:val="050A30"/>
          <w:sz w:val="40"/>
          <w:szCs w:val="40"/>
        </w:rPr>
        <w:t xml:space="preserve">AI Security Testing &amp; Legacy Risk Intelligence</w:t>
      </w:r>
    </w:p>
    <w:p>
      <w:pPr>
        <w:keepNext/>
        <w:spacing w:after="160" w:line="276" w:lineRule="auto"/>
      </w:pPr>
      <w:r>
        <w:rPr>
          <w:rFonts w:ascii="Cambria" w:cs="Cambria" w:eastAsia="Cambria" w:hAnsi="Cambria"/>
          <w:i/>
          <w:iCs/>
          <w:color w:val="050A30"/>
          <w:sz w:val="24"/>
          <w:szCs w:val="24"/>
        </w:rPr>
        <w:t xml:space="preserve">Sicherheitsrisiken erkennen, bevor veraltete Software zur Schwachstelle wird.</w:t>
      </w:r>
    </w:p>
    <w:p>
      <w:pPr>
        <w:pBdr>
          <w:bottom w:val="single" w:color="D6D9E1" w:sz="4"/>
        </w:pBdr>
        <w:spacing w:after="80"/>
      </w:pPr>
      <w:r>
        <w:rPr>
          <w:b/>
          <w:bCs/>
          <w:color w:val="6B7080"/>
          <w:sz w:val="17"/>
          <w:szCs w:val="17"/>
        </w:rPr>
        <w:t xml:space="preserve">Zielbereich  </w:t>
      </w:r>
      <w:r>
        <w:rPr>
          <w:color w:val="6B7080"/>
          <w:sz w:val="17"/>
          <w:szCs w:val="17"/>
        </w:rPr>
        <w:t xml:space="preserve">CISO · IT-Security · Application Security · IT-Risikomanagement</w:t>
      </w:r>
    </w:p>
    <w:p>
      <w:pPr>
        <w:keepNext/>
        <w:spacing w:after="70" w:before="220"/>
      </w:pPr>
      <w:r>
        <w:rPr>
          <w:b/>
          <w:bCs/>
          <w:color w:val="6B7080"/>
          <w:spacing w:val="30"/>
          <w:sz w:val="16"/>
          <w:szCs w:val="16"/>
        </w:rPr>
        <w:t xml:space="preserve">AUSGANGSLAGE</w:t>
      </w:r>
    </w:p>
    <w:p>
      <w:pPr>
        <w:spacing w:after="120" w:before="0" w:line="288" w:lineRule="auto"/>
      </w:pPr>
      <w:r>
        <w:t xml:space="preserve">Mit fortschreitender Digitalisierung wächst die technische Komplexität: Eigenentwicklungen und Anwendungen unterschiedlicher Generationen, externe Bibliotheken, Schnittstellen und Infrastrukturkomponenten greifen ineinander.</w:t>
      </w:r>
    </w:p>
    <w:p>
      <w:pPr>
        <w:spacing w:after="120" w:before="0" w:line="288" w:lineRule="auto"/>
      </w:pPr>
      <w:r>
        <w:t xml:space="preserve">Die KfW benennt im Finanzbericht 2025 fehlerhafte Systemänderungen und Cyberangriffe als zentrale IKT-Risiken. Zugleich zählen Cybersecurity und Penetration Testing zu den ausdrücklichen Aufsichtsschwerpunkten der EZB für 2026–2028.</w:t>
      </w:r>
    </w:p>
    <w:p>
      <w:pPr>
        <w:keepNext/>
        <w:spacing w:after="70" w:before="220"/>
      </w:pPr>
      <w:r>
        <w:rPr>
          <w:b/>
          <w:bCs/>
          <w:color w:val="6B7080"/>
          <w:spacing w:val="30"/>
          <w:sz w:val="16"/>
          <w:szCs w:val="16"/>
        </w:rPr>
        <w:t xml:space="preserve">DIE EIGENTLICHE HERAUSFORDERUNG</w:t>
      </w:r>
    </w:p>
    <w:p>
      <w:pPr>
        <w:spacing w:after="120" w:before="0" w:line="288" w:lineRule="auto"/>
      </w:pPr>
      <w:r>
        <w:t xml:space="preserve">Eine Anwendung kann im Betrieb zuverlässig funktionieren und dennoch schwer erkennbare Risiken enthalten. Gerade in gewachsenen Landschaften stellen sich Grundfragen: Welche Systeme laufen auf nicht mehr unterstützten Versionen? Welche Komponenten enthalten bekannte, ausnutzbare Schwachstellen? Wie alt ist der produktive Code tatsächlich? Welche kritischen Anwendungen sind besonders exponiert?</w:t>
      </w:r>
    </w:p>
    <w:p>
      <w:pPr>
        <w:spacing w:after="120" w:before="0" w:line="288" w:lineRule="auto"/>
      </w:pPr>
      <w:r>
        <w:t xml:space="preserve">Periodische Penetrationstests bleiben unverzichtbar – sie liefern jedoch nicht zwangsläufig einen kontinuierlichen Überblick über den gesamten Bestand.</w:t>
      </w:r>
    </w:p>
    <w:p>
      <w:pPr>
        <w:keepNext/>
        <w:spacing w:after="70" w:before="220"/>
      </w:pPr>
      <w:r>
        <w:rPr>
          <w:b/>
          <w:bCs/>
          <w:color w:val="6B7080"/>
          <w:spacing w:val="30"/>
          <w:sz w:val="16"/>
          <w:szCs w:val="16"/>
        </w:rPr>
        <w:t xml:space="preserve">LÖSUNGSANSATZ</w:t>
      </w:r>
    </w:p>
    <w:p>
      <w:pPr>
        <w:spacing w:after="120" w:before="0" w:line="288" w:lineRule="auto"/>
      </w:pPr>
      <w:r>
        <w:t xml:space="preserve">Eine KI-gestützte Security-Plattform inventarisiert Software und Abhängigkeiten, analysiert Versionen und Wartungsstatus, verknüpft Schwachstelleninformationen mit der Kritikalität der jeweiligen Anwendung und priorisiert daraus gezielte Sicherheitstests. Für freigegebene Systeme unterstützt sie automatisierte, kontrollierte Tests und verifiziert nach der Behebung, ob Schwachstellen weiterhin nachweisbar sind.</w:t>
      </w:r>
    </w:p>
    <w:p>
      <w:pPr>
        <w:spacing w:after="120" w:before="0" w:line="288" w:lineRule="auto"/>
      </w:pPr>
      <w:r>
        <w:t xml:space="preserve">Die Priorisierung verbindet bekannte Schwachstellen, Supportstatus, technische Erreichbarkeit, Schutzbedarf und Hinweise auf aktive Ausnutzung – etwa aus dem CISA-Katalog aktiv ausgenutzter Schwachstellen. OWASP führt veraltete Komponenten als eigenständiges Sicherheitsrisiko; ENISA hat am 22. Oktober 2026 neue Empfehlungen zum Einsatz von Software Bills of Materials (SBOM) veröffentlicht.</w:t>
      </w:r>
    </w:p>
    <w:p>
      <w:pPr>
        <w:pageBreakBefore/>
        <w:spacing w:after="120" w:before="0" w:line="288" w:lineRule="auto"/>
      </w:pPr>
      <w:r>
        <w:rPr>
          <w:b/>
          <w:bCs/>
          <w:color w:val="050A30"/>
        </w:rPr>
        <w:t xml:space="preserve">Differenzierendes Element: der Software &amp; Code Aging Report</w:t>
      </w:r>
      <w:r>
        <w:t xml:space="preserve"> – erstmals konsolidierte Kennzahlen auf Anwendungsebene:</w:t>
      </w:r>
    </w:p>
    <w:p>
      <w:pPr>
        <w:spacing w:after="40" w:before="0"/>
      </w:pPr>
    </w:p>
    <w:tbl>
      <w:tblPr>
        <w:tblW w:type="dxa" w:w="9070"/>
        <w:tblBorders>
          <w:top w:val="single" w:color="050A30" w:sz="8"/>
          <w:left w:val="none" w:color="FFFFFF" w:sz="0"/>
          <w:bottom w:val="single" w:color="050A30" w:sz="8"/>
          <w:right w:val="none" w:color="FFFFFF" w:sz="0"/>
          <w:insideH w:val="single" w:color="D6D9E1" w:sz="4"/>
          <w:insideV w:val="none" w:color="FFFFFF" w:sz="0"/>
        </w:tblBorders>
        <w:tblLayout w:type="fixed"/>
      </w:tblPr>
      <w:tblGrid>
        <w:gridCol w:w="3200"/>
        <w:gridCol w:w="5870"/>
      </w:tblGrid>
      <w:tr>
        <w:trPr>
          <w:tblHeader/>
        </w:trPr>
        <w:tc>
          <w:tcPr>
            <w:tcW w:type="dxa" w:w="3200"/>
            <w:tcMar>
              <w:top w:type="dxa" w:w="90"/>
              <w:left w:type="dxa" w:w="0"/>
              <w:bottom w:type="dxa" w:w="90"/>
              <w:right w:type="dxa" w:w="120"/>
            </w:tcMar>
            <w:vAlign w:val="center"/>
          </w:tcPr>
          <w:p>
            <w:pPr>
              <w:spacing w:after="0" w:line="264" w:lineRule="auto"/>
            </w:pPr>
            <w:r>
              <w:rPr>
                <w:b/>
                <w:bCs/>
                <w:color w:val="6B7080"/>
                <w:spacing w:val="20"/>
                <w:sz w:val="15"/>
                <w:szCs w:val="15"/>
              </w:rPr>
              <w:t xml:space="preserve">KENNZAHL</w:t>
            </w:r>
          </w:p>
        </w:tc>
        <w:tc>
          <w:tcPr>
            <w:tcW w:type="dxa" w:w="5870"/>
            <w:tcMar>
              <w:top w:type="dxa" w:w="90"/>
              <w:left w:type="dxa" w:w="120"/>
              <w:bottom w:type="dxa" w:w="90"/>
              <w:right w:type="dxa" w:w="120"/>
            </w:tcMar>
            <w:vAlign w:val="center"/>
          </w:tcPr>
          <w:p>
            <w:pPr>
              <w:spacing w:after="0" w:line="264" w:lineRule="auto"/>
            </w:pPr>
            <w:r>
              <w:rPr>
                <w:b/>
                <w:bCs/>
                <w:color w:val="6B7080"/>
                <w:spacing w:val="20"/>
                <w:sz w:val="15"/>
                <w:szCs w:val="15"/>
              </w:rPr>
              <w:t xml:space="preserve">WAS GEMESSEN WIRD</w:t>
            </w:r>
          </w:p>
        </w:tc>
      </w:tr>
      <w:tr>
        <w:trPr>
          <w:cantSplit/>
        </w:trPr>
        <w:tc>
          <w:tcPr>
            <w:tcW w:type="dxa" w:w="3200"/>
            <w:tcMar>
              <w:top w:type="dxa" w:w="90"/>
              <w:left w:type="dxa" w:w="0"/>
              <w:bottom w:type="dxa" w:w="90"/>
              <w:right w:type="dxa" w:w="120"/>
            </w:tcMar>
            <w:vAlign w:val="center"/>
          </w:tcPr>
          <w:p>
            <w:pPr>
              <w:spacing w:after="0" w:line="264" w:lineRule="auto"/>
            </w:pPr>
            <w:r>
              <w:rPr>
                <w:b/>
                <w:bCs/>
                <w:color w:val="050A30"/>
                <w:sz w:val="19"/>
                <w:szCs w:val="19"/>
              </w:rPr>
              <w:t xml:space="preserve">Durchschnittliches Softwarealter</w:t>
            </w:r>
          </w:p>
        </w:tc>
        <w:tc>
          <w:tcPr>
            <w:tcW w:type="dxa" w:w="5870"/>
            <w:tcMar>
              <w:top w:type="dxa" w:w="90"/>
              <w:left w:type="dxa" w:w="120"/>
              <w:bottom w:type="dxa" w:w="90"/>
              <w:right w:type="dxa" w:w="120"/>
            </w:tcMar>
            <w:vAlign w:val="center"/>
          </w:tcPr>
          <w:p>
            <w:pPr>
              <w:spacing w:after="0" w:line="264" w:lineRule="auto"/>
            </w:pPr>
            <w:r>
              <w:rPr>
                <w:b w:val="false"/>
                <w:bCs w:val="false"/>
                <w:sz w:val="19"/>
                <w:szCs w:val="19"/>
              </w:rPr>
              <w:t xml:space="preserve">Zeit seit Erstveröffentlichung bzw. Erstinbetriebnahme</w:t>
            </w:r>
          </w:p>
        </w:tc>
      </w:tr>
      <w:tr>
        <w:trPr>
          <w:cantSplit/>
        </w:trPr>
        <w:tc>
          <w:tcPr>
            <w:tcW w:type="dxa" w:w="3200"/>
            <w:tcMar>
              <w:top w:type="dxa" w:w="90"/>
              <w:left w:type="dxa" w:w="0"/>
              <w:bottom w:type="dxa" w:w="90"/>
              <w:right w:type="dxa" w:w="120"/>
            </w:tcMar>
            <w:vAlign w:val="center"/>
          </w:tcPr>
          <w:p>
            <w:pPr>
              <w:spacing w:after="0" w:line="264" w:lineRule="auto"/>
            </w:pPr>
            <w:r>
              <w:rPr>
                <w:b/>
                <w:bCs/>
                <w:color w:val="050A30"/>
                <w:sz w:val="19"/>
                <w:szCs w:val="19"/>
              </w:rPr>
              <w:t xml:space="preserve">Code-Alter</w:t>
            </w:r>
          </w:p>
        </w:tc>
        <w:tc>
          <w:tcPr>
            <w:tcW w:type="dxa" w:w="5870"/>
            <w:tcMar>
              <w:top w:type="dxa" w:w="90"/>
              <w:left w:type="dxa" w:w="120"/>
              <w:bottom w:type="dxa" w:w="90"/>
              <w:right w:type="dxa" w:w="120"/>
            </w:tcMar>
            <w:vAlign w:val="center"/>
          </w:tcPr>
          <w:p>
            <w:pPr>
              <w:spacing w:after="0" w:line="264" w:lineRule="auto"/>
            </w:pPr>
            <w:r>
              <w:rPr>
                <w:b w:val="false"/>
                <w:bCs w:val="false"/>
                <w:sz w:val="19"/>
                <w:szCs w:val="19"/>
              </w:rPr>
              <w:t xml:space="preserve">Mittleres und medianes Alter produktiver Codezeilen laut Versionshistorie</w:t>
            </w:r>
          </w:p>
        </w:tc>
      </w:tr>
      <w:tr>
        <w:trPr>
          <w:cantSplit/>
        </w:trPr>
        <w:tc>
          <w:tcPr>
            <w:tcW w:type="dxa" w:w="3200"/>
            <w:tcMar>
              <w:top w:type="dxa" w:w="90"/>
              <w:left w:type="dxa" w:w="0"/>
              <w:bottom w:type="dxa" w:w="90"/>
              <w:right w:type="dxa" w:w="120"/>
            </w:tcMar>
            <w:vAlign w:val="center"/>
          </w:tcPr>
          <w:p>
            <w:pPr>
              <w:spacing w:after="0" w:line="264" w:lineRule="auto"/>
            </w:pPr>
            <w:r>
              <w:rPr>
                <w:b/>
                <w:bCs/>
                <w:color w:val="050A30"/>
                <w:sz w:val="19"/>
                <w:szCs w:val="19"/>
              </w:rPr>
              <w:t xml:space="preserve">Veraltete Abhängigkeiten</w:t>
            </w:r>
          </w:p>
        </w:tc>
        <w:tc>
          <w:tcPr>
            <w:tcW w:type="dxa" w:w="5870"/>
            <w:tcMar>
              <w:top w:type="dxa" w:w="90"/>
              <w:left w:type="dxa" w:w="120"/>
              <w:bottom w:type="dxa" w:w="90"/>
              <w:right w:type="dxa" w:w="120"/>
            </w:tcMar>
            <w:vAlign w:val="center"/>
          </w:tcPr>
          <w:p>
            <w:pPr>
              <w:spacing w:after="0" w:line="264" w:lineRule="auto"/>
            </w:pPr>
            <w:r>
              <w:rPr>
                <w:b w:val="false"/>
                <w:bCs w:val="false"/>
                <w:sz w:val="19"/>
                <w:szCs w:val="19"/>
              </w:rPr>
              <w:t xml:space="preserve">Anteil der Bibliotheken und Frameworks mit verfügbarem neuerem Release</w:t>
            </w:r>
          </w:p>
        </w:tc>
      </w:tr>
      <w:tr>
        <w:trPr>
          <w:cantSplit/>
        </w:trPr>
        <w:tc>
          <w:tcPr>
            <w:tcW w:type="dxa" w:w="3200"/>
            <w:tcMar>
              <w:top w:type="dxa" w:w="90"/>
              <w:left w:type="dxa" w:w="0"/>
              <w:bottom w:type="dxa" w:w="90"/>
              <w:right w:type="dxa" w:w="120"/>
            </w:tcMar>
            <w:vAlign w:val="center"/>
          </w:tcPr>
          <w:p>
            <w:pPr>
              <w:spacing w:after="0" w:line="264" w:lineRule="auto"/>
            </w:pPr>
            <w:r>
              <w:rPr>
                <w:b/>
                <w:bCs/>
                <w:color w:val="050A30"/>
                <w:sz w:val="19"/>
                <w:szCs w:val="19"/>
              </w:rPr>
              <w:t xml:space="preserve">End-of-Life-Quote</w:t>
            </w:r>
          </w:p>
        </w:tc>
        <w:tc>
          <w:tcPr>
            <w:tcW w:type="dxa" w:w="5870"/>
            <w:tcMar>
              <w:top w:type="dxa" w:w="90"/>
              <w:left w:type="dxa" w:w="120"/>
              <w:bottom w:type="dxa" w:w="90"/>
              <w:right w:type="dxa" w:w="120"/>
            </w:tcMar>
            <w:vAlign w:val="center"/>
          </w:tcPr>
          <w:p>
            <w:pPr>
              <w:spacing w:after="0" w:line="264" w:lineRule="auto"/>
            </w:pPr>
            <w:r>
              <w:rPr>
                <w:b w:val="false"/>
                <w:bCs w:val="false"/>
                <w:sz w:val="19"/>
                <w:szCs w:val="19"/>
              </w:rPr>
              <w:t xml:space="preserve">Anteil der Komponenten ohne regulären Herstellersupport</w:t>
            </w:r>
          </w:p>
        </w:tc>
      </w:tr>
      <w:tr>
        <w:trPr>
          <w:cantSplit/>
        </w:trPr>
        <w:tc>
          <w:tcPr>
            <w:tcW w:type="dxa" w:w="3200"/>
            <w:tcMar>
              <w:top w:type="dxa" w:w="90"/>
              <w:left w:type="dxa" w:w="0"/>
              <w:bottom w:type="dxa" w:w="90"/>
              <w:right w:type="dxa" w:w="120"/>
            </w:tcMar>
            <w:vAlign w:val="center"/>
          </w:tcPr>
          <w:p>
            <w:pPr>
              <w:spacing w:after="0" w:line="264" w:lineRule="auto"/>
            </w:pPr>
            <w:r>
              <w:rPr>
                <w:b/>
                <w:bCs/>
                <w:color w:val="050A30"/>
                <w:sz w:val="19"/>
                <w:szCs w:val="19"/>
              </w:rPr>
              <w:t xml:space="preserve">Kritische Exposure</w:t>
            </w:r>
          </w:p>
        </w:tc>
        <w:tc>
          <w:tcPr>
            <w:tcW w:type="dxa" w:w="5870"/>
            <w:tcMar>
              <w:top w:type="dxa" w:w="90"/>
              <w:left w:type="dxa" w:w="120"/>
              <w:bottom w:type="dxa" w:w="90"/>
              <w:right w:type="dxa" w:w="120"/>
            </w:tcMar>
            <w:vAlign w:val="center"/>
          </w:tcPr>
          <w:p>
            <w:pPr>
              <w:spacing w:after="0" w:line="264" w:lineRule="auto"/>
            </w:pPr>
            <w:r>
              <w:rPr>
                <w:b w:val="false"/>
                <w:bCs w:val="false"/>
                <w:sz w:val="19"/>
                <w:szCs w:val="19"/>
              </w:rPr>
              <w:t xml:space="preserve">Anzahl hochkritischer, tatsächlich erreichbarer Schwachstellen</w:t>
            </w:r>
          </w:p>
        </w:tc>
      </w:tr>
      <w:tr>
        <w:trPr>
          <w:cantSplit/>
        </w:trPr>
        <w:tc>
          <w:tcPr>
            <w:tcW w:type="dxa" w:w="3200"/>
            <w:tcMar>
              <w:top w:type="dxa" w:w="90"/>
              <w:left w:type="dxa" w:w="0"/>
              <w:bottom w:type="dxa" w:w="90"/>
              <w:right w:type="dxa" w:w="120"/>
            </w:tcMar>
            <w:vAlign w:val="center"/>
          </w:tcPr>
          <w:p>
            <w:pPr>
              <w:spacing w:after="0" w:line="264" w:lineRule="auto"/>
            </w:pPr>
            <w:r>
              <w:rPr>
                <w:b/>
                <w:bCs/>
                <w:color w:val="050A30"/>
                <w:sz w:val="19"/>
                <w:szCs w:val="19"/>
              </w:rPr>
              <w:t xml:space="preserve">Remediation Time</w:t>
            </w:r>
          </w:p>
        </w:tc>
        <w:tc>
          <w:tcPr>
            <w:tcW w:type="dxa" w:w="5870"/>
            <w:tcMar>
              <w:top w:type="dxa" w:w="90"/>
              <w:left w:type="dxa" w:w="120"/>
              <w:bottom w:type="dxa" w:w="90"/>
              <w:right w:type="dxa" w:w="120"/>
            </w:tcMar>
            <w:vAlign w:val="center"/>
          </w:tcPr>
          <w:p>
            <w:pPr>
              <w:spacing w:after="0" w:line="264" w:lineRule="auto"/>
            </w:pPr>
            <w:r>
              <w:rPr>
                <w:b w:val="false"/>
                <w:bCs w:val="false"/>
                <w:sz w:val="19"/>
                <w:szCs w:val="19"/>
              </w:rPr>
              <w:t xml:space="preserve">Zeit zwischen Erkennung und verifizierter Behebung</w:t>
            </w:r>
          </w:p>
        </w:tc>
      </w:tr>
    </w:tbl>
    <w:p>
      <w:pPr>
        <w:spacing w:after="120" w:before="80"/>
      </w:pPr>
      <w:r>
        <w:rPr>
          <w:i/>
          <w:iCs/>
          <w:color w:val="6B7080"/>
          <w:sz w:val="16"/>
          <w:szCs w:val="16"/>
        </w:rPr>
        <w:t xml:space="preserve">Ermittlung aus Softwareinventar, Repositories, Build-Artefakten und Komponenteninformationen. Ein gemessener KfW-Wert liegt öffentlich nicht vor; hohes Alter allein ist keine Sicherheitslücke.</w:t>
      </w:r>
    </w:p>
    <w:p>
      <w:pPr>
        <w:keepNext/>
        <w:spacing w:after="70" w:before="220"/>
      </w:pPr>
      <w:r>
        <w:rPr>
          <w:b/>
          <w:bCs/>
          <w:color w:val="6B7080"/>
          <w:spacing w:val="30"/>
          <w:sz w:val="16"/>
          <w:szCs w:val="16"/>
        </w:rPr>
        <w:t xml:space="preserve">WIRKUNG</w:t>
      </w:r>
    </w:p>
    <w:p>
      <w:pPr>
        <w:pStyle w:val="ListParagraph"/>
        <w:keepLines/>
        <w:numPr>
          <w:ilvl w:val="0"/>
          <w:numId w:val="2"/>
        </w:numPr>
        <w:spacing w:after="80" w:line="288" w:lineRule="auto"/>
      </w:pPr>
      <w:r>
        <w:rPr>
          <w:b/>
          <w:bCs/>
          <w:color w:val="050A30"/>
        </w:rPr>
        <w:t xml:space="preserve">Risikoreduktion</w:t>
      </w:r>
      <w:r>
        <w:t xml:space="preserve"> – kritische Schwachstellen und nicht unterstützte Komponenten schneller identifizieren.</w:t>
      </w:r>
    </w:p>
    <w:p>
      <w:pPr>
        <w:pStyle w:val="ListParagraph"/>
        <w:keepLines/>
        <w:numPr>
          <w:ilvl w:val="0"/>
          <w:numId w:val="2"/>
        </w:numPr>
        <w:spacing w:after="80" w:line="288" w:lineRule="auto"/>
      </w:pPr>
      <w:r>
        <w:rPr>
          <w:b/>
          <w:bCs/>
          <w:color w:val="050A30"/>
        </w:rPr>
        <w:t xml:space="preserve">Transparenz</w:t>
      </w:r>
      <w:r>
        <w:t xml:space="preserve"> – nachvollziehbarer Überblick über Alter, Wartbarkeit und Sicherheitszustand der Softwarelandschaft.</w:t>
      </w:r>
    </w:p>
    <w:p>
      <w:pPr>
        <w:pStyle w:val="ListParagraph"/>
        <w:keepLines/>
        <w:numPr>
          <w:ilvl w:val="0"/>
          <w:numId w:val="2"/>
        </w:numPr>
        <w:spacing w:after="80" w:line="288" w:lineRule="auto"/>
      </w:pPr>
      <w:r>
        <w:rPr>
          <w:b/>
          <w:bCs/>
          <w:color w:val="050A30"/>
        </w:rPr>
        <w:t xml:space="preserve">Fokus</w:t>
      </w:r>
      <w:r>
        <w:t xml:space="preserve"> – Sicherheitsprüfungen auf die risikoreichsten Anwendungen konzentrieren.</w:t>
      </w:r>
    </w:p>
    <w:p>
      <w:pPr>
        <w:pStyle w:val="ListParagraph"/>
        <w:keepLines/>
        <w:numPr>
          <w:ilvl w:val="0"/>
          <w:numId w:val="2"/>
        </w:numPr>
        <w:spacing w:after="80" w:line="288" w:lineRule="auto"/>
      </w:pPr>
      <w:r>
        <w:rPr>
          <w:b/>
          <w:bCs/>
          <w:color w:val="050A30"/>
        </w:rPr>
        <w:t xml:space="preserve">Prävention</w:t>
      </w:r>
      <w:r>
        <w:t xml:space="preserve"> – Schwachstellen regelmäßig testen und ihre Behebung verifizieren.</w:t>
      </w:r>
    </w:p>
    <w:p>
      <w:pPr>
        <w:spacing w:after="160" w:before="0"/>
      </w:pPr>
    </w:p>
    <w:tbl>
      <w:tblPr>
        <w:tblW w:type="dxa" w:w="9070"/>
        <w:tblBorders>
          <w:top w:val="none" w:color="FFFFFF" w:sz="0"/>
          <w:left w:val="none" w:color="FFFFFF" w:sz="0"/>
          <w:bottom w:val="none" w:color="FFFFFF" w:sz="0"/>
          <w:right w:val="none" w:color="FFFFFF" w:sz="0"/>
          <w:insideH w:val="single" w:color="E3E5EB" w:sz="4"/>
          <w:insideV w:val="none" w:color="FFFFFF" w:sz="0"/>
        </w:tblBorders>
        <w:tblLayout w:type="fixed"/>
      </w:tblPr>
      <w:tblGrid>
        <w:gridCol w:w="1900"/>
        <w:gridCol w:w="7170"/>
      </w:tblGrid>
      <w:tr>
        <w:trPr>
          <w:cantSplit/>
        </w:trPr>
        <w:tc>
          <w:tcPr>
            <w:tcW w:type="dxa" w:w="1900"/>
            <w:shd w:fill="F4F5F8" w:color="auto" w:val="clear"/>
            <w:tcMar>
              <w:top w:type="dxa" w:w="140"/>
              <w:left w:type="dxa" w:w="200"/>
              <w:bottom w:type="dxa" w:w="140"/>
              <w:right w:type="dxa" w:w="120"/>
            </w:tcMar>
          </w:tcPr>
          <w:p>
            <w:r>
              <w:rPr>
                <w:b/>
                <w:bCs/>
                <w:color w:val="050A30"/>
                <w:spacing w:val="20"/>
                <w:sz w:val="15"/>
                <w:szCs w:val="15"/>
              </w:rPr>
              <w:t xml:space="preserve">MESSGRÖSSEN</w:t>
            </w:r>
          </w:p>
        </w:tc>
        <w:tc>
          <w:tcPr>
            <w:tcW w:type="dxa" w:w="7170"/>
            <w:shd w:fill="F4F5F8" w:color="auto" w:val="clear"/>
            <w:tcMar>
              <w:top w:type="dxa" w:w="140"/>
              <w:left w:type="dxa" w:w="120"/>
              <w:bottom w:type="dxa" w:w="140"/>
              <w:right w:type="dxa" w:w="200"/>
            </w:tcMar>
          </w:tcPr>
          <w:p>
            <w:pPr>
              <w:spacing w:after="0" w:line="276" w:lineRule="auto"/>
            </w:pPr>
            <w:r>
              <w:rPr>
                <w:sz w:val="19"/>
                <w:szCs w:val="19"/>
              </w:rPr>
              <w:t xml:space="preserve">Anteil erfasster Anwendungen · End-of-Life-Quote · bestätigte kritische Schwachstellen · Mean Time to Remediate · Anteil erfolgreich nachgetesteter Behebungen</w:t>
            </w:r>
          </w:p>
        </w:tc>
      </w:tr>
      <w:tr>
        <w:trPr>
          <w:cantSplit/>
        </w:trPr>
        <w:tc>
          <w:tcPr>
            <w:tcW w:type="dxa" w:w="1900"/>
            <w:shd w:fill="F4F5F8" w:color="auto" w:val="clear"/>
            <w:tcMar>
              <w:top w:type="dxa" w:w="140"/>
              <w:left w:type="dxa" w:w="200"/>
              <w:bottom w:type="dxa" w:w="140"/>
              <w:right w:type="dxa" w:w="120"/>
            </w:tcMar>
          </w:tcPr>
          <w:p>
            <w:r>
              <w:rPr>
                <w:b/>
                <w:bCs/>
                <w:color w:val="050A30"/>
                <w:spacing w:val="20"/>
                <w:sz w:val="15"/>
                <w:szCs w:val="15"/>
              </w:rPr>
              <w:t xml:space="preserve">PILOTANSATZ</w:t>
            </w:r>
          </w:p>
        </w:tc>
        <w:tc>
          <w:tcPr>
            <w:tcW w:type="dxa" w:w="7170"/>
            <w:shd w:fill="F4F5F8" w:color="auto" w:val="clear"/>
            <w:tcMar>
              <w:top w:type="dxa" w:w="140"/>
              <w:left w:type="dxa" w:w="120"/>
              <w:bottom w:type="dxa" w:w="140"/>
              <w:right w:type="dxa" w:w="200"/>
            </w:tcMar>
          </w:tcPr>
          <w:p>
            <w:pPr>
              <w:spacing w:after="80" w:line="276" w:lineRule="auto"/>
            </w:pPr>
            <w:r>
              <w:rPr>
                <w:sz w:val="19"/>
                <w:szCs w:val="19"/>
              </w:rPr>
              <w:t xml:space="preserve">Analyse von 10–15 ausgewählten Anwendungen einschließlich Abhängigkeiten und Quellcodehistorie; anschließend risikobasierte Tests ausschließlich in autorisierten, isolierten Umgebungen und Vergleich mit den bisherigen Prüfverfahren.</w:t>
            </w:r>
          </w:p>
          <w:p>
            <w:pPr>
              <w:spacing w:after="0" w:line="276" w:lineRule="auto"/>
            </w:pPr>
            <w:r>
              <w:rPr>
                <w:sz w:val="19"/>
                <w:szCs w:val="19"/>
              </w:rPr>
              <w:t xml:space="preserve">Automatisierte Tests ergänzen qualifizierte manuelle Pentests; sie ersetzen insbesondere keine bedrohungsorientierten Tests (TLPT) nach DORA.</w:t>
            </w:r>
          </w:p>
        </w:tc>
      </w:tr>
    </w:tbl>
    <w:p>
      <w:pPr>
        <w:keepLines/>
        <w:pBdr>
          <w:left w:val="single" w:color="050A30" w:sz="18" w:space="12"/>
        </w:pBdr>
        <w:spacing w:after="120" w:before="280" w:line="300" w:lineRule="auto"/>
        <w:ind w:left="240"/>
      </w:pPr>
      <w:r>
        <w:rPr>
          <w:rFonts w:ascii="Cambria" w:cs="Cambria" w:eastAsia="Cambria" w:hAnsi="Cambria"/>
          <w:i/>
          <w:iCs/>
          <w:color w:val="050A30"/>
          <w:sz w:val="26"/>
          <w:szCs w:val="26"/>
        </w:rPr>
        <w:t xml:space="preserve">Nicht erst bei der nächsten Prüfung erfahren, wo Risiken bestehen – sondern kontinuierlich wissen, welche Software am dringendsten Aufmerksamkeit braucht.</w:t>
      </w:r>
    </w:p>
    <w:p>
      <w:pPr>
        <w:keepNext/>
        <w:pageBreakBefore/>
        <w:spacing w:after="60"/>
      </w:pPr>
      <w:r>
        <w:rPr>
          <w:b/>
          <w:bCs/>
          <w:color w:val="6B7080"/>
          <w:spacing w:val="30"/>
          <w:sz w:val="16"/>
          <w:szCs w:val="16"/>
        </w:rPr>
        <w:t xml:space="preserve">USE CASE 04  ·  RISK &amp; CYBER RESILIENCE</w:t>
      </w:r>
    </w:p>
    <w:p>
      <w:pPr>
        <w:keepNext/>
        <w:spacing w:after="80" w:line="264" w:lineRule="auto"/>
      </w:pPr>
      <w:r>
        <w:rPr>
          <w:rFonts w:ascii="Cambria" w:cs="Cambria" w:eastAsia="Cambria" w:hAnsi="Cambria"/>
          <w:color w:val="050A30"/>
          <w:sz w:val="40"/>
          <w:szCs w:val="40"/>
        </w:rPr>
        <w:t xml:space="preserve">Third-Party Cyber &amp; Dependency Intelligence</w:t>
      </w:r>
    </w:p>
    <w:p>
      <w:pPr>
        <w:keepNext/>
        <w:spacing w:after="160" w:line="276" w:lineRule="auto"/>
      </w:pPr>
      <w:r>
        <w:rPr>
          <w:rFonts w:ascii="Cambria" w:cs="Cambria" w:eastAsia="Cambria" w:hAnsi="Cambria"/>
          <w:i/>
          <w:iCs/>
          <w:color w:val="050A30"/>
          <w:sz w:val="24"/>
          <w:szCs w:val="24"/>
        </w:rPr>
        <w:t xml:space="preserve">Cyberrisiken verstehen, die außerhalb der eigenen IT entstehen.</w:t>
      </w:r>
    </w:p>
    <w:p>
      <w:pPr>
        <w:pBdr>
          <w:bottom w:val="single" w:color="D6D9E1" w:sz="4"/>
        </w:pBdr>
        <w:spacing w:after="80"/>
      </w:pPr>
      <w:r>
        <w:rPr>
          <w:b/>
          <w:bCs/>
          <w:color w:val="6B7080"/>
          <w:sz w:val="17"/>
          <w:szCs w:val="17"/>
        </w:rPr>
        <w:t xml:space="preserve">Zielbereich  </w:t>
      </w:r>
      <w:r>
        <w:rPr>
          <w:color w:val="6B7080"/>
          <w:sz w:val="17"/>
          <w:szCs w:val="17"/>
        </w:rPr>
        <w:t xml:space="preserve">IT-Risikomanagement · Auslagerungsmanagement · Operational Resilience</w:t>
      </w:r>
    </w:p>
    <w:p>
      <w:pPr>
        <w:keepNext/>
        <w:spacing w:after="70" w:before="220"/>
      </w:pPr>
      <w:r>
        <w:rPr>
          <w:b/>
          <w:bCs/>
          <w:color w:val="6B7080"/>
          <w:spacing w:val="30"/>
          <w:sz w:val="16"/>
          <w:szCs w:val="16"/>
        </w:rPr>
        <w:t xml:space="preserve">AUSGANGSLAGE</w:t>
      </w:r>
    </w:p>
    <w:p>
      <w:pPr>
        <w:spacing w:after="120" w:before="0" w:line="288" w:lineRule="auto"/>
      </w:pPr>
      <w:r>
        <w:t xml:space="preserve">Kritische Geschäftsprozesse hängen zunehmend von Cloud-Providern, Softwareherstellern, Rechenzentrumsdiensten und weiteren externen Partnern ab.</w:t>
      </w:r>
    </w:p>
    <w:p>
      <w:pPr>
        <w:spacing w:after="120" w:before="0" w:line="288" w:lineRule="auto"/>
      </w:pPr>
      <w:r>
        <w:t xml:space="preserve">Die EZB widmet Drittparteienrisiken und Cloud-Abhängigkeiten 2026–2028 besondere Aufmerksamkeit. DORA verlangt ein strukturiertes Management digitaler operationaler Risiken; mit den im September 2026 finalisierten EBA-Leitlinien rückt zudem das Drittparteienrisiko außerhalb des IKT-Bereichs in den Fokus.</w:t>
      </w:r>
    </w:p>
    <w:p>
      <w:pPr>
        <w:keepNext/>
        <w:spacing w:after="70" w:before="220"/>
      </w:pPr>
      <w:r>
        <w:rPr>
          <w:b/>
          <w:bCs/>
          <w:color w:val="6B7080"/>
          <w:spacing w:val="30"/>
          <w:sz w:val="16"/>
          <w:szCs w:val="16"/>
        </w:rPr>
        <w:t xml:space="preserve">DIE EIGENTLICHE HERAUSFORDERUNG</w:t>
      </w:r>
    </w:p>
    <w:p>
      <w:pPr>
        <w:spacing w:after="120" w:before="0" w:line="288" w:lineRule="auto"/>
      </w:pPr>
      <w:r>
        <w:t xml:space="preserve">Ein Dienstleisterausfall betrifft selten nur einen Vertrag. Hinter einer geschäftskritischen Anwendung stehen oft mehrere Anbieter, Subdienstleister und technische Abhängigkeiten.</w:t>
      </w:r>
    </w:p>
    <w:p>
      <w:pPr>
        <w:spacing w:after="120" w:before="0" w:line="288" w:lineRule="auto"/>
      </w:pPr>
      <w:r>
        <w:t xml:space="preserve">Die nötigen Informationen sind über Vertragsmanagement, IT-Architektur, Prozessdokumentation und Risikomanagement verteilt. Die Herausforderung besteht darin, daraus eine belastbare Gesamtsicht zu erzeugen.</w:t>
      </w:r>
    </w:p>
    <w:p>
      <w:pPr>
        <w:keepNext/>
        <w:spacing w:after="70" w:before="220"/>
      </w:pPr>
      <w:r>
        <w:rPr>
          <w:b/>
          <w:bCs/>
          <w:color w:val="6B7080"/>
          <w:spacing w:val="30"/>
          <w:sz w:val="16"/>
          <w:szCs w:val="16"/>
        </w:rPr>
        <w:t xml:space="preserve">LÖSUNGSANSATZ</w:t>
      </w:r>
    </w:p>
    <w:p>
      <w:pPr>
        <w:spacing w:after="120" w:before="0" w:line="288" w:lineRule="auto"/>
      </w:pPr>
      <w:r>
        <w:t xml:space="preserve">Ein KI-System verknüpft Auslagerungsverträge, Dienstleisterinformationen, Subunternehmerketten, IT-Architektur und kritische Geschäftsprozesse zu einem durchgängigen Abhängigkeitsmodell. Es zeigt, welche Funktionen von einem Dienstleister abhängen, welche vertraglichen Absicherungen bestehen, welche Wiederanlauf- und Exit-Optionen dokumentiert sind – und wo Nachweise oder Maßnahmen fehlen.</w:t>
      </w:r>
    </w:p>
    <w:p>
      <w:pPr>
        <w:spacing w:after="120" w:before="0" w:line="288" w:lineRule="auto"/>
      </w:pPr>
      <w:r>
        <w:rPr>
          <w:b/>
          <w:bCs/>
          <w:color w:val="050A30"/>
        </w:rPr>
        <w:t xml:space="preserve">Beispiel:</w:t>
      </w:r>
      <w:r>
        <w:t xml:space="preserve"> Meldet ein Cloud-Anbieter einen Sicherheitsvorfall, lässt sich unmittelbar eingrenzen, welche Anwendungen und kritischen Geschäftsprozesse im Abhängigkeitsmodell betroffen sein könnten.</w:t>
      </w:r>
    </w:p>
    <w:p>
      <w:pPr>
        <w:keepNext/>
        <w:spacing w:after="70" w:before="220"/>
      </w:pPr>
      <w:r>
        <w:rPr>
          <w:b/>
          <w:bCs/>
          <w:color w:val="6B7080"/>
          <w:spacing w:val="30"/>
          <w:sz w:val="16"/>
          <w:szCs w:val="16"/>
        </w:rPr>
        <w:t xml:space="preserve">WIRKUNG</w:t>
      </w:r>
    </w:p>
    <w:p>
      <w:pPr>
        <w:pStyle w:val="ListParagraph"/>
        <w:keepLines/>
        <w:numPr>
          <w:ilvl w:val="0"/>
          <w:numId w:val="2"/>
        </w:numPr>
        <w:spacing w:after="80" w:line="288" w:lineRule="auto"/>
      </w:pPr>
      <w:r>
        <w:rPr>
          <w:b/>
          <w:bCs/>
          <w:color w:val="050A30"/>
        </w:rPr>
        <w:t xml:space="preserve">Resilienz</w:t>
      </w:r>
      <w:r>
        <w:t xml:space="preserve"> – früher Überblick über kritische Abhängigkeiten und Konzentrationsrisiken.</w:t>
      </w:r>
    </w:p>
    <w:p>
      <w:pPr>
        <w:pStyle w:val="ListParagraph"/>
        <w:keepLines/>
        <w:numPr>
          <w:ilvl w:val="0"/>
          <w:numId w:val="2"/>
        </w:numPr>
        <w:spacing w:after="80" w:line="288" w:lineRule="auto"/>
      </w:pPr>
      <w:r>
        <w:rPr>
          <w:b/>
          <w:bCs/>
          <w:color w:val="050A30"/>
        </w:rPr>
        <w:t xml:space="preserve">Transparenz</w:t>
      </w:r>
      <w:r>
        <w:t xml:space="preserve"> – direkte Verbindung von Dienstleistern, Verträgen, Systemen und Prozessen.</w:t>
      </w:r>
    </w:p>
    <w:p>
      <w:pPr>
        <w:pStyle w:val="ListParagraph"/>
        <w:keepLines/>
        <w:numPr>
          <w:ilvl w:val="0"/>
          <w:numId w:val="2"/>
        </w:numPr>
        <w:spacing w:after="80" w:line="288" w:lineRule="auto"/>
      </w:pPr>
      <w:r>
        <w:rPr>
          <w:b/>
          <w:bCs/>
          <w:color w:val="050A30"/>
        </w:rPr>
        <w:t xml:space="preserve">Effizienz</w:t>
      </w:r>
      <w:r>
        <w:t xml:space="preserve"> – schnellere Betroffenheitsanalysen sowie Vorbereitung von Ausfall- und Exit-Szenarien.</w:t>
      </w:r>
    </w:p>
    <w:p>
      <w:pPr>
        <w:spacing w:after="160" w:before="0"/>
      </w:pPr>
    </w:p>
    <w:tbl>
      <w:tblPr>
        <w:tblW w:type="dxa" w:w="9070"/>
        <w:tblBorders>
          <w:top w:val="none" w:color="FFFFFF" w:sz="0"/>
          <w:left w:val="none" w:color="FFFFFF" w:sz="0"/>
          <w:bottom w:val="none" w:color="FFFFFF" w:sz="0"/>
          <w:right w:val="none" w:color="FFFFFF" w:sz="0"/>
          <w:insideH w:val="single" w:color="E3E5EB" w:sz="4"/>
          <w:insideV w:val="none" w:color="FFFFFF" w:sz="0"/>
        </w:tblBorders>
        <w:tblLayout w:type="fixed"/>
      </w:tblPr>
      <w:tblGrid>
        <w:gridCol w:w="1900"/>
        <w:gridCol w:w="7170"/>
      </w:tblGrid>
      <w:tr>
        <w:trPr>
          <w:cantSplit/>
        </w:trPr>
        <w:tc>
          <w:tcPr>
            <w:tcW w:type="dxa" w:w="1900"/>
            <w:shd w:fill="F4F5F8" w:color="auto" w:val="clear"/>
            <w:tcMar>
              <w:top w:type="dxa" w:w="140"/>
              <w:left w:type="dxa" w:w="200"/>
              <w:bottom w:type="dxa" w:w="140"/>
              <w:right w:type="dxa" w:w="120"/>
            </w:tcMar>
          </w:tcPr>
          <w:p>
            <w:r>
              <w:rPr>
                <w:b/>
                <w:bCs/>
                <w:color w:val="050A30"/>
                <w:spacing w:val="20"/>
                <w:sz w:val="15"/>
                <w:szCs w:val="15"/>
              </w:rPr>
              <w:t xml:space="preserve">MESSGRÖSSEN</w:t>
            </w:r>
          </w:p>
        </w:tc>
        <w:tc>
          <w:tcPr>
            <w:tcW w:type="dxa" w:w="7170"/>
            <w:shd w:fill="F4F5F8" w:color="auto" w:val="clear"/>
            <w:tcMar>
              <w:top w:type="dxa" w:w="140"/>
              <w:left w:type="dxa" w:w="120"/>
              <w:bottom w:type="dxa" w:w="140"/>
              <w:right w:type="dxa" w:w="200"/>
            </w:tcMar>
          </w:tcPr>
          <w:p>
            <w:pPr>
              <w:spacing w:after="0" w:line="276" w:lineRule="auto"/>
            </w:pPr>
            <w:r>
              <w:rPr>
                <w:sz w:val="19"/>
                <w:szCs w:val="19"/>
              </w:rPr>
              <w:t xml:space="preserve">Vollständigkeitsgrad kritischer Abhängigkeiten · Zeit bis zur Incident-Betroffenheitsanalyse · Anzahl ungeklärter Subdienstleisterabhängigkeiten · Anteil geprüfter Exit-Pläne</w:t>
            </w:r>
          </w:p>
        </w:tc>
      </w:tr>
      <w:tr>
        <w:trPr>
          <w:cantSplit/>
        </w:trPr>
        <w:tc>
          <w:tcPr>
            <w:tcW w:type="dxa" w:w="1900"/>
            <w:shd w:fill="F4F5F8" w:color="auto" w:val="clear"/>
            <w:tcMar>
              <w:top w:type="dxa" w:w="140"/>
              <w:left w:type="dxa" w:w="200"/>
              <w:bottom w:type="dxa" w:w="140"/>
              <w:right w:type="dxa" w:w="120"/>
            </w:tcMar>
          </w:tcPr>
          <w:p>
            <w:r>
              <w:rPr>
                <w:b/>
                <w:bCs/>
                <w:color w:val="050A30"/>
                <w:spacing w:val="20"/>
                <w:sz w:val="15"/>
                <w:szCs w:val="15"/>
              </w:rPr>
              <w:t xml:space="preserve">PILOTANSATZ</w:t>
            </w:r>
          </w:p>
        </w:tc>
        <w:tc>
          <w:tcPr>
            <w:tcW w:type="dxa" w:w="7170"/>
            <w:shd w:fill="F4F5F8" w:color="auto" w:val="clear"/>
            <w:tcMar>
              <w:top w:type="dxa" w:w="140"/>
              <w:left w:type="dxa" w:w="120"/>
              <w:bottom w:type="dxa" w:w="140"/>
              <w:right w:type="dxa" w:w="200"/>
            </w:tcMar>
          </w:tcPr>
          <w:p>
            <w:pPr>
              <w:spacing w:after="0" w:line="276" w:lineRule="auto"/>
            </w:pPr>
            <w:r>
              <w:rPr>
                <w:sz w:val="19"/>
                <w:szCs w:val="19"/>
              </w:rPr>
              <w:t xml:space="preserve">Erfassung einer geschäftskritischen Prozesskette und ihrer wichtigsten IT-Dienstleister; Aufbau eines überprüfbaren Dependency Graph aus vorhandenen Unterlagen und Validierung an einem dokumentierten Ausfallszenario.</w:t>
            </w:r>
          </w:p>
        </w:tc>
      </w:tr>
    </w:tbl>
    <w:p>
      <w:pPr>
        <w:keepLines/>
        <w:pBdr>
          <w:left w:val="single" w:color="050A30" w:sz="18" w:space="12"/>
        </w:pBdr>
        <w:spacing w:after="120" w:before="280" w:line="300" w:lineRule="auto"/>
        <w:ind w:left="240"/>
      </w:pPr>
      <w:r>
        <w:rPr>
          <w:rFonts w:ascii="Cambria" w:cs="Cambria" w:eastAsia="Cambria" w:hAnsi="Cambria"/>
          <w:i/>
          <w:iCs/>
          <w:color w:val="050A30"/>
          <w:sz w:val="26"/>
          <w:szCs w:val="26"/>
        </w:rPr>
        <w:t xml:space="preserve">Cyberresilienz endet nicht an der eigenen IT-Grenze. Entscheidend ist, welche externen Abhängigkeiten den Geschäftsbetrieb gefährden können.</w:t>
      </w:r>
    </w:p>
    <w:p>
      <w:pPr>
        <w:keepNext/>
        <w:pageBreakBefore/>
        <w:spacing w:after="60"/>
      </w:pPr>
      <w:r>
        <w:rPr>
          <w:b/>
          <w:bCs/>
          <w:color w:val="6B7080"/>
          <w:spacing w:val="30"/>
          <w:sz w:val="16"/>
          <w:szCs w:val="16"/>
        </w:rPr>
        <w:t xml:space="preserve">USE CASE 05  ·  RISK &amp; CYBER RESILIENCE</w:t>
      </w:r>
    </w:p>
    <w:p>
      <w:pPr>
        <w:keepNext/>
        <w:spacing w:after="80" w:line="264" w:lineRule="auto"/>
      </w:pPr>
      <w:r>
        <w:rPr>
          <w:rFonts w:ascii="Cambria" w:cs="Cambria" w:eastAsia="Cambria" w:hAnsi="Cambria"/>
          <w:color w:val="050A30"/>
          <w:sz w:val="40"/>
          <w:szCs w:val="40"/>
        </w:rPr>
        <w:t xml:space="preserve">Continuous Audit &amp; Control Intelligence</w:t>
      </w:r>
    </w:p>
    <w:p>
      <w:pPr>
        <w:keepNext/>
        <w:spacing w:after="160" w:line="276" w:lineRule="auto"/>
      </w:pPr>
      <w:r>
        <w:rPr>
          <w:rFonts w:ascii="Cambria" w:cs="Cambria" w:eastAsia="Cambria" w:hAnsi="Cambria"/>
          <w:i/>
          <w:iCs/>
          <w:color w:val="050A30"/>
          <w:sz w:val="24"/>
          <w:szCs w:val="24"/>
        </w:rPr>
        <w:t xml:space="preserve">Von stichprobenartigen Kontrollen zur kontinuierlichen Erkennung von Prozessabweichungen.</w:t>
      </w:r>
    </w:p>
    <w:p>
      <w:pPr>
        <w:pBdr>
          <w:bottom w:val="single" w:color="D6D9E1" w:sz="4"/>
        </w:pBdr>
        <w:spacing w:after="80"/>
      </w:pPr>
      <w:r>
        <w:rPr>
          <w:b/>
          <w:bCs/>
          <w:color w:val="6B7080"/>
          <w:sz w:val="17"/>
          <w:szCs w:val="17"/>
        </w:rPr>
        <w:t xml:space="preserve">Zielbereich  </w:t>
      </w:r>
      <w:r>
        <w:rPr>
          <w:color w:val="6B7080"/>
          <w:sz w:val="17"/>
          <w:szCs w:val="17"/>
        </w:rPr>
        <w:t xml:space="preserve">Internes Kontrollsystem · Operational Risk · Interne Revision</w:t>
      </w:r>
    </w:p>
    <w:p>
      <w:pPr>
        <w:keepNext/>
        <w:spacing w:after="70" w:before="220"/>
      </w:pPr>
      <w:r>
        <w:rPr>
          <w:b/>
          <w:bCs/>
          <w:color w:val="6B7080"/>
          <w:spacing w:val="30"/>
          <w:sz w:val="16"/>
          <w:szCs w:val="16"/>
        </w:rPr>
        <w:t xml:space="preserve">AUSGANGSLAGE</w:t>
      </w:r>
    </w:p>
    <w:p>
      <w:pPr>
        <w:spacing w:after="120" w:before="0" w:line="288" w:lineRule="auto"/>
      </w:pPr>
      <w:r>
        <w:t xml:space="preserve">Die KfW verfügt über etablierte Kontroll- und Risikomanagementprozesse. Der Finanzbericht 2025 beschreibt regelmäßige Risiko-Assessments, IKS-Kontrollen und bereichsspezifische OpRisk-Dashboards zur Überwachung risikorelevanter Vorgaben.</w:t>
      </w:r>
    </w:p>
    <w:p>
      <w:pPr>
        <w:keepNext/>
        <w:spacing w:after="70" w:before="220"/>
      </w:pPr>
      <w:r>
        <w:rPr>
          <w:b/>
          <w:bCs/>
          <w:color w:val="6B7080"/>
          <w:spacing w:val="30"/>
          <w:sz w:val="16"/>
          <w:szCs w:val="16"/>
        </w:rPr>
        <w:t xml:space="preserve">DIE EIGENTLICHE HERAUSFORDERUNG</w:t>
      </w:r>
    </w:p>
    <w:p>
      <w:pPr>
        <w:spacing w:after="120" w:before="0" w:line="288" w:lineRule="auto"/>
      </w:pPr>
      <w:r>
        <w:t xml:space="preserve">Klassische Kontrollen und Prüfungen stellen zu bestimmten Zeitpunkten fest, ob ein Prozess ordnungsgemäß funktioniert. Zwischen diesen Zeitpunkten können neue Abweichungen entstehen.</w:t>
      </w:r>
    </w:p>
    <w:p>
      <w:pPr>
        <w:spacing w:after="120" w:before="0" w:line="288" w:lineRule="auto"/>
      </w:pPr>
      <w:r>
        <w:t xml:space="preserve">Kontrollnachweise, Prozessdaten, Berechtigungen und Maßnahmenstatus liegen zudem häufig in unterschiedlichen Systemen. Die laufende Überprüfung tatsächlicher Regelkonformität ist dadurch aufwendig.</w:t>
      </w:r>
    </w:p>
    <w:p>
      <w:pPr>
        <w:keepNext/>
        <w:spacing w:after="70" w:before="220"/>
      </w:pPr>
      <w:r>
        <w:rPr>
          <w:b/>
          <w:bCs/>
          <w:color w:val="6B7080"/>
          <w:spacing w:val="30"/>
          <w:sz w:val="16"/>
          <w:szCs w:val="16"/>
        </w:rPr>
        <w:t xml:space="preserve">LÖSUNGSANSATZ</w:t>
      </w:r>
    </w:p>
    <w:p>
      <w:pPr>
        <w:spacing w:after="120" w:before="0" w:line="288" w:lineRule="auto"/>
      </w:pPr>
      <w:r>
        <w:t xml:space="preserve">Eine KI-gestützte Kontrollplattform analysiert ausgewählte Prozess- und Transaktionsdaten fortlaufend anhand definierter Kontrollregeln – etwa kritische Berechtigungsänderungen ohne Freigabe, verletzte Funktionstrennungen, ungewöhnliche manuelle Überschreibungen oder Kontrollen ohne vollständige Nachweise.</w:t>
      </w:r>
    </w:p>
    <w:p>
      <w:pPr>
        <w:spacing w:after="120" w:before="0" w:line="288" w:lineRule="auto"/>
      </w:pPr>
      <w:r>
        <w:t xml:space="preserve">Die KI ergänzt deterministische Kontrolltests, ordnet Auffälligkeiten im Prozesskontext ein und bereitet begründete Verdachtsfälle für die Kontrollverantwortlichen auf. Zudem prüft sie, ob dokumentierte Korrekturmaßnahmen durch Wirksamkeitsnachweise gedeckt sind.</w:t>
      </w:r>
    </w:p>
    <w:p>
      <w:pPr>
        <w:spacing w:after="120" w:before="0" w:line="288" w:lineRule="auto"/>
      </w:pPr>
      <w:r>
        <w:rPr>
          <w:b/>
          <w:bCs/>
          <w:color w:val="050A30"/>
        </w:rPr>
        <w:t xml:space="preserve">Abgrenzung:</w:t>
      </w:r>
      <w:r>
        <w:t xml:space="preserve"> Die operative Kontrollüberwachung bleibt bei den verantwortlichen Fach- und Kontrollfunktionen. Die Interne Revision kann die Ergebnisse unabhängig prüfen, ohne ihre Unabhängigkeit aufzugeben.</w:t>
      </w:r>
    </w:p>
    <w:p>
      <w:pPr>
        <w:keepNext/>
        <w:spacing w:after="70" w:before="220"/>
      </w:pPr>
      <w:r>
        <w:rPr>
          <w:b/>
          <w:bCs/>
          <w:color w:val="6B7080"/>
          <w:spacing w:val="30"/>
          <w:sz w:val="16"/>
          <w:szCs w:val="16"/>
        </w:rPr>
        <w:t xml:space="preserve">WIRKUNG</w:t>
      </w:r>
    </w:p>
    <w:p>
      <w:pPr>
        <w:pStyle w:val="ListParagraph"/>
        <w:keepLines/>
        <w:numPr>
          <w:ilvl w:val="0"/>
          <w:numId w:val="2"/>
        </w:numPr>
        <w:spacing w:after="80" w:line="288" w:lineRule="auto"/>
      </w:pPr>
      <w:r>
        <w:rPr>
          <w:b/>
          <w:bCs/>
          <w:color w:val="050A30"/>
        </w:rPr>
        <w:t xml:space="preserve">Früherkennung</w:t>
      </w:r>
      <w:r>
        <w:t xml:space="preserve"> – Auffälligkeiten näher am Zeitpunkt ihres Entstehens identifizieren.</w:t>
      </w:r>
    </w:p>
    <w:p>
      <w:pPr>
        <w:pStyle w:val="ListParagraph"/>
        <w:keepLines/>
        <w:numPr>
          <w:ilvl w:val="0"/>
          <w:numId w:val="2"/>
        </w:numPr>
        <w:spacing w:after="80" w:line="288" w:lineRule="auto"/>
      </w:pPr>
      <w:r>
        <w:rPr>
          <w:b/>
          <w:bCs/>
          <w:color w:val="050A30"/>
        </w:rPr>
        <w:t xml:space="preserve">Effizienz</w:t>
      </w:r>
      <w:r>
        <w:t xml:space="preserve"> – manuelle Kontrollauswertungen und Nachweiszusammenstellungen reduzieren.</w:t>
      </w:r>
    </w:p>
    <w:p>
      <w:pPr>
        <w:pStyle w:val="ListParagraph"/>
        <w:keepLines/>
        <w:numPr>
          <w:ilvl w:val="0"/>
          <w:numId w:val="2"/>
        </w:numPr>
        <w:spacing w:after="80" w:line="288" w:lineRule="auto"/>
      </w:pPr>
      <w:r>
        <w:rPr>
          <w:b/>
          <w:bCs/>
          <w:color w:val="050A30"/>
        </w:rPr>
        <w:t xml:space="preserve">Wirksamkeit</w:t>
      </w:r>
      <w:r>
        <w:t xml:space="preserve"> – transparent machen, ob Kontrollschwächen tatsächlich behoben wurden.</w:t>
      </w:r>
    </w:p>
    <w:p>
      <w:pPr>
        <w:spacing w:after="160" w:before="0"/>
      </w:pPr>
    </w:p>
    <w:tbl>
      <w:tblPr>
        <w:tblW w:type="dxa" w:w="9070"/>
        <w:tblBorders>
          <w:top w:val="none" w:color="FFFFFF" w:sz="0"/>
          <w:left w:val="none" w:color="FFFFFF" w:sz="0"/>
          <w:bottom w:val="none" w:color="FFFFFF" w:sz="0"/>
          <w:right w:val="none" w:color="FFFFFF" w:sz="0"/>
          <w:insideH w:val="single" w:color="E3E5EB" w:sz="4"/>
          <w:insideV w:val="none" w:color="FFFFFF" w:sz="0"/>
        </w:tblBorders>
        <w:tblLayout w:type="fixed"/>
      </w:tblPr>
      <w:tblGrid>
        <w:gridCol w:w="1900"/>
        <w:gridCol w:w="7170"/>
      </w:tblGrid>
      <w:tr>
        <w:trPr>
          <w:cantSplit/>
        </w:trPr>
        <w:tc>
          <w:tcPr>
            <w:tcW w:type="dxa" w:w="1900"/>
            <w:shd w:fill="F4F5F8" w:color="auto" w:val="clear"/>
            <w:tcMar>
              <w:top w:type="dxa" w:w="140"/>
              <w:left w:type="dxa" w:w="200"/>
              <w:bottom w:type="dxa" w:w="140"/>
              <w:right w:type="dxa" w:w="120"/>
            </w:tcMar>
          </w:tcPr>
          <w:p>
            <w:r>
              <w:rPr>
                <w:b/>
                <w:bCs/>
                <w:color w:val="050A30"/>
                <w:spacing w:val="20"/>
                <w:sz w:val="15"/>
                <w:szCs w:val="15"/>
              </w:rPr>
              <w:t xml:space="preserve">MESSGRÖSSEN</w:t>
            </w:r>
          </w:p>
        </w:tc>
        <w:tc>
          <w:tcPr>
            <w:tcW w:type="dxa" w:w="7170"/>
            <w:shd w:fill="F4F5F8" w:color="auto" w:val="clear"/>
            <w:tcMar>
              <w:top w:type="dxa" w:w="140"/>
              <w:left w:type="dxa" w:w="120"/>
              <w:bottom w:type="dxa" w:w="140"/>
              <w:right w:type="dxa" w:w="200"/>
            </w:tcMar>
          </w:tcPr>
          <w:p>
            <w:pPr>
              <w:spacing w:after="0" w:line="276" w:lineRule="auto"/>
            </w:pPr>
            <w:r>
              <w:rPr>
                <w:sz w:val="19"/>
                <w:szCs w:val="19"/>
              </w:rPr>
              <w:t xml:space="preserve">Bestätigte Kontrollabweichungen · Zeit bis zur Erkennung · False-Positive-Rate · Kontrollabdeckung · Zeit bis zur nachgewiesenen Maßnahmenwirksamkeit</w:t>
            </w:r>
          </w:p>
        </w:tc>
      </w:tr>
      <w:tr>
        <w:trPr>
          <w:cantSplit/>
        </w:trPr>
        <w:tc>
          <w:tcPr>
            <w:tcW w:type="dxa" w:w="1900"/>
            <w:shd w:fill="F4F5F8" w:color="auto" w:val="clear"/>
            <w:tcMar>
              <w:top w:type="dxa" w:w="140"/>
              <w:left w:type="dxa" w:w="200"/>
              <w:bottom w:type="dxa" w:w="140"/>
              <w:right w:type="dxa" w:w="120"/>
            </w:tcMar>
          </w:tcPr>
          <w:p>
            <w:r>
              <w:rPr>
                <w:b/>
                <w:bCs/>
                <w:color w:val="050A30"/>
                <w:spacing w:val="20"/>
                <w:sz w:val="15"/>
                <w:szCs w:val="15"/>
              </w:rPr>
              <w:t xml:space="preserve">PILOTANSATZ</w:t>
            </w:r>
          </w:p>
        </w:tc>
        <w:tc>
          <w:tcPr>
            <w:tcW w:type="dxa" w:w="7170"/>
            <w:shd w:fill="F4F5F8" w:color="auto" w:val="clear"/>
            <w:tcMar>
              <w:top w:type="dxa" w:w="140"/>
              <w:left w:type="dxa" w:w="120"/>
              <w:bottom w:type="dxa" w:w="140"/>
              <w:right w:type="dxa" w:w="200"/>
            </w:tcMar>
          </w:tcPr>
          <w:p>
            <w:pPr>
              <w:spacing w:after="0" w:line="276" w:lineRule="auto"/>
            </w:pPr>
            <w:r>
              <w:rPr>
                <w:sz w:val="19"/>
                <w:szCs w:val="19"/>
              </w:rPr>
              <w:t xml:space="preserve">Auswahl von zwei bis drei klar definierten Kontrollen mit historischen Daten, z. B. im Berechtigungs- oder Freigabemanagement; Parallelbetrieb zum bestehenden Verfahren und fachliche Validierung der Ergebnisse.</w:t>
            </w:r>
          </w:p>
        </w:tc>
      </w:tr>
    </w:tbl>
    <w:p>
      <w:pPr>
        <w:keepLines/>
        <w:pBdr>
          <w:left w:val="single" w:color="050A30" w:sz="18" w:space="12"/>
        </w:pBdr>
        <w:spacing w:after="120" w:before="280" w:line="300" w:lineRule="auto"/>
        <w:ind w:left="240"/>
      </w:pPr>
      <w:r>
        <w:rPr>
          <w:rFonts w:ascii="Cambria" w:cs="Cambria" w:eastAsia="Cambria" w:hAnsi="Cambria"/>
          <w:i/>
          <w:iCs/>
          <w:color w:val="050A30"/>
          <w:sz w:val="26"/>
          <w:szCs w:val="26"/>
        </w:rPr>
        <w:t xml:space="preserve">Kontrollen sollten Risiken sichtbar machen, wenn sie entstehen – nicht erst, wenn die nächste Prüfung beginnt.</w:t>
      </w:r>
    </w:p>
    <w:p>
      <w:pPr>
        <w:keepNext/>
        <w:pageBreakBefore/>
        <w:spacing w:after="60"/>
      </w:pPr>
      <w:r>
        <w:rPr>
          <w:b/>
          <w:bCs/>
          <w:color w:val="6B7080"/>
          <w:spacing w:val="30"/>
          <w:sz w:val="16"/>
          <w:szCs w:val="16"/>
        </w:rPr>
        <w:t xml:space="preserve">USE CASE 06  ·  RISK &amp; CYBER RESILIENCE</w:t>
      </w:r>
    </w:p>
    <w:p>
      <w:pPr>
        <w:keepNext/>
        <w:spacing w:after="80" w:line="264" w:lineRule="auto"/>
      </w:pPr>
      <w:r>
        <w:rPr>
          <w:rFonts w:ascii="Cambria" w:cs="Cambria" w:eastAsia="Cambria" w:hAnsi="Cambria"/>
          <w:color w:val="050A30"/>
          <w:sz w:val="40"/>
          <w:szCs w:val="40"/>
        </w:rPr>
        <w:t xml:space="preserve">Project Finance Early Warning Intelligence</w:t>
      </w:r>
    </w:p>
    <w:p>
      <w:pPr>
        <w:keepNext/>
        <w:spacing w:after="160" w:line="276" w:lineRule="auto"/>
      </w:pPr>
      <w:r>
        <w:rPr>
          <w:rFonts w:ascii="Cambria" w:cs="Cambria" w:eastAsia="Cambria" w:hAnsi="Cambria"/>
          <w:i/>
          <w:iCs/>
          <w:color w:val="050A30"/>
          <w:sz w:val="24"/>
          <w:szCs w:val="24"/>
        </w:rPr>
        <w:t xml:space="preserve">Kritische Entwicklungen in internationalen Finanzierungsprojekten frühzeitig erkennen.</w:t>
      </w:r>
    </w:p>
    <w:p>
      <w:pPr>
        <w:pBdr>
          <w:bottom w:val="single" w:color="D6D9E1" w:sz="4"/>
        </w:pBdr>
        <w:spacing w:after="80"/>
      </w:pPr>
      <w:r>
        <w:rPr>
          <w:b/>
          <w:bCs/>
          <w:color w:val="6B7080"/>
          <w:sz w:val="17"/>
          <w:szCs w:val="17"/>
        </w:rPr>
        <w:t xml:space="preserve">Zielbereich  </w:t>
      </w:r>
      <w:r>
        <w:rPr>
          <w:color w:val="6B7080"/>
          <w:sz w:val="17"/>
          <w:szCs w:val="17"/>
        </w:rPr>
        <w:t xml:space="preserve">KfW IPEX-Bank · Kreditrisikomanagement · Portfoliomanagement</w:t>
      </w:r>
    </w:p>
    <w:p>
      <w:pPr>
        <w:keepNext/>
        <w:spacing w:after="70" w:before="220"/>
      </w:pPr>
      <w:r>
        <w:rPr>
          <w:b/>
          <w:bCs/>
          <w:color w:val="6B7080"/>
          <w:spacing w:val="30"/>
          <w:sz w:val="16"/>
          <w:szCs w:val="16"/>
        </w:rPr>
        <w:t xml:space="preserve">AUSGANGSLAGE</w:t>
      </w:r>
    </w:p>
    <w:p>
      <w:pPr>
        <w:spacing w:after="120" w:before="0" w:line="288" w:lineRule="auto"/>
      </w:pPr>
      <w:r>
        <w:t xml:space="preserve">Die KfW IPEX-Bank finanziert langfristige, komplexe Vorhaben in Energie, Mobilität und Infrastruktur; Ende 2025 lag ihr Kreditvolumen im Bestand bei 88,9 Mrd. €.</w:t>
      </w:r>
    </w:p>
    <w:p>
      <w:pPr>
        <w:spacing w:after="120" w:before="0" w:line="288" w:lineRule="auto"/>
      </w:pPr>
      <w:r>
        <w:t xml:space="preserve">Über lange Laufzeiten können Verzögerungen, Kostensteigerungen, regulatorische Änderungen, Marktveränderungen oder operative Ereignisse die wirtschaftlichen Rahmenbedingungen eines Projekts verändern.</w:t>
      </w:r>
    </w:p>
    <w:p>
      <w:pPr>
        <w:keepNext/>
        <w:spacing w:after="70" w:before="220"/>
      </w:pPr>
      <w:r>
        <w:rPr>
          <w:b/>
          <w:bCs/>
          <w:color w:val="6B7080"/>
          <w:spacing w:val="30"/>
          <w:sz w:val="16"/>
          <w:szCs w:val="16"/>
        </w:rPr>
        <w:t xml:space="preserve">DIE EIGENTLICHE HERAUSFORDERUNG</w:t>
      </w:r>
    </w:p>
    <w:p>
      <w:pPr>
        <w:spacing w:after="120" w:before="0" w:line="288" w:lineRule="auto"/>
      </w:pPr>
      <w:r>
        <w:t xml:space="preserve">Die relevanten Informationen stammen aus Finanzberichten, Baufortschrittsmeldungen, Vertrags- und Covenant-Dokumentation, Marktdaten und Fachanalysen.</w:t>
      </w:r>
    </w:p>
    <w:p>
      <w:pPr>
        <w:spacing w:after="120" w:before="0" w:line="288" w:lineRule="auto"/>
      </w:pPr>
      <w:r>
        <w:t xml:space="preserve">Kritische Entwicklungen kündigen sich meist durch mehrere zunächst kleine Signale an. Diese in einen gemeinsamen Risikokontext einzuordnen, ist in umfangreichen Portfolios arbeitsintensiv.</w:t>
      </w:r>
    </w:p>
    <w:p>
      <w:pPr>
        <w:keepNext/>
        <w:spacing w:after="70" w:before="220"/>
      </w:pPr>
      <w:r>
        <w:rPr>
          <w:b/>
          <w:bCs/>
          <w:color w:val="6B7080"/>
          <w:spacing w:val="30"/>
          <w:sz w:val="16"/>
          <w:szCs w:val="16"/>
        </w:rPr>
        <w:t xml:space="preserve">LÖSUNGSANSATZ</w:t>
      </w:r>
    </w:p>
    <w:p>
      <w:pPr>
        <w:spacing w:after="120" w:before="0" w:line="288" w:lineRule="auto"/>
      </w:pPr>
      <w:r>
        <w:t xml:space="preserve">Ein KI-System führt strukturierte Finanz- und Projektdaten mit Dokumenten und externen Risikosignalen zusammen. Es identifiziert Entwicklungen, die auf eine Verschlechterung des Projektprofils hindeuten, und zeigt mögliche Auswirkungen auf Finanzierungskonditionen und Covenants.</w:t>
      </w:r>
    </w:p>
    <w:p>
      <w:pPr>
        <w:spacing w:after="120" w:before="0" w:line="288" w:lineRule="auto"/>
      </w:pPr>
      <w:r>
        <w:rPr>
          <w:b/>
          <w:bCs/>
          <w:color w:val="050A30"/>
        </w:rPr>
        <w:t xml:space="preserve">Beispiel:</w:t>
      </w:r>
      <w:r>
        <w:t xml:space="preserve"> Ein Infrastrukturprojekt meldet eine Bauverzögerung, zugleich steigen relevante Beschaffungskosten und ein Auftragnehmer passt seine Prognose an. Die KI verbindet diese Signale mit dem Finanzierungsmodell und zeigt, welche Annahmen und Verpflichtungen überprüft werden sollten.</w:t>
      </w:r>
    </w:p>
    <w:p>
      <w:pPr>
        <w:spacing w:after="120" w:before="0" w:line="288" w:lineRule="auto"/>
      </w:pPr>
      <w:r>
        <w:t xml:space="preserve">Cashflow-, Deckungsgrad- und Risikoberechnungen erfolgen weiterhin in den dafür validierten Modellen.</w:t>
      </w:r>
    </w:p>
    <w:p>
      <w:pPr>
        <w:keepNext/>
        <w:spacing w:after="70" w:before="220"/>
      </w:pPr>
      <w:r>
        <w:rPr>
          <w:b/>
          <w:bCs/>
          <w:color w:val="6B7080"/>
          <w:spacing w:val="30"/>
          <w:sz w:val="16"/>
          <w:szCs w:val="16"/>
        </w:rPr>
        <w:t xml:space="preserve">WIRKUNG</w:t>
      </w:r>
    </w:p>
    <w:p>
      <w:pPr>
        <w:pStyle w:val="ListParagraph"/>
        <w:keepLines/>
        <w:numPr>
          <w:ilvl w:val="0"/>
          <w:numId w:val="2"/>
        </w:numPr>
        <w:spacing w:after="80" w:line="288" w:lineRule="auto"/>
      </w:pPr>
      <w:r>
        <w:rPr>
          <w:b/>
          <w:bCs/>
          <w:color w:val="050A30"/>
        </w:rPr>
        <w:t xml:space="preserve">Risikofrüherkennung</w:t>
      </w:r>
      <w:r>
        <w:t xml:space="preserve"> – relevante Veränderungen systematischer erkennen.</w:t>
      </w:r>
    </w:p>
    <w:p>
      <w:pPr>
        <w:pStyle w:val="ListParagraph"/>
        <w:keepLines/>
        <w:numPr>
          <w:ilvl w:val="0"/>
          <w:numId w:val="2"/>
        </w:numPr>
        <w:spacing w:after="80" w:line="288" w:lineRule="auto"/>
      </w:pPr>
      <w:r>
        <w:rPr>
          <w:b/>
          <w:bCs/>
          <w:color w:val="050A30"/>
        </w:rPr>
        <w:t xml:space="preserve">Effizienz</w:t>
      </w:r>
      <w:r>
        <w:t xml:space="preserve"> – Finanzierungs- und Projektberichte schneller auswerten.</w:t>
      </w:r>
    </w:p>
    <w:p>
      <w:pPr>
        <w:pStyle w:val="ListParagraph"/>
        <w:keepLines/>
        <w:numPr>
          <w:ilvl w:val="0"/>
          <w:numId w:val="2"/>
        </w:numPr>
        <w:spacing w:after="80" w:line="288" w:lineRule="auto"/>
      </w:pPr>
      <w:r>
        <w:rPr>
          <w:b/>
          <w:bCs/>
          <w:color w:val="050A30"/>
        </w:rPr>
        <w:t xml:space="preserve">Wirtschaftlichkeit</w:t>
      </w:r>
      <w:r>
        <w:t xml:space="preserve"> – frühere Maßnahmen können Kreditverluste begrenzen und die Portfoliosteuerung verbessern.</w:t>
      </w:r>
    </w:p>
    <w:p>
      <w:pPr>
        <w:spacing w:after="160" w:before="0"/>
      </w:pPr>
    </w:p>
    <w:tbl>
      <w:tblPr>
        <w:tblW w:type="dxa" w:w="9070"/>
        <w:tblBorders>
          <w:top w:val="none" w:color="FFFFFF" w:sz="0"/>
          <w:left w:val="none" w:color="FFFFFF" w:sz="0"/>
          <w:bottom w:val="none" w:color="FFFFFF" w:sz="0"/>
          <w:right w:val="none" w:color="FFFFFF" w:sz="0"/>
          <w:insideH w:val="single" w:color="E3E5EB" w:sz="4"/>
          <w:insideV w:val="none" w:color="FFFFFF" w:sz="0"/>
        </w:tblBorders>
        <w:tblLayout w:type="fixed"/>
      </w:tblPr>
      <w:tblGrid>
        <w:gridCol w:w="1900"/>
        <w:gridCol w:w="7170"/>
      </w:tblGrid>
      <w:tr>
        <w:trPr>
          <w:cantSplit/>
        </w:trPr>
        <w:tc>
          <w:tcPr>
            <w:tcW w:type="dxa" w:w="1900"/>
            <w:shd w:fill="F4F5F8" w:color="auto" w:val="clear"/>
            <w:tcMar>
              <w:top w:type="dxa" w:w="140"/>
              <w:left w:type="dxa" w:w="200"/>
              <w:bottom w:type="dxa" w:w="140"/>
              <w:right w:type="dxa" w:w="120"/>
            </w:tcMar>
          </w:tcPr>
          <w:p>
            <w:r>
              <w:rPr>
                <w:b/>
                <w:bCs/>
                <w:color w:val="050A30"/>
                <w:spacing w:val="20"/>
                <w:sz w:val="15"/>
                <w:szCs w:val="15"/>
              </w:rPr>
              <w:t xml:space="preserve">MESSGRÖSSEN</w:t>
            </w:r>
          </w:p>
        </w:tc>
        <w:tc>
          <w:tcPr>
            <w:tcW w:type="dxa" w:w="7170"/>
            <w:shd w:fill="F4F5F8" w:color="auto" w:val="clear"/>
            <w:tcMar>
              <w:top w:type="dxa" w:w="140"/>
              <w:left w:type="dxa" w:w="120"/>
              <w:bottom w:type="dxa" w:w="140"/>
              <w:right w:type="dxa" w:w="200"/>
            </w:tcMar>
          </w:tcPr>
          <w:p>
            <w:pPr>
              <w:spacing w:after="0" w:line="276" w:lineRule="auto"/>
            </w:pPr>
            <w:r>
              <w:rPr>
                <w:sz w:val="19"/>
                <w:szCs w:val="19"/>
              </w:rPr>
              <w:t xml:space="preserve">Vorwarnzeit vor kritischen Kreditereignissen · Precision und Recall der Alerts · Stunden je Kreditreview · rechtzeitig erkannte Covenant-Verstöße · ggf. zurechenbar vermiedene Verluste</w:t>
            </w:r>
          </w:p>
        </w:tc>
      </w:tr>
      <w:tr>
        <w:trPr>
          <w:cantSplit/>
        </w:trPr>
        <w:tc>
          <w:tcPr>
            <w:tcW w:type="dxa" w:w="1900"/>
            <w:shd w:fill="F4F5F8" w:color="auto" w:val="clear"/>
            <w:tcMar>
              <w:top w:type="dxa" w:w="140"/>
              <w:left w:type="dxa" w:w="200"/>
              <w:bottom w:type="dxa" w:w="140"/>
              <w:right w:type="dxa" w:w="120"/>
            </w:tcMar>
          </w:tcPr>
          <w:p>
            <w:r>
              <w:rPr>
                <w:b/>
                <w:bCs/>
                <w:color w:val="050A30"/>
                <w:spacing w:val="20"/>
                <w:sz w:val="15"/>
                <w:szCs w:val="15"/>
              </w:rPr>
              <w:t xml:space="preserve">PILOTANSATZ</w:t>
            </w:r>
          </w:p>
        </w:tc>
        <w:tc>
          <w:tcPr>
            <w:tcW w:type="dxa" w:w="7170"/>
            <w:shd w:fill="F4F5F8" w:color="auto" w:val="clear"/>
            <w:tcMar>
              <w:top w:type="dxa" w:w="140"/>
              <w:left w:type="dxa" w:w="120"/>
              <w:bottom w:type="dxa" w:w="140"/>
              <w:right w:type="dxa" w:w="200"/>
            </w:tcMar>
          </w:tcPr>
          <w:p>
            <w:pPr>
              <w:spacing w:after="0" w:line="276" w:lineRule="auto"/>
            </w:pPr>
            <w:r>
              <w:rPr>
                <w:sz w:val="19"/>
                <w:szCs w:val="19"/>
              </w:rPr>
              <w:t xml:space="preserve">Analyse von 20–30 historischen Finanzierungen mit dokumentierten Verzögerungen, Covenant-Ereignissen oder Ratingveränderungen. Die KI nutzt ausschließlich Informationen, die zum simulierten Analysezeitpunkt tatsächlich verfügbar waren.</w:t>
            </w:r>
          </w:p>
        </w:tc>
      </w:tr>
    </w:tbl>
    <w:p>
      <w:pPr>
        <w:keepLines/>
        <w:pBdr>
          <w:left w:val="single" w:color="050A30" w:sz="18" w:space="12"/>
        </w:pBdr>
        <w:spacing w:after="120" w:before="280" w:line="300" w:lineRule="auto"/>
        <w:ind w:left="240"/>
      </w:pPr>
      <w:r>
        <w:rPr>
          <w:rFonts w:ascii="Cambria" w:cs="Cambria" w:eastAsia="Cambria" w:hAnsi="Cambria"/>
          <w:i/>
          <w:iCs/>
          <w:color w:val="050A30"/>
          <w:sz w:val="26"/>
          <w:szCs w:val="26"/>
        </w:rPr>
        <w:t xml:space="preserve">Nicht nur verstehen, warum ein Projekt problematisch wurde – sondern die Warnsignale so früh wie möglich erkennen.</w:t>
      </w:r>
    </w:p>
    <w:p>
      <w:pPr>
        <w:keepNext/>
        <w:pageBreakBefore/>
        <w:spacing w:after="60"/>
      </w:pPr>
      <w:r>
        <w:rPr>
          <w:b/>
          <w:bCs/>
          <w:color w:val="6B7080"/>
          <w:spacing w:val="30"/>
          <w:sz w:val="16"/>
          <w:szCs w:val="16"/>
        </w:rPr>
        <w:t xml:space="preserve">USE CASE 07  ·  COMMERCIAL PERFORMANCE</w:t>
      </w:r>
    </w:p>
    <w:p>
      <w:pPr>
        <w:keepNext/>
        <w:spacing w:after="80" w:line="264" w:lineRule="auto"/>
      </w:pPr>
      <w:r>
        <w:rPr>
          <w:rFonts w:ascii="Cambria" w:cs="Cambria" w:eastAsia="Cambria" w:hAnsi="Cambria"/>
          <w:color w:val="050A30"/>
          <w:sz w:val="40"/>
          <w:szCs w:val="40"/>
        </w:rPr>
        <w:t xml:space="preserve">Export Finance Structuring Intelligence</w:t>
      </w:r>
    </w:p>
    <w:p>
      <w:pPr>
        <w:keepNext/>
        <w:spacing w:after="160" w:line="276" w:lineRule="auto"/>
      </w:pPr>
      <w:r>
        <w:rPr>
          <w:rFonts w:ascii="Cambria" w:cs="Cambria" w:eastAsia="Cambria" w:hAnsi="Cambria"/>
          <w:i/>
          <w:iCs/>
          <w:color w:val="050A30"/>
          <w:sz w:val="24"/>
          <w:szCs w:val="24"/>
        </w:rPr>
        <w:t xml:space="preserve">Neue Finanzierungsmöglichkeiten erkennen und zusätzliche Mandate erschließen.</w:t>
      </w:r>
    </w:p>
    <w:p>
      <w:pPr>
        <w:pBdr>
          <w:bottom w:val="single" w:color="D6D9E1" w:sz="4"/>
        </w:pBdr>
        <w:spacing w:after="80"/>
      </w:pPr>
      <w:r>
        <w:rPr>
          <w:b/>
          <w:bCs/>
          <w:color w:val="6B7080"/>
          <w:sz w:val="17"/>
          <w:szCs w:val="17"/>
        </w:rPr>
        <w:t xml:space="preserve">Zielbereich  </w:t>
      </w:r>
      <w:r>
        <w:rPr>
          <w:color w:val="6B7080"/>
          <w:sz w:val="17"/>
          <w:szCs w:val="17"/>
        </w:rPr>
        <w:t xml:space="preserve">KfW IPEX-Bank · Export- und Projektfinanzierung · ECA Structuring</w:t>
      </w:r>
    </w:p>
    <w:p>
      <w:pPr>
        <w:keepNext/>
        <w:spacing w:after="70" w:before="220"/>
      </w:pPr>
      <w:r>
        <w:rPr>
          <w:b/>
          <w:bCs/>
          <w:color w:val="6B7080"/>
          <w:spacing w:val="30"/>
          <w:sz w:val="16"/>
          <w:szCs w:val="16"/>
        </w:rPr>
        <w:t xml:space="preserve">AUSGANGSLAGE</w:t>
      </w:r>
    </w:p>
    <w:p>
      <w:pPr>
        <w:spacing w:after="120" w:before="0" w:line="288" w:lineRule="auto"/>
      </w:pPr>
      <w:r>
        <w:t xml:space="preserve">Die KfW IPEX-Bank ist ein etablierter Spezialist für Exportfinanzierungen; 2025 lag das ECA-Transaktionsvolumen bei rund 4,4 Mrd. €. Nach eigener Darstellung hat sich die ECA-Produktlandschaft erheblich verändert, zahlreiche neue Deckungsprodukte sind entstanden. Ein KI-Projekt zur Dokumentenanalyse wurde bereits gestartet.</w:t>
      </w:r>
    </w:p>
    <w:p>
      <w:pPr>
        <w:keepNext/>
        <w:spacing w:after="70" w:before="220"/>
      </w:pPr>
      <w:r>
        <w:rPr>
          <w:b/>
          <w:bCs/>
          <w:color w:val="6B7080"/>
          <w:spacing w:val="30"/>
          <w:sz w:val="16"/>
          <w:szCs w:val="16"/>
        </w:rPr>
        <w:t xml:space="preserve">DIE EIGENTLICHE HERAUSFORDERUNG</w:t>
      </w:r>
    </w:p>
    <w:p>
      <w:pPr>
        <w:spacing w:after="120" w:before="0" w:line="288" w:lineRule="auto"/>
      </w:pPr>
      <w:r>
        <w:t xml:space="preserve">Bei komplexen internationalen Vorhaben ist die optimale Struktur selten offensichtlich. Exportkreditagenturen bieten unterschiedliche Produkte und Deckungsbedingungen, deren Anwendbarkeit von Projektdetails, Ländern, Lieferketten, Risikokonstellationen und Förderkriterien abhängt.</w:t>
      </w:r>
    </w:p>
    <w:p>
      <w:pPr>
        <w:spacing w:after="120" w:before="0" w:line="288" w:lineRule="auto"/>
      </w:pPr>
      <w:r>
        <w:t xml:space="preserve">Wer diese Informationen schneller auswertet, erkennt zusätzliche Strukturierungsoptionen, qualifiziert attraktive Mandate früher und schließt effizienter ab.</w:t>
      </w:r>
    </w:p>
    <w:p>
      <w:pPr>
        <w:keepNext/>
        <w:spacing w:after="70" w:before="220"/>
      </w:pPr>
      <w:r>
        <w:rPr>
          <w:b/>
          <w:bCs/>
          <w:color w:val="6B7080"/>
          <w:spacing w:val="30"/>
          <w:sz w:val="16"/>
          <w:szCs w:val="16"/>
        </w:rPr>
        <w:t xml:space="preserve">LÖSUNGSANSATZ</w:t>
      </w:r>
    </w:p>
    <w:p>
      <w:pPr>
        <w:spacing w:after="120" w:before="0" w:line="288" w:lineRule="auto"/>
      </w:pPr>
      <w:r>
        <w:t xml:space="preserve">Ein KI-System analysiert neue Finanzierungsanfragen anhand relevanter ECA-Deckungsbedingungen, Projektmerkmale und historischer Transaktionsstrukturen. Es entwickelt für die Strukturierungsexpertinnen und -experten begründete Finanzierungsoptionen, vergleicht wesentliche Voraussetzungen und unterstützt die Bewertung von Risikoaufteilung und wirtschaftlicher Attraktivität – bewusst über die begonnene Dokumentenanalyse hinaus.</w:t>
      </w:r>
    </w:p>
    <w:p>
      <w:pPr>
        <w:keepNext/>
        <w:spacing w:after="70" w:before="220"/>
      </w:pPr>
      <w:r>
        <w:rPr>
          <w:b/>
          <w:bCs/>
          <w:color w:val="6B7080"/>
          <w:spacing w:val="30"/>
          <w:sz w:val="16"/>
          <w:szCs w:val="16"/>
        </w:rPr>
        <w:t xml:space="preserve">WIRKUNG</w:t>
      </w:r>
    </w:p>
    <w:p>
      <w:pPr>
        <w:pStyle w:val="ListParagraph"/>
        <w:keepLines/>
        <w:numPr>
          <w:ilvl w:val="0"/>
          <w:numId w:val="2"/>
        </w:numPr>
        <w:spacing w:after="80" w:line="288" w:lineRule="auto"/>
      </w:pPr>
      <w:r>
        <w:rPr>
          <w:b/>
          <w:bCs/>
          <w:color w:val="050A30"/>
        </w:rPr>
        <w:t xml:space="preserve">Ertragswachstum</w:t>
      </w:r>
      <w:r>
        <w:t xml:space="preserve"> – zusätzliche Finanzierungs- und Strukturierungsmandate.</w:t>
      </w:r>
    </w:p>
    <w:p>
      <w:pPr>
        <w:pStyle w:val="ListParagraph"/>
        <w:keepLines/>
        <w:numPr>
          <w:ilvl w:val="0"/>
          <w:numId w:val="2"/>
        </w:numPr>
        <w:spacing w:after="80" w:line="288" w:lineRule="auto"/>
      </w:pPr>
      <w:r>
        <w:rPr>
          <w:b/>
          <w:bCs/>
          <w:color w:val="050A30"/>
        </w:rPr>
        <w:t xml:space="preserve">Conversion</w:t>
      </w:r>
      <w:r>
        <w:t xml:space="preserve"> – höhere Abschlusswahrscheinlichkeit qualifizierter Anfragen.</w:t>
      </w:r>
    </w:p>
    <w:p>
      <w:pPr>
        <w:pStyle w:val="ListParagraph"/>
        <w:keepLines/>
        <w:numPr>
          <w:ilvl w:val="0"/>
          <w:numId w:val="2"/>
        </w:numPr>
        <w:spacing w:after="80" w:line="288" w:lineRule="auto"/>
      </w:pPr>
      <w:r>
        <w:rPr>
          <w:b/>
          <w:bCs/>
          <w:color w:val="050A30"/>
        </w:rPr>
        <w:t xml:space="preserve">Geschwindigkeit</w:t>
      </w:r>
      <w:r>
        <w:t xml:space="preserve"> – kürzere Zeit bis zum belastbaren Strukturierungsvorschlag.</w:t>
      </w:r>
    </w:p>
    <w:p>
      <w:pPr>
        <w:pStyle w:val="ListParagraph"/>
        <w:keepLines/>
        <w:numPr>
          <w:ilvl w:val="0"/>
          <w:numId w:val="2"/>
        </w:numPr>
        <w:spacing w:after="80" w:line="288" w:lineRule="auto"/>
      </w:pPr>
      <w:r>
        <w:rPr>
          <w:b/>
          <w:bCs/>
          <w:color w:val="050A30"/>
        </w:rPr>
        <w:t xml:space="preserve">Kapitaleffizienz</w:t>
      </w:r>
      <w:r>
        <w:t xml:space="preserve"> – bessere Nutzung verfügbarer Risikoabsicherungen.</w:t>
      </w:r>
    </w:p>
    <w:p>
      <w:pPr>
        <w:spacing w:after="160" w:before="0"/>
      </w:pPr>
    </w:p>
    <w:tbl>
      <w:tblPr>
        <w:tblW w:type="dxa" w:w="9070"/>
        <w:tblBorders>
          <w:top w:val="none" w:color="FFFFFF" w:sz="0"/>
          <w:left w:val="none" w:color="FFFFFF" w:sz="0"/>
          <w:bottom w:val="none" w:color="FFFFFF" w:sz="0"/>
          <w:right w:val="none" w:color="FFFFFF" w:sz="0"/>
          <w:insideH w:val="single" w:color="E3E5EB" w:sz="4"/>
          <w:insideV w:val="none" w:color="FFFFFF" w:sz="0"/>
        </w:tblBorders>
        <w:tblLayout w:type="fixed"/>
      </w:tblPr>
      <w:tblGrid>
        <w:gridCol w:w="1900"/>
        <w:gridCol w:w="7170"/>
      </w:tblGrid>
      <w:tr>
        <w:trPr>
          <w:cantSplit/>
        </w:trPr>
        <w:tc>
          <w:tcPr>
            <w:tcW w:type="dxa" w:w="1900"/>
            <w:shd w:fill="F4F5F8" w:color="auto" w:val="clear"/>
            <w:tcMar>
              <w:top w:type="dxa" w:w="140"/>
              <w:left w:type="dxa" w:w="200"/>
              <w:bottom w:type="dxa" w:w="140"/>
              <w:right w:type="dxa" w:w="120"/>
            </w:tcMar>
          </w:tcPr>
          <w:p>
            <w:r>
              <w:rPr>
                <w:b/>
                <w:bCs/>
                <w:color w:val="050A30"/>
                <w:spacing w:val="20"/>
                <w:sz w:val="15"/>
                <w:szCs w:val="15"/>
              </w:rPr>
              <w:t xml:space="preserve">MESSGRÖSSEN</w:t>
            </w:r>
          </w:p>
        </w:tc>
        <w:tc>
          <w:tcPr>
            <w:tcW w:type="dxa" w:w="7170"/>
            <w:shd w:fill="F4F5F8" w:color="auto" w:val="clear"/>
            <w:tcMar>
              <w:top w:type="dxa" w:w="140"/>
              <w:left w:type="dxa" w:w="120"/>
              <w:bottom w:type="dxa" w:w="140"/>
              <w:right w:type="dxa" w:w="200"/>
            </w:tcMar>
          </w:tcPr>
          <w:p>
            <w:pPr>
              <w:spacing w:after="0" w:line="276" w:lineRule="auto"/>
            </w:pPr>
            <w:r>
              <w:rPr>
                <w:sz w:val="19"/>
                <w:szCs w:val="19"/>
              </w:rPr>
              <w:t xml:space="preserve">Zusätzlich gewonnene Mandate · Conversion Rate · Time-to-Term-Sheet · realisierte Arrangierungs- und Beratungsgebühren · risikoadjustierter Ergebnisbeitrag</w:t>
            </w:r>
          </w:p>
        </w:tc>
      </w:tr>
      <w:tr>
        <w:trPr>
          <w:cantSplit/>
        </w:trPr>
        <w:tc>
          <w:tcPr>
            <w:tcW w:type="dxa" w:w="1900"/>
            <w:shd w:fill="F4F5F8" w:color="auto" w:val="clear"/>
            <w:tcMar>
              <w:top w:type="dxa" w:w="140"/>
              <w:left w:type="dxa" w:w="200"/>
              <w:bottom w:type="dxa" w:w="140"/>
              <w:right w:type="dxa" w:w="120"/>
            </w:tcMar>
          </w:tcPr>
          <w:p>
            <w:r>
              <w:rPr>
                <w:b/>
                <w:bCs/>
                <w:color w:val="050A30"/>
                <w:spacing w:val="20"/>
                <w:sz w:val="15"/>
                <w:szCs w:val="15"/>
              </w:rPr>
              <w:t xml:space="preserve">RECHENBEISPIEL</w:t>
            </w:r>
          </w:p>
        </w:tc>
        <w:tc>
          <w:tcPr>
            <w:tcW w:type="dxa" w:w="7170"/>
            <w:shd w:fill="F4F5F8" w:color="auto" w:val="clear"/>
            <w:tcMar>
              <w:top w:type="dxa" w:w="140"/>
              <w:left w:type="dxa" w:w="120"/>
              <w:bottom w:type="dxa" w:w="140"/>
              <w:right w:type="dxa" w:w="200"/>
            </w:tcMar>
          </w:tcPr>
          <w:p>
            <w:pPr>
              <w:spacing w:after="0" w:line="276" w:lineRule="auto"/>
            </w:pPr>
            <w:r>
              <w:rPr>
                <w:sz w:val="19"/>
                <w:szCs w:val="19"/>
              </w:rPr>
              <w:t xml:space="preserve">Ein zusätzliches Mandat mit 150 Mio. € arrangiertem Volumen bei angenommenen 20 Basispunkten Gebühr entspricht </w:t>
            </w:r>
            <w:r>
              <w:rPr>
                <w:b/>
                <w:bCs/>
                <w:color w:val="050A30"/>
                <w:sz w:val="19"/>
                <w:szCs w:val="19"/>
              </w:rPr>
              <w:t xml:space="preserve">300.000 € Brutto-Gebührenertrag</w:t>
            </w:r>
            <w:r>
              <w:rPr>
                <w:sz w:val="19"/>
                <w:szCs w:val="19"/>
              </w:rPr>
              <w:t xml:space="preserve"> – Rechenannahme, kein veröffentlichter KfW-Satz; Kosten nicht abgezogen.</w:t>
            </w:r>
          </w:p>
        </w:tc>
      </w:tr>
      <w:tr>
        <w:trPr>
          <w:cantSplit/>
        </w:trPr>
        <w:tc>
          <w:tcPr>
            <w:tcW w:type="dxa" w:w="1900"/>
            <w:shd w:fill="F4F5F8" w:color="auto" w:val="clear"/>
            <w:tcMar>
              <w:top w:type="dxa" w:w="140"/>
              <w:left w:type="dxa" w:w="200"/>
              <w:bottom w:type="dxa" w:w="140"/>
              <w:right w:type="dxa" w:w="120"/>
            </w:tcMar>
          </w:tcPr>
          <w:p>
            <w:r>
              <w:rPr>
                <w:b/>
                <w:bCs/>
                <w:color w:val="050A30"/>
                <w:spacing w:val="20"/>
                <w:sz w:val="15"/>
                <w:szCs w:val="15"/>
              </w:rPr>
              <w:t xml:space="preserve">PILOTANSATZ</w:t>
            </w:r>
          </w:p>
        </w:tc>
        <w:tc>
          <w:tcPr>
            <w:tcW w:type="dxa" w:w="7170"/>
            <w:shd w:fill="F4F5F8" w:color="auto" w:val="clear"/>
            <w:tcMar>
              <w:top w:type="dxa" w:w="140"/>
              <w:left w:type="dxa" w:w="120"/>
              <w:bottom w:type="dxa" w:w="140"/>
              <w:right w:type="dxa" w:w="200"/>
            </w:tcMar>
          </w:tcPr>
          <w:p>
            <w:pPr>
              <w:spacing w:after="0" w:line="276" w:lineRule="auto"/>
            </w:pPr>
            <w:r>
              <w:rPr>
                <w:sz w:val="19"/>
                <w:szCs w:val="19"/>
              </w:rPr>
              <w:t xml:space="preserve">Analyse von 20 historischen Finanzierungsanfragen, darunter nicht gewonnene oder nicht realisierte Mandate. Die Fachexpertinnen und -experten bewerten, ob das System zusätzliche realistische Strukturierungsoptionen identifiziert hätte.</w:t>
            </w:r>
          </w:p>
        </w:tc>
      </w:tr>
    </w:tbl>
    <w:p>
      <w:pPr>
        <w:keepLines/>
        <w:pBdr>
          <w:left w:val="single" w:color="050A30" w:sz="18" w:space="12"/>
        </w:pBdr>
        <w:spacing w:after="120" w:before="280" w:line="300" w:lineRule="auto"/>
        <w:ind w:left="240"/>
      </w:pPr>
      <w:r>
        <w:rPr>
          <w:rFonts w:ascii="Cambria" w:cs="Cambria" w:eastAsia="Cambria" w:hAnsi="Cambria"/>
          <w:i/>
          <w:iCs/>
          <w:color w:val="050A30"/>
          <w:sz w:val="26"/>
          <w:szCs w:val="26"/>
        </w:rPr>
        <w:t xml:space="preserve">KI nicht nur nutzen, um Finanzierungen schneller zu bearbeiten – sondern um Möglichkeiten zu erkennen, die sonst ungenutzt blieben.</w:t>
      </w:r>
    </w:p>
    <w:p>
      <w:pPr>
        <w:keepNext/>
        <w:pageBreakBefore/>
        <w:spacing w:after="60"/>
      </w:pPr>
      <w:r>
        <w:rPr>
          <w:b/>
          <w:bCs/>
          <w:color w:val="6B7080"/>
          <w:spacing w:val="30"/>
          <w:sz w:val="16"/>
          <w:szCs w:val="16"/>
        </w:rPr>
        <w:t xml:space="preserve">USE CASE 08  ·  COMMERCIAL PERFORMANCE</w:t>
      </w:r>
    </w:p>
    <w:p>
      <w:pPr>
        <w:keepNext/>
        <w:spacing w:after="80" w:line="264" w:lineRule="auto"/>
      </w:pPr>
      <w:r>
        <w:rPr>
          <w:rFonts w:ascii="Cambria" w:cs="Cambria" w:eastAsia="Cambria" w:hAnsi="Cambria"/>
          <w:color w:val="050A30"/>
          <w:sz w:val="40"/>
          <w:szCs w:val="40"/>
        </w:rPr>
        <w:t xml:space="preserve">Intelligent Syndication &amp; Capital Allocation</w:t>
      </w:r>
    </w:p>
    <w:p>
      <w:pPr>
        <w:keepNext/>
        <w:spacing w:after="160" w:line="276" w:lineRule="auto"/>
      </w:pPr>
      <w:r>
        <w:rPr>
          <w:rFonts w:ascii="Cambria" w:cs="Cambria" w:eastAsia="Cambria" w:hAnsi="Cambria"/>
          <w:i/>
          <w:iCs/>
          <w:color w:val="050A30"/>
          <w:sz w:val="24"/>
          <w:szCs w:val="24"/>
        </w:rPr>
        <w:t xml:space="preserve">Größere Finanzierungsvorhaben ermöglichen, ohne Risiken proportional auszuweiten.</w:t>
      </w:r>
    </w:p>
    <w:p>
      <w:pPr>
        <w:pBdr>
          <w:bottom w:val="single" w:color="D6D9E1" w:sz="4"/>
        </w:pBdr>
        <w:spacing w:after="80"/>
      </w:pPr>
      <w:r>
        <w:rPr>
          <w:b/>
          <w:bCs/>
          <w:color w:val="6B7080"/>
          <w:sz w:val="17"/>
          <w:szCs w:val="17"/>
        </w:rPr>
        <w:t xml:space="preserve">Zielbereich  </w:t>
      </w:r>
      <w:r>
        <w:rPr>
          <w:color w:val="6B7080"/>
          <w:sz w:val="17"/>
          <w:szCs w:val="17"/>
        </w:rPr>
        <w:t xml:space="preserve">KfW IPEX-Bank · Syndizierung · Treasury · Capital Management</w:t>
      </w:r>
    </w:p>
    <w:p>
      <w:pPr>
        <w:keepNext/>
        <w:spacing w:after="70" w:before="220"/>
      </w:pPr>
      <w:r>
        <w:rPr>
          <w:b/>
          <w:bCs/>
          <w:color w:val="6B7080"/>
          <w:spacing w:val="30"/>
          <w:sz w:val="16"/>
          <w:szCs w:val="16"/>
        </w:rPr>
        <w:t xml:space="preserve">AUSGANGSLAGE</w:t>
      </w:r>
    </w:p>
    <w:p>
      <w:pPr>
        <w:spacing w:after="120" w:before="0" w:line="288" w:lineRule="auto"/>
      </w:pPr>
      <w:r>
        <w:t xml:space="preserve">Großvolumige Projektfinanzierungen werden häufig gemeinsam mit anderen Kreditinstituten und institutionellen Investoren strukturiert. Die Fähigkeit, Risiken gezielt zu verteilen, entscheidet mit über die Realisierbarkeit komplexer Transaktionen. 2025 wies die KfW IPEX-Bank ein arrangiertes Syndizierungsvolumen von 6,9 Mrd. € aus.</w:t>
      </w:r>
    </w:p>
    <w:p>
      <w:pPr>
        <w:keepNext/>
        <w:spacing w:after="70" w:before="220"/>
      </w:pPr>
      <w:r>
        <w:rPr>
          <w:b/>
          <w:bCs/>
          <w:color w:val="6B7080"/>
          <w:spacing w:val="30"/>
          <w:sz w:val="16"/>
          <w:szCs w:val="16"/>
        </w:rPr>
        <w:t xml:space="preserve">DIE EIGENTLICHE HERAUSFORDERUNG</w:t>
      </w:r>
    </w:p>
    <w:p>
      <w:pPr>
        <w:spacing w:after="120" w:before="0" w:line="288" w:lineRule="auto"/>
      </w:pPr>
      <w:r>
        <w:t xml:space="preserve">Für jede Transaktion gilt es, geeignete Partner zu identifizieren, ihre Interessen einzuschätzen und alternative Risiko- und Kapitalstrukturen zu bewerten. Kreditqualität, Sektor- und Länderpräferenzen, Laufzeiten, Ticketgrößen, Geschäftsbeziehungen und Portfoliolimite wirken dabei zusammen.</w:t>
      </w:r>
    </w:p>
    <w:p>
      <w:pPr>
        <w:spacing w:after="120" w:before="0" w:line="288" w:lineRule="auto"/>
      </w:pPr>
      <w:r>
        <w:t xml:space="preserve">Diese Kombination ist komplex und zeitintensiv – und die erfolgreiche Platzierung bestimmt, wie viel zusätzliche Finanzierungskapazität frei wird.</w:t>
      </w:r>
    </w:p>
    <w:p>
      <w:pPr>
        <w:keepNext/>
        <w:spacing w:after="70" w:before="220"/>
      </w:pPr>
      <w:r>
        <w:rPr>
          <w:b/>
          <w:bCs/>
          <w:color w:val="6B7080"/>
          <w:spacing w:val="30"/>
          <w:sz w:val="16"/>
          <w:szCs w:val="16"/>
        </w:rPr>
        <w:t xml:space="preserve">LÖSUNGSANSATZ</w:t>
      </w:r>
    </w:p>
    <w:p>
      <w:pPr>
        <w:spacing w:after="120" w:before="0" w:line="288" w:lineRule="auto"/>
      </w:pPr>
      <w:r>
        <w:t xml:space="preserve">Ein KI-System analysiert historische Syndizierungen, dokumentierte Partnerpräferenzen, die aktuelle Deal-Pipeline sowie verfügbare Risiko- und Portfolioinformationen. Es identifiziert geeignete Finanzierungspartner, unterstützt die Vorbereitung individueller Ansprache und bewertet alternative Syndizierungsstrukturen.</w:t>
      </w:r>
    </w:p>
    <w:p>
      <w:pPr>
        <w:spacing w:after="120" w:before="0" w:line="288" w:lineRule="auto"/>
      </w:pPr>
      <w:r>
        <w:t xml:space="preserve">In Kombination mit bestehenden Risikomodellen lassen sich Szenarien hinsichtlich Platzierbarkeit, Kapitaleinsatz und wirtschaftlichem Ergebnis vergleichen.</w:t>
      </w:r>
    </w:p>
    <w:p>
      <w:pPr>
        <w:keepNext/>
        <w:spacing w:after="70" w:before="220"/>
      </w:pPr>
      <w:r>
        <w:rPr>
          <w:b/>
          <w:bCs/>
          <w:color w:val="6B7080"/>
          <w:spacing w:val="30"/>
          <w:sz w:val="16"/>
          <w:szCs w:val="16"/>
        </w:rPr>
        <w:t xml:space="preserve">WIRKUNG</w:t>
      </w:r>
    </w:p>
    <w:p>
      <w:pPr>
        <w:pStyle w:val="ListParagraph"/>
        <w:keepLines/>
        <w:numPr>
          <w:ilvl w:val="0"/>
          <w:numId w:val="2"/>
        </w:numPr>
        <w:spacing w:after="80" w:line="288" w:lineRule="auto"/>
      </w:pPr>
      <w:r>
        <w:rPr>
          <w:b/>
          <w:bCs/>
          <w:color w:val="050A30"/>
        </w:rPr>
        <w:t xml:space="preserve">Ertrag</w:t>
      </w:r>
      <w:r>
        <w:t xml:space="preserve"> – höhere Arrangierungs- und Finanzierungserträge.</w:t>
      </w:r>
    </w:p>
    <w:p>
      <w:pPr>
        <w:pStyle w:val="ListParagraph"/>
        <w:keepLines/>
        <w:numPr>
          <w:ilvl w:val="0"/>
          <w:numId w:val="2"/>
        </w:numPr>
        <w:spacing w:after="80" w:line="288" w:lineRule="auto"/>
      </w:pPr>
      <w:r>
        <w:rPr>
          <w:b/>
          <w:bCs/>
          <w:color w:val="050A30"/>
        </w:rPr>
        <w:t xml:space="preserve">Kapitaleffizienz</w:t>
      </w:r>
      <w:r>
        <w:t xml:space="preserve"> – optimierte Verteilung von Risiken und eingesetztem Kapital.</w:t>
      </w:r>
    </w:p>
    <w:p>
      <w:pPr>
        <w:pStyle w:val="ListParagraph"/>
        <w:keepLines/>
        <w:numPr>
          <w:ilvl w:val="0"/>
          <w:numId w:val="2"/>
        </w:numPr>
        <w:spacing w:after="80" w:line="288" w:lineRule="auto"/>
      </w:pPr>
      <w:r>
        <w:rPr>
          <w:b/>
          <w:bCs/>
          <w:color w:val="050A30"/>
        </w:rPr>
        <w:t xml:space="preserve">Geschwindigkeit</w:t>
      </w:r>
      <w:r>
        <w:t xml:space="preserve"> – schnellere Vorbereitung und Umsetzung von Syndizierungen.</w:t>
      </w:r>
    </w:p>
    <w:p>
      <w:pPr>
        <w:pStyle w:val="ListParagraph"/>
        <w:keepLines/>
        <w:numPr>
          <w:ilvl w:val="0"/>
          <w:numId w:val="2"/>
        </w:numPr>
        <w:spacing w:after="80" w:line="288" w:lineRule="auto"/>
      </w:pPr>
      <w:r>
        <w:rPr>
          <w:b/>
          <w:bCs/>
          <w:color w:val="050A30"/>
        </w:rPr>
        <w:t xml:space="preserve">Wachstum</w:t>
      </w:r>
      <w:r>
        <w:t xml:space="preserve"> – zusätzliches Geschäft im Rahmen bestehender Risiko- und Kapitalvorgaben.</w:t>
      </w:r>
    </w:p>
    <w:p>
      <w:pPr>
        <w:spacing w:after="160" w:before="0"/>
      </w:pPr>
    </w:p>
    <w:tbl>
      <w:tblPr>
        <w:tblW w:type="dxa" w:w="9070"/>
        <w:tblBorders>
          <w:top w:val="none" w:color="FFFFFF" w:sz="0"/>
          <w:left w:val="none" w:color="FFFFFF" w:sz="0"/>
          <w:bottom w:val="none" w:color="FFFFFF" w:sz="0"/>
          <w:right w:val="none" w:color="FFFFFF" w:sz="0"/>
          <w:insideH w:val="single" w:color="E3E5EB" w:sz="4"/>
          <w:insideV w:val="none" w:color="FFFFFF" w:sz="0"/>
        </w:tblBorders>
        <w:tblLayout w:type="fixed"/>
      </w:tblPr>
      <w:tblGrid>
        <w:gridCol w:w="1900"/>
        <w:gridCol w:w="7170"/>
      </w:tblGrid>
      <w:tr>
        <w:trPr>
          <w:cantSplit/>
        </w:trPr>
        <w:tc>
          <w:tcPr>
            <w:tcW w:type="dxa" w:w="1900"/>
            <w:shd w:fill="F4F5F8" w:color="auto" w:val="clear"/>
            <w:tcMar>
              <w:top w:type="dxa" w:w="140"/>
              <w:left w:type="dxa" w:w="200"/>
              <w:bottom w:type="dxa" w:w="140"/>
              <w:right w:type="dxa" w:w="120"/>
            </w:tcMar>
          </w:tcPr>
          <w:p>
            <w:r>
              <w:rPr>
                <w:b/>
                <w:bCs/>
                <w:color w:val="050A30"/>
                <w:spacing w:val="20"/>
                <w:sz w:val="15"/>
                <w:szCs w:val="15"/>
              </w:rPr>
              <w:t xml:space="preserve">MESSGRÖSSEN</w:t>
            </w:r>
          </w:p>
        </w:tc>
        <w:tc>
          <w:tcPr>
            <w:tcW w:type="dxa" w:w="7170"/>
            <w:shd w:fill="F4F5F8" w:color="auto" w:val="clear"/>
            <w:tcMar>
              <w:top w:type="dxa" w:w="140"/>
              <w:left w:type="dxa" w:w="120"/>
              <w:bottom w:type="dxa" w:w="140"/>
              <w:right w:type="dxa" w:w="200"/>
            </w:tcMar>
          </w:tcPr>
          <w:p>
            <w:pPr>
              <w:spacing w:after="0" w:line="276" w:lineRule="auto"/>
            </w:pPr>
            <w:r>
              <w:rPr>
                <w:sz w:val="19"/>
                <w:szCs w:val="19"/>
              </w:rPr>
              <w:t xml:space="preserve">Time-to-Syndication · Anteil erfolgreich platzierter Tranchen · vereinnahmte Arrangierungsgebühren · risikoadjustierter Ergebnisbeitrag · gebundene Eigenmittel je Transaktion</w:t>
            </w:r>
          </w:p>
        </w:tc>
      </w:tr>
      <w:tr>
        <w:trPr>
          <w:cantSplit/>
        </w:trPr>
        <w:tc>
          <w:tcPr>
            <w:tcW w:type="dxa" w:w="1900"/>
            <w:shd w:fill="F4F5F8" w:color="auto" w:val="clear"/>
            <w:tcMar>
              <w:top w:type="dxa" w:w="140"/>
              <w:left w:type="dxa" w:w="200"/>
              <w:bottom w:type="dxa" w:w="140"/>
              <w:right w:type="dxa" w:w="120"/>
            </w:tcMar>
          </w:tcPr>
          <w:p>
            <w:r>
              <w:rPr>
                <w:b/>
                <w:bCs/>
                <w:color w:val="050A30"/>
                <w:spacing w:val="20"/>
                <w:sz w:val="15"/>
                <w:szCs w:val="15"/>
              </w:rPr>
              <w:t xml:space="preserve">PILOTANSATZ</w:t>
            </w:r>
          </w:p>
        </w:tc>
        <w:tc>
          <w:tcPr>
            <w:tcW w:type="dxa" w:w="7170"/>
            <w:shd w:fill="F4F5F8" w:color="auto" w:val="clear"/>
            <w:tcMar>
              <w:top w:type="dxa" w:w="140"/>
              <w:left w:type="dxa" w:w="120"/>
              <w:bottom w:type="dxa" w:w="140"/>
              <w:right w:type="dxa" w:w="200"/>
            </w:tcMar>
          </w:tcPr>
          <w:p>
            <w:pPr>
              <w:spacing w:after="0" w:line="276" w:lineRule="auto"/>
            </w:pPr>
            <w:r>
              <w:rPr>
                <w:sz w:val="19"/>
                <w:szCs w:val="19"/>
              </w:rPr>
              <w:t xml:space="preserve">Rekonstruktion historischer Syndizierungen mit anonymisierten Partner- und Transaktionsdaten. Die KI schlägt zusätzliche plausible Konsortialpartner und Strukturalternativen vor; Expertinnen und Experten bewerten diese ohne Kenntnis der tatsächlichen Abschlusskonstellation.</w:t>
            </w:r>
          </w:p>
        </w:tc>
      </w:tr>
    </w:tbl>
    <w:p>
      <w:pPr>
        <w:keepLines/>
        <w:pBdr>
          <w:left w:val="single" w:color="050A30" w:sz="18" w:space="12"/>
        </w:pBdr>
        <w:spacing w:after="120" w:before="280" w:line="300" w:lineRule="auto"/>
        <w:ind w:left="240"/>
      </w:pPr>
      <w:r>
        <w:rPr>
          <w:rFonts w:ascii="Cambria" w:cs="Cambria" w:eastAsia="Cambria" w:hAnsi="Cambria"/>
          <w:i/>
          <w:iCs/>
          <w:color w:val="050A30"/>
          <w:sz w:val="26"/>
          <w:szCs w:val="26"/>
        </w:rPr>
        <w:t xml:space="preserve">Durch intelligentere Risikoverteilung mehr Finanzierungsgeschäft ermöglichen – statt Wachstum allein über zusätzlichen Kapitaleinsatz.</w:t>
      </w:r>
    </w:p>
    <w:p>
      <w:r>
        <w:br w:type="page"/>
      </w:r>
    </w:p>
    <w:p>
      <w:pPr>
        <w:keepNext/>
        <w:spacing w:after="60"/>
      </w:pPr>
      <w:r>
        <w:rPr>
          <w:b/>
          <w:bCs/>
          <w:color w:val="6B7080"/>
          <w:spacing w:val="30"/>
          <w:sz w:val="16"/>
          <w:szCs w:val="16"/>
        </w:rPr>
        <w:t xml:space="preserve">04</w:t>
      </w:r>
    </w:p>
    <w:p>
      <w:pPr>
        <w:keepNext/>
        <w:pBdr>
          <w:bottom w:val="single" w:color="050A30" w:sz="6"/>
        </w:pBdr>
        <w:spacing w:after="200" w:line="264" w:lineRule="auto"/>
      </w:pPr>
      <w:r>
        <w:rPr>
          <w:rFonts w:ascii="Cambria" w:cs="Cambria" w:eastAsia="Cambria" w:hAnsi="Cambria"/>
          <w:color w:val="050A30"/>
          <w:sz w:val="40"/>
          <w:szCs w:val="40"/>
        </w:rPr>
        <w:t xml:space="preserve">Empfohlener Einstieg</w:t>
      </w:r>
    </w:p>
    <w:p>
      <w:pPr>
        <w:spacing w:after="200" w:before="0" w:line="288" w:lineRule="auto"/>
      </w:pPr>
      <w:r>
        <w:rPr>
          <w:sz w:val="22"/>
          <w:szCs w:val="22"/>
        </w:rPr>
        <w:t xml:space="preserve">Für ein erstes Gespräch empfehlen wir vier Anwendungsfälle. Sie bieten klar unterschiedliche Einstiegspunkte, adressieren verschiedene Verantwortungsbereiche und sind mit überschaubarem Aufwand pilotierbar.</w:t>
      </w:r>
    </w:p>
    <w:p>
      <w:pPr>
        <w:keepNext/>
        <w:tabs>
          <w:tab w:val="left" w:pos="700"/>
        </w:tabs>
        <w:spacing w:after="60" w:before="200"/>
      </w:pPr>
      <w:r>
        <w:rPr>
          <w:rFonts w:ascii="Cambria" w:cs="Cambria" w:eastAsia="Cambria" w:hAnsi="Cambria"/>
          <w:color w:val="6B7080"/>
          <w:sz w:val="28"/>
          <w:szCs w:val="28"/>
        </w:rPr>
        <w:t xml:space="preserve">02</w:t>
      </w:r>
      <w:r>
        <w:rPr>
          <w:rFonts w:ascii="Cambria" w:cs="Cambria" w:eastAsia="Cambria" w:hAnsi="Cambria"/>
          <w:color w:val="050A30"/>
          <w:sz w:val="26"/>
          <w:szCs w:val="26"/>
        </w:rPr>
        <w:t xml:space="preserve">	Internal Audit Reporting Intelligence</w:t>
      </w:r>
    </w:p>
    <w:p>
      <w:pPr>
        <w:spacing w:after="120" w:line="288" w:lineRule="auto"/>
        <w:ind w:left="700"/>
      </w:pPr>
      <w:r>
        <w:rPr>
          <w:sz w:val="20"/>
          <w:szCs w:val="20"/>
        </w:rPr>
        <w:t xml:space="preserve">Schnellster messbarer Effizienznachweis. Historische Prüfungen erlauben einen Pilot ohne Eingriff in laufende Prozesse.</w:t>
      </w:r>
    </w:p>
    <w:p>
      <w:pPr>
        <w:keepNext/>
        <w:tabs>
          <w:tab w:val="left" w:pos="700"/>
        </w:tabs>
        <w:spacing w:after="60" w:before="200"/>
      </w:pPr>
      <w:r>
        <w:rPr>
          <w:rFonts w:ascii="Cambria" w:cs="Cambria" w:eastAsia="Cambria" w:hAnsi="Cambria"/>
          <w:color w:val="6B7080"/>
          <w:sz w:val="28"/>
          <w:szCs w:val="28"/>
        </w:rPr>
        <w:t xml:space="preserve">03</w:t>
      </w:r>
      <w:r>
        <w:rPr>
          <w:rFonts w:ascii="Cambria" w:cs="Cambria" w:eastAsia="Cambria" w:hAnsi="Cambria"/>
          <w:color w:val="050A30"/>
          <w:sz w:val="26"/>
          <w:szCs w:val="26"/>
        </w:rPr>
        <w:t xml:space="preserve">	AI Security Testing &amp; Legacy Risk</w:t>
      </w:r>
    </w:p>
    <w:p>
      <w:pPr>
        <w:spacing w:after="120" w:line="288" w:lineRule="auto"/>
        <w:ind w:left="700"/>
      </w:pPr>
      <w:r>
        <w:rPr>
          <w:sz w:val="20"/>
          <w:szCs w:val="20"/>
        </w:rPr>
        <w:t xml:space="preserve">Adressiert unmittelbar die EZB-Schwerpunkte 2026–2028 und schafft mit dem Software &amp; Code Aging Report eine bislang fehlende Gesamtsicht.</w:t>
      </w:r>
    </w:p>
    <w:p>
      <w:pPr>
        <w:keepNext/>
        <w:tabs>
          <w:tab w:val="left" w:pos="700"/>
        </w:tabs>
        <w:spacing w:after="60" w:before="200"/>
      </w:pPr>
      <w:r>
        <w:rPr>
          <w:rFonts w:ascii="Cambria" w:cs="Cambria" w:eastAsia="Cambria" w:hAnsi="Cambria"/>
          <w:color w:val="6B7080"/>
          <w:sz w:val="28"/>
          <w:szCs w:val="28"/>
        </w:rPr>
        <w:t xml:space="preserve">01</w:t>
      </w:r>
      <w:r>
        <w:rPr>
          <w:rFonts w:ascii="Cambria" w:cs="Cambria" w:eastAsia="Cambria" w:hAnsi="Cambria"/>
          <w:color w:val="050A30"/>
          <w:sz w:val="26"/>
          <w:szCs w:val="26"/>
        </w:rPr>
        <w:t xml:space="preserve">	Regulatory Impact Intelligence</w:t>
      </w:r>
    </w:p>
    <w:p>
      <w:pPr>
        <w:spacing w:after="120" w:line="288" w:lineRule="auto"/>
        <w:ind w:left="700"/>
      </w:pPr>
      <w:r>
        <w:rPr>
          <w:sz w:val="20"/>
          <w:szCs w:val="20"/>
        </w:rPr>
        <w:t xml:space="preserve">Hoher Hebel für Compliance und Fachbereiche; retrospektiv mit bereits freigegebenen Bewertungen validierbar.</w:t>
      </w:r>
    </w:p>
    <w:p>
      <w:pPr>
        <w:keepNext/>
        <w:tabs>
          <w:tab w:val="left" w:pos="700"/>
        </w:tabs>
        <w:spacing w:after="60" w:before="200"/>
      </w:pPr>
      <w:r>
        <w:rPr>
          <w:rFonts w:ascii="Cambria" w:cs="Cambria" w:eastAsia="Cambria" w:hAnsi="Cambria"/>
          <w:color w:val="6B7080"/>
          <w:sz w:val="28"/>
          <w:szCs w:val="28"/>
        </w:rPr>
        <w:t xml:space="preserve">07</w:t>
      </w:r>
      <w:r>
        <w:rPr>
          <w:rFonts w:ascii="Cambria" w:cs="Cambria" w:eastAsia="Cambria" w:hAnsi="Cambria"/>
          <w:color w:val="050A30"/>
          <w:sz w:val="26"/>
          <w:szCs w:val="26"/>
        </w:rPr>
        <w:t xml:space="preserve">	Export Finance Structuring Intelligence</w:t>
      </w:r>
    </w:p>
    <w:p>
      <w:pPr>
        <w:spacing w:after="120" w:line="288" w:lineRule="auto"/>
        <w:ind w:left="700"/>
      </w:pPr>
      <w:r>
        <w:rPr>
          <w:sz w:val="20"/>
          <w:szCs w:val="20"/>
        </w:rPr>
        <w:t xml:space="preserve">Bewusst kommerzieller Schwerpunkt für die KfW IPEX-Bank – setzt auf dem laufenden KI-Projekt zur Dokumentenanalyse auf und zielt auf zusätzliche Mandate.</w:t>
      </w:r>
    </w:p>
    <w:p>
      <w:pPr>
        <w:spacing w:after="120"/>
      </w:pPr>
    </w:p>
    <w:p>
      <w:pPr>
        <w:spacing w:after="120" w:before="0" w:line="288" w:lineRule="auto"/>
      </w:pPr>
      <w:r>
        <w:rPr>
          <w:color w:val="6B7080"/>
        </w:rPr>
        <w:t xml:space="preserve">Die übrigen vier Anwendungsfälle – Third-Party Dependency, Continuous Audit, Project Finance Early Warning und Syndication – bauen auf denselben Fähigkeiten auf (Dokumentenverständnis, Verknüpfung heterogener Quellen, nachvollziehbare Begründung) und eignen sich als zweite Welle.</w:t>
      </w:r>
    </w:p>
    <w:p>
      <w:r>
        <w:br w:type="page"/>
      </w:r>
    </w:p>
    <w:p>
      <w:pPr>
        <w:keepNext/>
        <w:spacing w:after="60"/>
      </w:pPr>
      <w:r>
        <w:rPr>
          <w:b/>
          <w:bCs/>
          <w:color w:val="6B7080"/>
          <w:spacing w:val="30"/>
          <w:sz w:val="16"/>
          <w:szCs w:val="16"/>
        </w:rPr>
        <w:t xml:space="preserve">05</w:t>
      </w:r>
    </w:p>
    <w:p>
      <w:pPr>
        <w:keepNext/>
        <w:pBdr>
          <w:bottom w:val="single" w:color="050A30" w:sz="6"/>
        </w:pBdr>
        <w:spacing w:after="200" w:line="264" w:lineRule="auto"/>
      </w:pPr>
      <w:r>
        <w:rPr>
          <w:rFonts w:ascii="Cambria" w:cs="Cambria" w:eastAsia="Cambria" w:hAnsi="Cambria"/>
          <w:color w:val="050A30"/>
          <w:sz w:val="40"/>
          <w:szCs w:val="40"/>
        </w:rPr>
        <w:t xml:space="preserve">Vom Use Case zum nachgewiesenen Business Case</w:t>
      </w:r>
    </w:p>
    <w:p>
      <w:pPr>
        <w:spacing w:after="200" w:before="0" w:line="288" w:lineRule="auto"/>
      </w:pPr>
      <w:r>
        <w:rPr>
          <w:sz w:val="22"/>
          <w:szCs w:val="22"/>
        </w:rPr>
        <w:t xml:space="preserve">Jeder Pilot folgt einem einheitlichen, kurzen Vorgehen. Ziel ist eine belastbare Entscheidungsgrundlage – nicht ein Proof of Concept ohne Anschluss.</w:t>
      </w:r>
    </w:p>
    <w:tbl>
      <w:tblPr>
        <w:tblW w:type="dxa" w:w="9070"/>
        <w:tblBorders>
          <w:top w:val="single" w:color="050A30" w:sz="8"/>
          <w:left w:val="none" w:color="FFFFFF" w:sz="0"/>
          <w:bottom w:val="single" w:color="050A30" w:sz="8"/>
          <w:right w:val="none" w:color="FFFFFF" w:sz="0"/>
          <w:insideH w:val="single" w:color="D6D9E1" w:sz="4"/>
          <w:insideV w:val="none" w:color="FFFFFF" w:sz="0"/>
        </w:tblBorders>
        <w:tblLayout w:type="fixed"/>
      </w:tblPr>
      <w:tblGrid>
        <w:gridCol w:w="2100"/>
        <w:gridCol w:w="4570"/>
        <w:gridCol w:w="2400"/>
      </w:tblGrid>
      <w:tr>
        <w:trPr>
          <w:tblHeader/>
        </w:trPr>
        <w:tc>
          <w:tcPr>
            <w:tcW w:type="dxa" w:w="2100"/>
            <w:tcMar>
              <w:top w:type="dxa" w:w="90"/>
              <w:left w:type="dxa" w:w="0"/>
              <w:bottom w:type="dxa" w:w="90"/>
              <w:right w:type="dxa" w:w="120"/>
            </w:tcMar>
            <w:vAlign w:val="center"/>
          </w:tcPr>
          <w:p>
            <w:pPr>
              <w:spacing w:after="0" w:line="264" w:lineRule="auto"/>
            </w:pPr>
            <w:r>
              <w:rPr>
                <w:b/>
                <w:bCs/>
                <w:color w:val="6B7080"/>
                <w:spacing w:val="20"/>
                <w:sz w:val="15"/>
                <w:szCs w:val="15"/>
              </w:rPr>
              <w:t xml:space="preserve">PHASE</w:t>
            </w:r>
          </w:p>
        </w:tc>
        <w:tc>
          <w:tcPr>
            <w:tcW w:type="dxa" w:w="4570"/>
            <w:tcMar>
              <w:top w:type="dxa" w:w="90"/>
              <w:left w:type="dxa" w:w="120"/>
              <w:bottom w:type="dxa" w:w="90"/>
              <w:right w:type="dxa" w:w="120"/>
            </w:tcMar>
            <w:vAlign w:val="center"/>
          </w:tcPr>
          <w:p>
            <w:pPr>
              <w:spacing w:after="0" w:line="264" w:lineRule="auto"/>
            </w:pPr>
            <w:r>
              <w:rPr>
                <w:b/>
                <w:bCs/>
                <w:color w:val="6B7080"/>
                <w:spacing w:val="20"/>
                <w:sz w:val="15"/>
                <w:szCs w:val="15"/>
              </w:rPr>
              <w:t xml:space="preserve">INHALT</w:t>
            </w:r>
          </w:p>
        </w:tc>
        <w:tc>
          <w:tcPr>
            <w:tcW w:type="dxa" w:w="2400"/>
            <w:tcMar>
              <w:top w:type="dxa" w:w="90"/>
              <w:left w:type="dxa" w:w="120"/>
              <w:bottom w:type="dxa" w:w="90"/>
              <w:right w:type="dxa" w:w="120"/>
            </w:tcMar>
            <w:vAlign w:val="center"/>
          </w:tcPr>
          <w:p>
            <w:pPr>
              <w:spacing w:after="0" w:line="264" w:lineRule="auto"/>
            </w:pPr>
            <w:r>
              <w:rPr>
                <w:b/>
                <w:bCs/>
                <w:color w:val="6B7080"/>
                <w:spacing w:val="20"/>
                <w:sz w:val="15"/>
                <w:szCs w:val="15"/>
              </w:rPr>
              <w:t xml:space="preserve">ERGEBNIS</w:t>
            </w:r>
          </w:p>
        </w:tc>
      </w:tr>
      <w:tr>
        <w:trPr>
          <w:cantSplit/>
        </w:trPr>
        <w:tc>
          <w:tcPr>
            <w:tcW w:type="dxa" w:w="2100"/>
            <w:tcMar>
              <w:top w:type="dxa" w:w="90"/>
              <w:left w:type="dxa" w:w="0"/>
              <w:bottom w:type="dxa" w:w="90"/>
              <w:right w:type="dxa" w:w="120"/>
            </w:tcMar>
            <w:vAlign w:val="center"/>
          </w:tcPr>
          <w:p>
            <w:pPr>
              <w:spacing w:after="0" w:line="264" w:lineRule="auto"/>
            </w:pPr>
            <w:r>
              <w:rPr>
                <w:sz w:val="19"/>
                <w:szCs w:val="19"/>
              </w:rPr>
              <w:t xml:space="preserve">1 · Validierung</w:t>
            </w:r>
          </w:p>
        </w:tc>
        <w:tc>
          <w:tcPr>
            <w:tcW w:type="dxa" w:w="4570"/>
            <w:tcMar>
              <w:top w:type="dxa" w:w="90"/>
              <w:left w:type="dxa" w:w="120"/>
              <w:bottom w:type="dxa" w:w="90"/>
              <w:right w:type="dxa" w:w="120"/>
            </w:tcMar>
            <w:vAlign w:val="center"/>
          </w:tcPr>
          <w:p>
            <w:pPr>
              <w:spacing w:after="0" w:line="264" w:lineRule="auto"/>
            </w:pPr>
            <w:r>
              <w:rPr>
                <w:b w:val="false"/>
                <w:bCs w:val="false"/>
                <w:sz w:val="19"/>
                <w:szCs w:val="19"/>
              </w:rPr>
              <w:t xml:space="preserve">Gemeinsame Bewertung mit den Fachverantwortlichen: Umsetzungsstand, Abgrenzung zu laufenden Initiativen, Zielbild.</w:t>
            </w:r>
          </w:p>
        </w:tc>
        <w:tc>
          <w:tcPr>
            <w:tcW w:type="dxa" w:w="2400"/>
            <w:tcMar>
              <w:top w:type="dxa" w:w="90"/>
              <w:left w:type="dxa" w:w="120"/>
              <w:bottom w:type="dxa" w:w="90"/>
              <w:right w:type="dxa" w:w="120"/>
            </w:tcMar>
            <w:vAlign w:val="center"/>
          </w:tcPr>
          <w:p>
            <w:pPr>
              <w:spacing w:after="0" w:line="264" w:lineRule="auto"/>
            </w:pPr>
            <w:r>
              <w:rPr>
                <w:b w:val="false"/>
                <w:bCs w:val="false"/>
                <w:sz w:val="19"/>
                <w:szCs w:val="19"/>
              </w:rPr>
              <w:t xml:space="preserve">Bestätigter Scope je Use Case</w:t>
            </w:r>
          </w:p>
        </w:tc>
      </w:tr>
      <w:tr>
        <w:trPr>
          <w:cantSplit/>
        </w:trPr>
        <w:tc>
          <w:tcPr>
            <w:tcW w:type="dxa" w:w="2100"/>
            <w:tcMar>
              <w:top w:type="dxa" w:w="90"/>
              <w:left w:type="dxa" w:w="0"/>
              <w:bottom w:type="dxa" w:w="90"/>
              <w:right w:type="dxa" w:w="120"/>
            </w:tcMar>
            <w:vAlign w:val="center"/>
          </w:tcPr>
          <w:p>
            <w:pPr>
              <w:spacing w:after="0" w:line="264" w:lineRule="auto"/>
            </w:pPr>
            <w:r>
              <w:rPr>
                <w:sz w:val="19"/>
                <w:szCs w:val="19"/>
              </w:rPr>
              <w:t xml:space="preserve">2 · Daten &amp; Baseline</w:t>
            </w:r>
          </w:p>
        </w:tc>
        <w:tc>
          <w:tcPr>
            <w:tcW w:type="dxa" w:w="4570"/>
            <w:tcMar>
              <w:top w:type="dxa" w:w="90"/>
              <w:left w:type="dxa" w:w="120"/>
              <w:bottom w:type="dxa" w:w="90"/>
              <w:right w:type="dxa" w:w="120"/>
            </w:tcMar>
            <w:vAlign w:val="center"/>
          </w:tcPr>
          <w:p>
            <w:pPr>
              <w:spacing w:after="0" w:line="264" w:lineRule="auto"/>
            </w:pPr>
            <w:r>
              <w:rPr>
                <w:b w:val="false"/>
                <w:bCs w:val="false"/>
                <w:sz w:val="19"/>
                <w:szCs w:val="19"/>
              </w:rPr>
              <w:t xml:space="preserve">Klärung von Datenzugang, Schutzbedarf und Betriebsumgebung; Messung des heutigen Ausgangswerts.</w:t>
            </w:r>
          </w:p>
        </w:tc>
        <w:tc>
          <w:tcPr>
            <w:tcW w:type="dxa" w:w="2400"/>
            <w:tcMar>
              <w:top w:type="dxa" w:w="90"/>
              <w:left w:type="dxa" w:w="120"/>
              <w:bottom w:type="dxa" w:w="90"/>
              <w:right w:type="dxa" w:w="120"/>
            </w:tcMar>
            <w:vAlign w:val="center"/>
          </w:tcPr>
          <w:p>
            <w:pPr>
              <w:spacing w:after="0" w:line="264" w:lineRule="auto"/>
            </w:pPr>
            <w:r>
              <w:rPr>
                <w:b w:val="false"/>
                <w:bCs w:val="false"/>
                <w:sz w:val="19"/>
                <w:szCs w:val="19"/>
              </w:rPr>
              <w:t xml:space="preserve">Dokumentierte Baseline und Messgrößen</w:t>
            </w:r>
          </w:p>
        </w:tc>
      </w:tr>
      <w:tr>
        <w:trPr>
          <w:cantSplit/>
        </w:trPr>
        <w:tc>
          <w:tcPr>
            <w:tcW w:type="dxa" w:w="2100"/>
            <w:tcMar>
              <w:top w:type="dxa" w:w="90"/>
              <w:left w:type="dxa" w:w="0"/>
              <w:bottom w:type="dxa" w:w="90"/>
              <w:right w:type="dxa" w:w="120"/>
            </w:tcMar>
            <w:vAlign w:val="center"/>
          </w:tcPr>
          <w:p>
            <w:pPr>
              <w:spacing w:after="0" w:line="264" w:lineRule="auto"/>
            </w:pPr>
            <w:r>
              <w:rPr>
                <w:sz w:val="19"/>
                <w:szCs w:val="19"/>
              </w:rPr>
              <w:t xml:space="preserve">3 · Pilot</w:t>
            </w:r>
          </w:p>
        </w:tc>
        <w:tc>
          <w:tcPr>
            <w:tcW w:type="dxa" w:w="4570"/>
            <w:tcMar>
              <w:top w:type="dxa" w:w="90"/>
              <w:left w:type="dxa" w:w="120"/>
              <w:bottom w:type="dxa" w:w="90"/>
              <w:right w:type="dxa" w:w="120"/>
            </w:tcMar>
            <w:vAlign w:val="center"/>
          </w:tcPr>
          <w:p>
            <w:pPr>
              <w:spacing w:after="0" w:line="264" w:lineRule="auto"/>
            </w:pPr>
            <w:r>
              <w:rPr>
                <w:b w:val="false"/>
                <w:bCs w:val="false"/>
                <w:sz w:val="19"/>
                <w:szCs w:val="19"/>
              </w:rPr>
              <w:t xml:space="preserve">Retrospektiver oder paralleler Betrieb auf historischen Daten; fachliche Validierung durch die Expertinnen und Experten.</w:t>
            </w:r>
          </w:p>
        </w:tc>
        <w:tc>
          <w:tcPr>
            <w:tcW w:type="dxa" w:w="2400"/>
            <w:tcMar>
              <w:top w:type="dxa" w:w="90"/>
              <w:left w:type="dxa" w:w="120"/>
              <w:bottom w:type="dxa" w:w="90"/>
              <w:right w:type="dxa" w:w="120"/>
            </w:tcMar>
            <w:vAlign w:val="center"/>
          </w:tcPr>
          <w:p>
            <w:pPr>
              <w:spacing w:after="0" w:line="264" w:lineRule="auto"/>
            </w:pPr>
            <w:r>
              <w:rPr>
                <w:b w:val="false"/>
                <w:bCs w:val="false"/>
                <w:sz w:val="19"/>
                <w:szCs w:val="19"/>
              </w:rPr>
              <w:t xml:space="preserve">Gemessene Ergebnisse gegenüber Baseline</w:t>
            </w:r>
          </w:p>
        </w:tc>
      </w:tr>
      <w:tr>
        <w:trPr>
          <w:cantSplit/>
        </w:trPr>
        <w:tc>
          <w:tcPr>
            <w:tcW w:type="dxa" w:w="2100"/>
            <w:tcMar>
              <w:top w:type="dxa" w:w="90"/>
              <w:left w:type="dxa" w:w="0"/>
              <w:bottom w:type="dxa" w:w="90"/>
              <w:right w:type="dxa" w:w="120"/>
            </w:tcMar>
            <w:vAlign w:val="center"/>
          </w:tcPr>
          <w:p>
            <w:pPr>
              <w:spacing w:after="0" w:line="264" w:lineRule="auto"/>
            </w:pPr>
            <w:r>
              <w:rPr>
                <w:sz w:val="19"/>
                <w:szCs w:val="19"/>
              </w:rPr>
              <w:t xml:space="preserve">4 · Go / No-Go</w:t>
            </w:r>
          </w:p>
        </w:tc>
        <w:tc>
          <w:tcPr>
            <w:tcW w:type="dxa" w:w="4570"/>
            <w:tcMar>
              <w:top w:type="dxa" w:w="90"/>
              <w:left w:type="dxa" w:w="120"/>
              <w:bottom w:type="dxa" w:w="90"/>
              <w:right w:type="dxa" w:w="120"/>
            </w:tcMar>
            <w:vAlign w:val="center"/>
          </w:tcPr>
          <w:p>
            <w:pPr>
              <w:spacing w:after="0" w:line="264" w:lineRule="auto"/>
            </w:pPr>
            <w:r>
              <w:rPr>
                <w:b w:val="false"/>
                <w:bCs w:val="false"/>
                <w:sz w:val="19"/>
                <w:szCs w:val="19"/>
              </w:rPr>
              <w:t xml:space="preserve">Bewertung von Nutzen, Qualität, Risiken und Kosten; Entscheidung über Skalierung.</w:t>
            </w:r>
          </w:p>
        </w:tc>
        <w:tc>
          <w:tcPr>
            <w:tcW w:type="dxa" w:w="2400"/>
            <w:tcMar>
              <w:top w:type="dxa" w:w="90"/>
              <w:left w:type="dxa" w:w="120"/>
              <w:bottom w:type="dxa" w:w="90"/>
              <w:right w:type="dxa" w:w="120"/>
            </w:tcMar>
            <w:vAlign w:val="center"/>
          </w:tcPr>
          <w:p>
            <w:pPr>
              <w:spacing w:after="0" w:line="264" w:lineRule="auto"/>
            </w:pPr>
            <w:r>
              <w:rPr>
                <w:b w:val="false"/>
                <w:bCs w:val="false"/>
                <w:sz w:val="19"/>
                <w:szCs w:val="19"/>
              </w:rPr>
              <w:t xml:space="preserve">Business Case und Umsetzungsplan</w:t>
            </w:r>
          </w:p>
        </w:tc>
      </w:tr>
    </w:tbl>
    <w:p>
      <w:pPr>
        <w:keepNext/>
        <w:spacing w:after="70" w:before="320"/>
      </w:pPr>
      <w:r>
        <w:rPr>
          <w:b/>
          <w:bCs/>
          <w:color w:val="6B7080"/>
          <w:spacing w:val="30"/>
          <w:sz w:val="16"/>
          <w:szCs w:val="16"/>
        </w:rPr>
        <w:t xml:space="preserve">ERFOLGSNACHWEIS</w:t>
      </w:r>
    </w:p>
    <w:p>
      <w:pPr>
        <w:pStyle w:val="ListParagraph"/>
        <w:keepLines/>
        <w:numPr>
          <w:ilvl w:val="0"/>
          <w:numId w:val="2"/>
        </w:numPr>
        <w:spacing w:after="80" w:line="288" w:lineRule="auto"/>
      </w:pPr>
      <w:r>
        <w:rPr>
          <w:b/>
          <w:bCs/>
          <w:color w:val="050A30"/>
        </w:rPr>
        <w:t xml:space="preserve">Messbarer Ausgangswert</w:t>
      </w:r>
      <w:r>
        <w:t xml:space="preserve"> – ohne Baseline kein Nutzennachweis.</w:t>
      </w:r>
    </w:p>
    <w:p>
      <w:pPr>
        <w:pStyle w:val="ListParagraph"/>
        <w:keepLines/>
        <w:numPr>
          <w:ilvl w:val="0"/>
          <w:numId w:val="2"/>
        </w:numPr>
        <w:spacing w:after="80" w:line="288" w:lineRule="auto"/>
      </w:pPr>
      <w:r>
        <w:rPr>
          <w:b/>
          <w:bCs/>
          <w:color w:val="050A30"/>
        </w:rPr>
        <w:t xml:space="preserve">Fachliche Validierung</w:t>
      </w:r>
      <w:r>
        <w:t xml:space="preserve"> – Ergebnisse werden von den verantwortlichen Expertinnen und Experten bewertet, idealerweise verblindet.</w:t>
      </w:r>
    </w:p>
    <w:p>
      <w:pPr>
        <w:pStyle w:val="ListParagraph"/>
        <w:keepLines/>
        <w:numPr>
          <w:ilvl w:val="0"/>
          <w:numId w:val="2"/>
        </w:numPr>
        <w:spacing w:after="80" w:line="288" w:lineRule="auto"/>
      </w:pPr>
      <w:r>
        <w:rPr>
          <w:b/>
          <w:bCs/>
          <w:color w:val="050A30"/>
        </w:rPr>
        <w:t xml:space="preserve">Klar definierter Erfolg</w:t>
      </w:r>
      <w:r>
        <w:t xml:space="preserve"> – wirtschaftlich oder risikobezogen, vorab festgelegt.</w:t>
      </w:r>
    </w:p>
    <w:p>
      <w:pPr>
        <w:pStyle w:val="ListParagraph"/>
        <w:keepLines/>
        <w:numPr>
          <w:ilvl w:val="0"/>
          <w:numId w:val="2"/>
        </w:numPr>
        <w:spacing w:after="80" w:line="288" w:lineRule="auto"/>
      </w:pPr>
      <w:r>
        <w:rPr>
          <w:b/>
          <w:bCs/>
          <w:color w:val="050A30"/>
        </w:rPr>
        <w:t xml:space="preserve">Regulatorische Einbettung</w:t>
      </w:r>
      <w:r>
        <w:t xml:space="preserve"> – aufsichtsrechtliche Anforderungen (u. a. DORA, MaRisk) und der EU AI Act werden von Beginn an berücksichtigt.</w:t>
      </w:r>
    </w:p>
    <w:p>
      <w:r>
        <w:br w:type="page"/>
      </w:r>
    </w:p>
    <w:p>
      <w:pPr>
        <w:keepNext/>
        <w:spacing w:after="60"/>
      </w:pPr>
      <w:r>
        <w:rPr>
          <w:b/>
          <w:bCs/>
          <w:color w:val="6B7080"/>
          <w:spacing w:val="30"/>
          <w:sz w:val="16"/>
          <w:szCs w:val="16"/>
        </w:rPr>
        <w:t xml:space="preserve">06</w:t>
      </w:r>
    </w:p>
    <w:p>
      <w:pPr>
        <w:keepNext/>
        <w:pBdr>
          <w:bottom w:val="single" w:color="050A30" w:sz="6"/>
        </w:pBdr>
        <w:spacing w:after="200" w:line="264" w:lineRule="auto"/>
      </w:pPr>
      <w:r>
        <w:rPr>
          <w:rFonts w:ascii="Cambria" w:cs="Cambria" w:eastAsia="Cambria" w:hAnsi="Cambria"/>
          <w:color w:val="050A30"/>
          <w:sz w:val="40"/>
          <w:szCs w:val="40"/>
        </w:rPr>
        <w:t xml:space="preserve">Nächste Schritte</w:t>
      </w:r>
    </w:p>
    <w:p>
      <w:pPr>
        <w:pBdr>
          <w:left w:val="single" w:color="050A30" w:sz="18" w:space="12"/>
        </w:pBdr>
        <w:spacing w:after="360" w:line="300" w:lineRule="auto"/>
        <w:ind w:left="240"/>
      </w:pPr>
      <w:r>
        <w:rPr>
          <w:rFonts w:ascii="Cambria" w:cs="Cambria" w:eastAsia="Cambria" w:hAnsi="Cambria"/>
          <w:color w:val="050A30"/>
          <w:sz w:val="26"/>
          <w:szCs w:val="26"/>
        </w:rPr>
        <w:t xml:space="preserve">Unser Ansatz ist nicht, KI-Anwendungsfälle möglichst breit zu sammeln. Es geht darum, gezielt die Prozesse zu identifizieren, in denen KI einen nachweisbaren Unterschied macht – indem Risiken früher erkannt, komplexe Entscheidungen besser vorbereitet, manuelle Aufwände reduziert und neue wirtschaftliche Potenziale erschlossen werden.</w:t>
      </w:r>
    </w:p>
    <w:p>
      <w:pPr>
        <w:keepNext/>
        <w:spacing w:after="70" w:before="220"/>
      </w:pPr>
      <w:r>
        <w:rPr>
          <w:b/>
          <w:bCs/>
          <w:color w:val="6B7080"/>
          <w:spacing w:val="30"/>
          <w:sz w:val="16"/>
          <w:szCs w:val="16"/>
        </w:rPr>
        <w:t xml:space="preserve">WIR SCHLAGEN VOR</w:t>
      </w:r>
    </w:p>
    <w:p>
      <w:pPr>
        <w:tabs>
          <w:tab w:val="left" w:pos="700"/>
        </w:tabs>
        <w:spacing w:after="160" w:line="288" w:lineRule="auto"/>
        <w:ind w:left="700" w:hanging="700"/>
      </w:pPr>
      <w:r>
        <w:rPr>
          <w:rFonts w:ascii="Cambria" w:cs="Cambria" w:eastAsia="Cambria" w:hAnsi="Cambria"/>
          <w:color w:val="6B7080"/>
          <w:sz w:val="28"/>
          <w:szCs w:val="28"/>
        </w:rPr>
        <w:t xml:space="preserve">01</w:t>
      </w:r>
      <w:r>
        <w:rPr>
          <w:b/>
          <w:bCs/>
          <w:color w:val="050A30"/>
          <w:sz w:val="21"/>
          <w:szCs w:val="21"/>
        </w:rPr>
        <w:t xml:space="preserve">	Validierungsworkshop</w:t>
      </w:r>
      <w:r>
        <w:rPr>
          <w:sz w:val="21"/>
          <w:szCs w:val="21"/>
        </w:rPr>
        <w:t xml:space="preserve">  –  Gemeinsame Bewertung der vier priorisierten Anwendungsfälle mit den jeweiligen Fachverantwortlichen.</w:t>
      </w:r>
    </w:p>
    <w:p>
      <w:pPr>
        <w:tabs>
          <w:tab w:val="left" w:pos="700"/>
        </w:tabs>
        <w:spacing w:after="160" w:line="288" w:lineRule="auto"/>
        <w:ind w:left="700" w:hanging="700"/>
      </w:pPr>
      <w:r>
        <w:rPr>
          <w:rFonts w:ascii="Cambria" w:cs="Cambria" w:eastAsia="Cambria" w:hAnsi="Cambria"/>
          <w:color w:val="6B7080"/>
          <w:sz w:val="28"/>
          <w:szCs w:val="28"/>
        </w:rPr>
        <w:t xml:space="preserve">02</w:t>
      </w:r>
      <w:r>
        <w:rPr>
          <w:b/>
          <w:bCs/>
          <w:color w:val="050A30"/>
          <w:sz w:val="21"/>
          <w:szCs w:val="21"/>
        </w:rPr>
        <w:t xml:space="preserve">	Auswahl der Pilotfälle</w:t>
      </w:r>
      <w:r>
        <w:rPr>
          <w:sz w:val="21"/>
          <w:szCs w:val="21"/>
        </w:rPr>
        <w:t xml:space="preserve">  –  Festlegung von ein bis zwei Piloten anhand von Nutzen, Datenverfügbarkeit und Umsetzungsstand.</w:t>
      </w:r>
    </w:p>
    <w:p>
      <w:pPr>
        <w:tabs>
          <w:tab w:val="left" w:pos="700"/>
        </w:tabs>
        <w:spacing w:after="160" w:line="288" w:lineRule="auto"/>
        <w:ind w:left="700" w:hanging="700"/>
      </w:pPr>
      <w:r>
        <w:rPr>
          <w:rFonts w:ascii="Cambria" w:cs="Cambria" w:eastAsia="Cambria" w:hAnsi="Cambria"/>
          <w:color w:val="6B7080"/>
          <w:sz w:val="28"/>
          <w:szCs w:val="28"/>
        </w:rPr>
        <w:t xml:space="preserve">03</w:t>
      </w:r>
      <w:r>
        <w:rPr>
          <w:b/>
          <w:bCs/>
          <w:color w:val="050A30"/>
          <w:sz w:val="21"/>
          <w:szCs w:val="21"/>
        </w:rPr>
        <w:t xml:space="preserve">	Pilotdesign</w:t>
      </w:r>
      <w:r>
        <w:rPr>
          <w:sz w:val="21"/>
          <w:szCs w:val="21"/>
        </w:rPr>
        <w:t xml:space="preserve">  –  Definition von Scope, Baseline, Messgrößen, Datenzugang und Go/No-Go-Kriterien.</w:t>
      </w:r>
    </w:p>
    <w:p>
      <w:pPr>
        <w:spacing w:before="1200"/>
      </w:pPr>
    </w:p>
    <w:p>
      <w:pPr>
        <w:spacing w:after="120"/>
      </w:pPr>
      <w:r>
        <w:drawing>
          <wp:inline distT="0" distB="0" distL="0" distR="0">
            <wp:extent cx="14287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428750" cy="285750"/>
                    </a:xfrm>
                    <a:prstGeom prst="rect">
                      <a:avLst/>
                    </a:prstGeom>
                  </pic:spPr>
                </pic:pic>
              </a:graphicData>
            </a:graphic>
          </wp:inline>
        </w:drawing>
      </w:r>
    </w:p>
    <w:p>
      <w:r>
        <w:rPr>
          <w:color w:val="6B7080"/>
          <w:sz w:val="20"/>
          <w:szCs w:val="20"/>
        </w:rPr>
        <w:t xml:space="preserve">Wir freuen uns auf den gemeinsamen Austausch.</w:t>
      </w:r>
    </w:p>
    <w:p>
      <w:r>
        <w:br w:type="page"/>
      </w:r>
    </w:p>
    <w:p>
      <w:pPr>
        <w:keepNext/>
        <w:spacing w:after="60"/>
      </w:pPr>
      <w:r>
        <w:rPr>
          <w:b/>
          <w:bCs/>
          <w:color w:val="6B7080"/>
          <w:spacing w:val="30"/>
          <w:sz w:val="16"/>
          <w:szCs w:val="16"/>
        </w:rPr>
        <w:t xml:space="preserve">Anhang</w:t>
      </w:r>
    </w:p>
    <w:p>
      <w:pPr>
        <w:keepNext/>
        <w:pBdr>
          <w:bottom w:val="single" w:color="050A30" w:sz="6"/>
        </w:pBdr>
        <w:spacing w:after="200" w:line="264" w:lineRule="auto"/>
      </w:pPr>
      <w:r>
        <w:rPr>
          <w:rFonts w:ascii="Cambria" w:cs="Cambria" w:eastAsia="Cambria" w:hAnsi="Cambria"/>
          <w:color w:val="050A30"/>
          <w:sz w:val="40"/>
          <w:szCs w:val="40"/>
        </w:rPr>
        <w:t xml:space="preserve">Quellen und Annahmen</w:t>
      </w:r>
    </w:p>
    <w:p>
      <w:pPr>
        <w:keepNext/>
        <w:spacing w:after="70" w:before="120"/>
      </w:pPr>
      <w:r>
        <w:rPr>
          <w:b/>
          <w:bCs/>
          <w:color w:val="6B7080"/>
          <w:spacing w:val="30"/>
          <w:sz w:val="16"/>
          <w:szCs w:val="16"/>
        </w:rPr>
        <w:t xml:space="preserve">QUELLEN</w:t>
      </w:r>
    </w:p>
    <w:p>
      <w:pPr>
        <w:pStyle w:val="ListParagraph"/>
        <w:keepLines/>
        <w:numPr>
          <w:ilvl w:val="0"/>
          <w:numId w:val="2"/>
        </w:numPr>
        <w:spacing w:after="80" w:line="288" w:lineRule="auto"/>
      </w:pPr>
      <w:r>
        <w:rPr>
          <w:sz w:val="18"/>
          <w:szCs w:val="18"/>
        </w:rPr>
        <w:t xml:space="preserve">KfW Bankengruppe – Darstellung der Konzernrevision (rd. 100 Beschäftigte, vier Abteilungen, ca. 60 Prüfungen p. a.); kfw.de</w:t>
      </w:r>
    </w:p>
    <w:p>
      <w:pPr>
        <w:pStyle w:val="ListParagraph"/>
        <w:keepLines/>
        <w:numPr>
          <w:ilvl w:val="0"/>
          <w:numId w:val="2"/>
        </w:numPr>
        <w:spacing w:after="80" w:line="288" w:lineRule="auto"/>
      </w:pPr>
      <w:r>
        <w:rPr>
          <w:sz w:val="18"/>
          <w:szCs w:val="18"/>
        </w:rPr>
        <w:t xml:space="preserve">KfW Bankengruppe – Finanzbericht 2025 (IKT-Risiken, IKS, OpRisk-Dashboards); kfw.de</w:t>
      </w:r>
    </w:p>
    <w:p>
      <w:pPr>
        <w:pStyle w:val="ListParagraph"/>
        <w:keepLines/>
        <w:numPr>
          <w:ilvl w:val="0"/>
          <w:numId w:val="2"/>
        </w:numPr>
        <w:spacing w:after="80" w:line="288" w:lineRule="auto"/>
      </w:pPr>
      <w:r>
        <w:rPr>
          <w:sz w:val="18"/>
          <w:szCs w:val="18"/>
        </w:rPr>
        <w:t xml:space="preserve">KfW Bankengruppe – Schriftlich fixierte Ordnung (SFO); kfw.de</w:t>
      </w:r>
    </w:p>
    <w:p>
      <w:pPr>
        <w:pStyle w:val="ListParagraph"/>
        <w:keepLines/>
        <w:numPr>
          <w:ilvl w:val="0"/>
          <w:numId w:val="2"/>
        </w:numPr>
        <w:spacing w:after="80" w:line="288" w:lineRule="auto"/>
      </w:pPr>
      <w:r>
        <w:rPr>
          <w:sz w:val="18"/>
          <w:szCs w:val="18"/>
        </w:rPr>
        <w:t xml:space="preserve">KfW IPEX-Bank – Geschäftszahlen 2025 (Neuzusagen 24,2 Mrd. €, Kreditvolumen 88,9 Mrd. €, ECA-Volumen rd. 4,4 Mrd. €, Syndizierungsvolumen 6,9 Mrd. €) und Darstellung zur ECA-Produktlandschaft; kfw-ipex-bank.de</w:t>
      </w:r>
    </w:p>
    <w:p>
      <w:pPr>
        <w:pStyle w:val="ListParagraph"/>
        <w:keepLines/>
        <w:numPr>
          <w:ilvl w:val="0"/>
          <w:numId w:val="2"/>
        </w:numPr>
        <w:spacing w:after="80" w:line="288" w:lineRule="auto"/>
      </w:pPr>
      <w:r>
        <w:rPr>
          <w:sz w:val="18"/>
          <w:szCs w:val="18"/>
        </w:rPr>
        <w:t xml:space="preserve">EZB-Bankenaufsicht – Aufsichtsprioritäten 2026–2028; bankingsupervision.europa.eu</w:t>
      </w:r>
    </w:p>
    <w:p>
      <w:pPr>
        <w:pStyle w:val="ListParagraph"/>
        <w:keepLines/>
        <w:numPr>
          <w:ilvl w:val="0"/>
          <w:numId w:val="2"/>
        </w:numPr>
        <w:spacing w:after="80" w:line="288" w:lineRule="auto"/>
      </w:pPr>
      <w:r>
        <w:rPr>
          <w:sz w:val="18"/>
          <w:szCs w:val="18"/>
        </w:rPr>
        <w:t xml:space="preserve">European Banking Authority – Leitlinien zum Management von Drittparteienrisiken, finalisiert am 18. September 2026; eba.europa.eu</w:t>
      </w:r>
    </w:p>
    <w:p>
      <w:pPr>
        <w:pStyle w:val="ListParagraph"/>
        <w:keepLines/>
        <w:numPr>
          <w:ilvl w:val="0"/>
          <w:numId w:val="2"/>
        </w:numPr>
        <w:spacing w:after="80" w:line="288" w:lineRule="auto"/>
      </w:pPr>
      <w:r>
        <w:rPr>
          <w:sz w:val="18"/>
          <w:szCs w:val="18"/>
        </w:rPr>
        <w:t xml:space="preserve">Verordnung (EU) 2022/2554 über die digitale operationale Resilienz im Finanzsektor (DORA)</w:t>
      </w:r>
    </w:p>
    <w:p>
      <w:pPr>
        <w:pStyle w:val="ListParagraph"/>
        <w:keepLines/>
        <w:numPr>
          <w:ilvl w:val="0"/>
          <w:numId w:val="2"/>
        </w:numPr>
        <w:spacing w:after="80" w:line="288" w:lineRule="auto"/>
      </w:pPr>
      <w:r>
        <w:rPr>
          <w:sz w:val="18"/>
          <w:szCs w:val="18"/>
        </w:rPr>
        <w:t xml:space="preserve">CISA – Known Exploited Vulnerabilities Catalog; cisa.gov</w:t>
      </w:r>
    </w:p>
    <w:p>
      <w:pPr>
        <w:pStyle w:val="ListParagraph"/>
        <w:keepLines/>
        <w:numPr>
          <w:ilvl w:val="0"/>
          <w:numId w:val="2"/>
        </w:numPr>
        <w:spacing w:after="80" w:line="288" w:lineRule="auto"/>
      </w:pPr>
      <w:r>
        <w:rPr>
          <w:sz w:val="18"/>
          <w:szCs w:val="18"/>
        </w:rPr>
        <w:t xml:space="preserve">OWASP Top 10:2021 – A06 Vulnerable and Outdated Components; owasp.org</w:t>
      </w:r>
    </w:p>
    <w:p>
      <w:pPr>
        <w:pStyle w:val="ListParagraph"/>
        <w:keepLines/>
        <w:numPr>
          <w:ilvl w:val="0"/>
          <w:numId w:val="2"/>
        </w:numPr>
        <w:spacing w:after="80" w:line="288" w:lineRule="auto"/>
      </w:pPr>
      <w:r>
        <w:rPr>
          <w:sz w:val="18"/>
          <w:szCs w:val="18"/>
        </w:rPr>
        <w:t xml:space="preserve">ENISA – Empfehlungen zum Einsatz von Software Bills of Materials (SBOM), 22. Oktober 2026; enisa.europa.eu</w:t>
      </w:r>
    </w:p>
    <w:p>
      <w:pPr>
        <w:keepNext/>
        <w:spacing w:after="70" w:before="280"/>
      </w:pPr>
      <w:r>
        <w:rPr>
          <w:b/>
          <w:bCs/>
          <w:color w:val="6B7080"/>
          <w:spacing w:val="30"/>
          <w:sz w:val="16"/>
          <w:szCs w:val="16"/>
        </w:rPr>
        <w:t xml:space="preserve">ANNAHMEN UND HINWEISE</w:t>
      </w:r>
    </w:p>
    <w:p>
      <w:pPr>
        <w:pStyle w:val="ListParagraph"/>
        <w:keepLines/>
        <w:numPr>
          <w:ilvl w:val="0"/>
          <w:numId w:val="2"/>
        </w:numPr>
        <w:spacing w:after="80" w:line="288" w:lineRule="auto"/>
      </w:pPr>
      <w:r>
        <w:rPr>
          <w:sz w:val="18"/>
          <w:szCs w:val="18"/>
        </w:rPr>
        <w:t xml:space="preserve">Alle Rechenbeispiele sind illustrativ. Eingesparte Stunden, Stundensätze und Gebührensätze sind Annahmen und keine veröffentlichten KfW-Werte; Implementierungs-, Betriebs-, Risiko- und Personalkosten sind nicht abgezogen.</w:t>
      </w:r>
    </w:p>
    <w:p>
      <w:pPr>
        <w:pStyle w:val="ListParagraph"/>
        <w:keepLines/>
        <w:numPr>
          <w:ilvl w:val="0"/>
          <w:numId w:val="2"/>
        </w:numPr>
        <w:spacing w:after="80" w:line="288" w:lineRule="auto"/>
      </w:pPr>
      <w:r>
        <w:rPr>
          <w:sz w:val="18"/>
          <w:szCs w:val="18"/>
        </w:rPr>
        <w:t xml:space="preserve">Die Priorisierung ist eine strategische Einschätzung von SH &amp; Partner und enthält keine Aussage über den internen Projektstand der KfW.</w:t>
      </w:r>
    </w:p>
    <w:p>
      <w:pPr>
        <w:pStyle w:val="ListParagraph"/>
        <w:keepLines/>
        <w:numPr>
          <w:ilvl w:val="0"/>
          <w:numId w:val="2"/>
        </w:numPr>
        <w:spacing w:after="80" w:line="288" w:lineRule="auto"/>
      </w:pPr>
      <w:r>
        <w:rPr>
          <w:sz w:val="18"/>
          <w:szCs w:val="18"/>
        </w:rPr>
        <w:t xml:space="preserve">Automatisierte Sicherheitstests erfolgen ausschließlich in autorisierten, isolierten Umgebungen und ergänzen – nicht ersetzen – qualifizierte manuelle Tests und bedrohungsorientierte Tests nach DORA.</w:t>
      </w:r>
    </w:p>
    <w:p>
      <w:pPr>
        <w:pStyle w:val="ListParagraph"/>
        <w:keepLines/>
        <w:numPr>
          <w:ilvl w:val="0"/>
          <w:numId w:val="2"/>
        </w:numPr>
        <w:spacing w:after="80" w:line="288" w:lineRule="auto"/>
      </w:pPr>
      <w:r>
        <w:rPr>
          <w:sz w:val="18"/>
          <w:szCs w:val="18"/>
        </w:rPr>
        <w:t xml:space="preserve">Alle Angaben beruhen auf öffentlich verfügbaren Informationen, Stand Oktober 2026.</w:t>
      </w:r>
    </w:p>
    <w:sectPr>
      <w:headerReference w:type="default" r:id="rId9"/>
      <w:footerReference w:type="default" r:id="rId10"/>
      <w:pgSz w:w="11906" w:h="16838" w:orient="portrait"/>
      <w:pgMar w:top="1418" w:right="1418" w:bottom="1300" w:left="1418" w:header="708" w:footer="600" w:gutter="0"/>
      <w:pgNumType w:start="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70"/>
      </w:tabs>
    </w:pPr>
    <w:r>
      <w:rPr>
        <w:color w:val="6B7080"/>
        <w:sz w:val="15"/>
        <w:szCs w:val="15"/>
      </w:rPr>
      <w:t xml:space="preserve">Vertraulich  ·  Diskussionsgrundlage  ·  Oktober 2026</w:t>
    </w:r>
    <w:r>
      <w:t xml:space="preserve">	</w:t>
    </w:r>
    <w:r>
      <w:rPr>
        <w:color w:val="050A3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D9E1" w:sz="4"/>
      </w:pBdr>
      <w:tabs>
        <w:tab w:val="right" w:pos="9070"/>
      </w:tabs>
      <w:spacing w:after="0"/>
    </w:pPr>
    <w:r>
      <w:rPr>
        <w:color w:val="6B7080"/>
        <w:spacing w:val="10"/>
        <w:sz w:val="15"/>
        <w:szCs w:val="15"/>
      </w:rPr>
      <w:t xml:space="preserve">KfW  ·  Acht strategische KI-Anwendungsfälle</w:t>
    </w:r>
    <w:r>
      <w:t xml:space="preserve">	</w:t>
    </w:r>
    <w:r>
      <w:drawing>
        <wp:inline distT="0" distB="0" distL="0" distR="0">
          <wp:extent cx="857250" cy="17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57250" cy="1714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300"/>
      </w:pPr>
      <w:rPr>
        <w:color w:val="050A3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233"/>
        <w:sz w:val="20"/>
        <w:szCs w:val="20"/>
      </w:rPr>
    </w:rPrDefault>
    <w:pPrDefault>
      <w:pPr>
        <w:spacing w:line="288"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2ce6bee60e59fa09dd2f29a258d93099b13abfb2.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Relationship Id="rId0" Type="http://schemas.openxmlformats.org/officeDocument/2006/relationships/image" Target="media/2ce6bee60e59fa09dd2f29a258d93099b13abfb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KfW – Acht strategische KI-Anwendungsfälle</dc:title>
  <dc:creator>SH &amp; Partner</dc:creator>
  <dc:description>Diskussionsgrundlage, Oktober 2026</dc:description>
  <cp:lastModifiedBy>Un-named</cp:lastModifiedBy>
  <cp:revision>1</cp:revision>
  <dcterms:created xsi:type="dcterms:W3CDTF">2026-10-26T21:41:22.823Z</dcterms:created>
  <dcterms:modified xsi:type="dcterms:W3CDTF">2026-10-26T21:41:22.823Z</dcterms:modified>
</cp:coreProperties>
</file>

<file path=docProps/custom.xml><?xml version="1.0" encoding="utf-8"?>
<Properties xmlns="http://schemas.openxmlformats.org/officeDocument/2006/custom-properties" xmlns:vt="http://schemas.openxmlformats.org/officeDocument/2006/docPropsVTypes"/>
</file>