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B7080"/>
          <w:sz w:val="19"/>
          <w:szCs w:val="19"/>
        </w:rPr>
        <w:t xml:space="preserve">KfW Bankengruppe  ·  Oktober 2026</w:t>
      </w:r>
    </w:p>
    <w:p>
      <w:pPr>
        <w:pBdr>
          <w:bottom w:val="single" w:color="050A30" w:sz="8"/>
        </w:pBdr>
        <w:spacing w:after="320" w:line="252" w:lineRule="auto"/>
      </w:pPr>
      <w:r>
        <w:rPr>
          <w:rFonts w:ascii="Cambria" w:cs="Cambria" w:eastAsia="Cambria" w:hAnsi="Cambria"/>
          <w:color w:val="050A30"/>
          <w:sz w:val="56"/>
          <w:szCs w:val="56"/>
        </w:rPr>
        <w:t xml:space="preserve">Acht Anwendungsfälle für KI bei der KfW</w:t>
      </w:r>
    </w:p>
    <w:p>
      <w:pPr>
        <w:spacing w:after="120" w:before="0" w:line="300" w:lineRule="auto"/>
      </w:pPr>
      <w:r>
        <w:rPr>
          <w:sz w:val="22"/>
          <w:szCs w:val="22"/>
        </w:rPr>
        <w:t xml:space="preserve">Die Anforderungen an Prüfung, Dokumentation und Absicherung nehmen zu: </w:t>
      </w:r>
      <w:r>
        <w:rPr>
          <w:b/>
          <w:bCs/>
          <w:color w:val="050A30"/>
          <w:sz w:val="22"/>
          <w:szCs w:val="22"/>
        </w:rPr>
        <w:t xml:space="preserve">DORA</w:t>
      </w:r>
      <w:r>
        <w:rPr>
          <w:sz w:val="22"/>
          <w:szCs w:val="22"/>
        </w:rPr>
        <w:t xml:space="preserve"> seit Januar 2025, neue </w:t>
      </w:r>
      <w:r>
        <w:rPr>
          <w:b/>
          <w:bCs/>
          <w:color w:val="050A30"/>
          <w:sz w:val="22"/>
          <w:szCs w:val="22"/>
        </w:rPr>
        <w:t xml:space="preserve">EBA-Leitlinien</w:t>
      </w:r>
      <w:r>
        <w:rPr>
          <w:sz w:val="22"/>
          <w:szCs w:val="22"/>
        </w:rPr>
        <w:t xml:space="preserve"> zu Drittparteienrisiken (September 2026), </w:t>
      </w:r>
      <w:r>
        <w:rPr>
          <w:b/>
          <w:bCs/>
          <w:color w:val="050A30"/>
          <w:sz w:val="22"/>
          <w:szCs w:val="22"/>
        </w:rPr>
        <w:t xml:space="preserve">Cyberresilienz und IT-Kontrollen</w:t>
      </w:r>
      <w:r>
        <w:rPr>
          <w:sz w:val="22"/>
          <w:szCs w:val="22"/>
        </w:rPr>
        <w:t xml:space="preserve"> als Aufsichtsschwerpunkt der EZB </w:t>
      </w:r>
      <w:r>
        <w:rPr>
          <w:b/>
          <w:bCs/>
          <w:color w:val="050A30"/>
          <w:sz w:val="22"/>
          <w:szCs w:val="22"/>
        </w:rPr>
        <w:t xml:space="preserve">2026–2028</w:t>
      </w:r>
      <w:r>
        <w:rPr>
          <w:sz w:val="22"/>
          <w:szCs w:val="22"/>
        </w:rPr>
        <w:t xml:space="preserve">. Im Finanzierungsgeschäft der KfW IPEX-Bank (</w:t>
      </w:r>
      <w:r>
        <w:rPr>
          <w:b/>
          <w:bCs/>
          <w:color w:val="050A30"/>
          <w:sz w:val="22"/>
          <w:szCs w:val="22"/>
        </w:rPr>
        <w:t xml:space="preserve">24,2 Mrd. € Neuzusagen 2025</w:t>
      </w:r>
      <w:r>
        <w:rPr>
          <w:sz w:val="22"/>
          <w:szCs w:val="22"/>
        </w:rPr>
        <w:t xml:space="preserve">) entscheidet zugleich die Qualität und Geschwindigkeit der Strukturierung über Mandate. Die Fachkapazität in Revision, Compliance, IT-Security und Front Office wächst nicht im gleichen Maß.</w:t>
      </w:r>
    </w:p>
    <w:p>
      <w:pPr>
        <w:spacing w:after="320" w:before="0" w:line="300" w:lineRule="auto"/>
      </w:pPr>
      <w:r>
        <w:rPr>
          <w:sz w:val="22"/>
          <w:szCs w:val="22"/>
        </w:rPr>
        <w:t xml:space="preserve">Die KfW verfügt über etablierte Prozesse und erste KI-Anwendungen. Der nächste Schritt sind Systeme, die </w:t>
      </w:r>
      <w:r>
        <w:rPr>
          <w:b/>
          <w:bCs/>
          <w:color w:val="050A30"/>
          <w:sz w:val="22"/>
          <w:szCs w:val="22"/>
        </w:rPr>
        <w:t xml:space="preserve">Quellen verknüpfen</w:t>
      </w:r>
      <w:r>
        <w:rPr>
          <w:sz w:val="22"/>
          <w:szCs w:val="22"/>
        </w:rPr>
        <w:t xml:space="preserve">, Abweichungen und Risiken </w:t>
      </w:r>
      <w:r>
        <w:rPr>
          <w:b/>
          <w:bCs/>
          <w:color w:val="050A30"/>
          <w:sz w:val="22"/>
          <w:szCs w:val="22"/>
        </w:rPr>
        <w:t xml:space="preserve">früher sichtbar machen</w:t>
      </w:r>
      <w:r>
        <w:rPr>
          <w:sz w:val="22"/>
          <w:szCs w:val="22"/>
        </w:rPr>
        <w:t xml:space="preserve">, Entscheidungen vorbereiten und </w:t>
      </w:r>
      <w:r>
        <w:rPr>
          <w:b/>
          <w:bCs/>
          <w:color w:val="050A30"/>
          <w:sz w:val="22"/>
          <w:szCs w:val="22"/>
        </w:rPr>
        <w:t xml:space="preserve">jede Aussage mit einem Nachweis</w:t>
      </w:r>
      <w:r>
        <w:rPr>
          <w:sz w:val="22"/>
          <w:szCs w:val="22"/>
        </w:rPr>
        <w:t xml:space="preserve"> versehen. Acht Anwendungsfälle entlang bestehender KfW-Prozesse: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Mar>
              <w:top w:type="dxa" w:w="0"/>
              <w:left w:type="dxa" w:w="0"/>
              <w:bottom w:type="dxa" w:w="120"/>
              <w:right w:type="dxa" w:w="30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Effizienz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01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Regulatory Impact</w:t>
            </w:r>
            <w:r>
              <w:rPr>
                <w:sz w:val="20"/>
                <w:szCs w:val="20"/>
              </w:rPr>
              <w:t xml:space="preserve">  Neue Anforderungen mit der SFO abgleichen, betroffene Dokumente benennen.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02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Audit Reporting</w:t>
            </w:r>
            <w:r>
              <w:rPr>
                <w:sz w:val="20"/>
                <w:szCs w:val="20"/>
              </w:rPr>
              <w:t xml:space="preserve">  Feststellungen und Berichte aus Prüfungsunterlagen entwerfen, mit Nachweis je Aussage.</w:t>
            </w:r>
          </w:p>
        </w:tc>
        <w:tc>
          <w:tcPr>
            <w:tcW w:type="dxa" w:w="4856"/>
            <w:tcMar>
              <w:top w:type="dxa" w:w="0"/>
              <w:left w:type="dxa" w:w="300"/>
              <w:bottom w:type="dxa" w:w="120"/>
              <w:right w:type="dxa" w:w="30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Resilienz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03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Security Testing &amp; Software-Alter</w:t>
            </w:r>
            <w:r>
              <w:rPr>
                <w:sz w:val="20"/>
                <w:szCs w:val="20"/>
              </w:rPr>
              <w:t xml:space="preserve">  Komponenten, Alter und Schwachstellen je Anwendung laufend erfassen und gezielt testen.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04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Third-Party Dependencies</w:t>
            </w:r>
            <w:r>
              <w:rPr>
                <w:sz w:val="20"/>
                <w:szCs w:val="20"/>
              </w:rPr>
              <w:t xml:space="preserve">  Abhängigkeiten von Dienstleistern und Subdienstleistern in einem Modell zusammenführen.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05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Continuous Control</w:t>
            </w:r>
            <w:r>
              <w:rPr>
                <w:sz w:val="20"/>
                <w:szCs w:val="20"/>
              </w:rPr>
              <w:t xml:space="preserve">  Kontrollabweichungen laufend aus Prozessdaten erkennen.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06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Project Finance Early Warning</w:t>
            </w:r>
            <w:r>
              <w:rPr>
                <w:sz w:val="20"/>
                <w:szCs w:val="20"/>
              </w:rPr>
              <w:t xml:space="preserve">  Verteilte Risikosignale je Finanzierung zusammenführen.</w:t>
            </w:r>
          </w:p>
        </w:tc>
        <w:tc>
          <w:tcPr>
            <w:tcW w:type="dxa" w:w="4858"/>
            <w:tcMar>
              <w:top w:type="dxa" w:w="0"/>
              <w:left w:type="dxa" w:w="300"/>
              <w:bottom w:type="dxa" w:w="120"/>
              <w:right w:type="dxa" w:w="0"/>
            </w:tcMar>
          </w:tcPr>
          <w:p>
            <w:pPr>
              <w:pBdr>
                <w:bottom w:val="single" w:color="050A30" w:sz="6"/>
              </w:pBdr>
              <w:spacing w:after="160"/>
            </w:pPr>
            <w:r>
              <w:rPr>
                <w:rFonts w:ascii="Cambria" w:cs="Cambria" w:eastAsia="Cambria" w:hAnsi="Cambria"/>
                <w:color w:val="050A30"/>
                <w:sz w:val="30"/>
                <w:szCs w:val="30"/>
              </w:rPr>
              <w:t xml:space="preserve">Wachstum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07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Export Finance Structuring</w:t>
            </w:r>
            <w:r>
              <w:rPr>
                <w:sz w:val="20"/>
                <w:szCs w:val="20"/>
              </w:rPr>
              <w:t xml:space="preserve">  Alternative ECA-Strukturen je Anfrage systematisch prüfen.</w:t>
            </w:r>
          </w:p>
          <w:p>
            <w:pPr>
              <w:spacing w:after="120" w:line="276" w:lineRule="auto"/>
            </w:pPr>
            <w:r>
              <w:rPr>
                <w:color w:val="6B7080"/>
                <w:sz w:val="19"/>
                <w:szCs w:val="19"/>
              </w:rPr>
              <w:t xml:space="preserve">08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Syndication &amp; Capital</w:t>
            </w:r>
            <w:r>
              <w:rPr>
                <w:sz w:val="20"/>
                <w:szCs w:val="20"/>
              </w:rPr>
              <w:t xml:space="preserve">  Konsortialpartner und Strukturen aus historischen Transaktionen ableiten.</w:t>
            </w:r>
          </w:p>
        </w:tc>
      </w:tr>
    </w:tbl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1  ·  Compliance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Regulatory Impact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Neue regulatorische Anforderungen systematisch auf die schriftlich fixierte Ordnung abbilden.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bewertet laufend neue Vorgaben von EU, EBA, EZB und BaFin: Anwendbarkeit je Konzerngesellschaft, Zeitpunkt, Umsetzungsbedarf.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interne Regelwerk ist die schriftlich fixierte Ordnung (SFO) mit konzernweiten und geschäftsfeldspezifischen Vorgaben.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Aufwand liegt nicht im Auffinden der Veröffentlichung, sondern im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Abgleich</w:t>
            </w:r>
            <w:r>
              <w:rPr>
                <w:sz w:val="22"/>
                <w:szCs w:val="22"/>
              </w:rPr>
              <w:t xml:space="preserve">: Eine Änderung kann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viele SFO-Dokumente</w:t>
            </w:r>
            <w:r>
              <w:rPr>
                <w:sz w:val="22"/>
                <w:szCs w:val="22"/>
              </w:rPr>
              <w:t xml:space="preserve"> betreffen, die einzeln geprüft werden müssen.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Betroffenheitsanalyse muss für Revision und Aufsicht nachvollziehbar dokumentiert sein. Das bindet erfahrene Fachleute über Wochen.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erfasst Veröffentlichungen laufend und ordnet ihren Status ein: Konsultation, final, anwendbar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gleicht die Anforderungen mit der SFO ab,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markiert betroffene Passagen</w:t>
            </w:r>
            <w:r>
              <w:rPr>
                <w:sz w:val="22"/>
                <w:szCs w:val="22"/>
              </w:rPr>
              <w:t xml:space="preserve"> und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schlägt Änderungstexte vor</w:t>
            </w:r>
            <w:r>
              <w:rPr>
                <w:sz w:val="22"/>
                <w:szCs w:val="22"/>
              </w:rPr>
              <w:t xml:space="preserve">. Jede Stelle trägt den Verweis auf die Quelle.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fachliche Bewertung und Freigabe bleibt bei Compliance.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Durchlaufzeit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Veröffentlichung bis zur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dokumentierten Betroffenheitsanalyse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Vollständiger Abgleich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alle betroffenen SFO-Dokumente mit Quellenverweis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Geringerer Abstimmungsaufwand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Fachbereiche prüfen konkrete Vorschläge statt Rohtexte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Beispiel: EBA-Leitlinien zum Drittparteienrisikomanagement, finalisiert am 18.09.2026, noch nicht anwendbar; Umsetzungsfrist voraussichtlich 2027. Das System muss diesen Status korrekt erkennen.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2  ·  Konzernrevision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Internal Audit Reporting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Prüfungsfeststellungen und Berichte aus den Prüfungsunterlagen entwerfen, mit Nachweis für jede Aussage.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Konzernrevision arbeitet mit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rund 100 Beschäftigten</w:t>
            </w:r>
            <w:r>
              <w:rPr>
                <w:sz w:val="22"/>
                <w:szCs w:val="22"/>
              </w:rPr>
              <w:t xml:space="preserve"> in vier Abteilungen und führt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etwa 60 Prüfungen im Jahr</w:t>
            </w:r>
            <w:r>
              <w:rPr>
                <w:sz w:val="22"/>
                <w:szCs w:val="22"/>
              </w:rPr>
              <w:t xml:space="preserve"> durch.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Jeder Bericht muss belastbar, nachvollziehbar und für Vorstand und Aufsicht adressatengerecht sein.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Nach den Prüfungshandlungen folgt die Dokumentation: Interviewprotokolle strukturieren, Nachweise zuordnen, Feststellungen formulieren, Abstimmungsschleifen.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angenommenen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60 Stunden je Bericht</w:t>
            </w:r>
            <w:r>
              <w:rPr>
                <w:sz w:val="22"/>
                <w:szCs w:val="22"/>
              </w:rPr>
              <w:t xml:space="preserve"> sind das rund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3.600 Stunden im Jahr</w:t>
            </w:r>
            <w:r>
              <w:rPr>
                <w:sz w:val="22"/>
                <w:szCs w:val="22"/>
              </w:rPr>
              <w:t xml:space="preserve">, die nicht für Risikobewertung und fachliche Vertiefung zur Verfügung stehen.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verknüpft Prüfprogramm, einschlägige Richtlinien, Nachweise, Protokolle und Testergebnisse.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Daraus entstehen Entwürfe für Feststellungen und Bericht.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Jede Aussage verweist auf ihren Nachweis</w:t>
            </w:r>
            <w:r>
              <w:rPr>
                <w:sz w:val="22"/>
                <w:szCs w:val="22"/>
              </w:rPr>
              <w:t xml:space="preserve">; unbelegte Aussagen und Widersprüche werden gekennzeichnet.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Bewertung, Formulierung der Schlussfolgerungen und Freigabe bleiben bei den Revisorinnen und Revisoren.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3.600 Stunden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pro Jahr weniger Dokumentationsaufwand, entspricht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rund 360.000 €</w:t>
            </w:r>
            <w:r>
              <w:rPr>
                <w:color w:val="6B7080"/>
                <w:sz w:val="20"/>
                <w:szCs w:val="20"/>
              </w:rPr>
              <w:t xml:space="preserve"> (Annahme)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Einheitliche Berichte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gleiche Struktur und Nachweistiefe über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alle 60 Prüfungen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Mehr Prüfungskapazität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frei werdende Zeit für risikoorientierte Prüfungen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60 Prüfungen × 60 Stunden = 3.600 Stunden; bei 100 € Vollkosten je Stunde rund 360.000 € pro Jahr, vor Implementierungs- und Betriebskosten.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3  ·  CISO / IT-Security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AI Security Testing &amp; Software-Alter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Kontinuierlich wissen, welche Anwendungen veraltete oder angreifbare Komponenten enthalten, und dort gezielt testen.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Finanzbericht 2025</w:t>
            </w:r>
            <w:r>
              <w:rPr>
                <w:sz w:val="22"/>
                <w:szCs w:val="22"/>
              </w:rPr>
              <w:t xml:space="preserve"> nennt Cyberangriffe und fehlerhafte Systemänderungen als zentrale IKT-Risiken. Die EZB führt Cyberresilienz und Penetrationstests als Aufsichtsschwerpunkt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2026–2028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Anwendungslandschaft umfasst Eigenentwicklungen, Systeme mehrerer Generationen, externe Bibliotheken und Schnittstellen.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Eine Anwendung kann im Betrieb stabil laufen und dennoch Komponenten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ohne Herstellersupport</w:t>
            </w:r>
            <w:r>
              <w:rPr>
                <w:sz w:val="22"/>
                <w:szCs w:val="22"/>
              </w:rPr>
              <w:t xml:space="preserve"> oder mit bekannten,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aktiv ausgenutzten Schwachstellen</w:t>
            </w:r>
            <w:r>
              <w:rPr>
                <w:sz w:val="22"/>
                <w:szCs w:val="22"/>
              </w:rPr>
              <w:t xml:space="preserve"> enthalten. OWASP führt veraltete Komponenten als eigenes Top-10-Risiko (A06).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Penetrationstests liefern ein Bild zu einem Zeitpunkt. Eine laufende Sicht auf Alter, Supportstatus und Erreichbarkeit der Komponenten je Anwendung fehlt häufig.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b/>
                <w:bCs/>
                <w:color w:val="050A30"/>
                <w:sz w:val="22"/>
                <w:szCs w:val="22"/>
              </w:rPr>
              <w:t xml:space="preserve">Komponenteninventar (SBOM)</w:t>
            </w:r>
            <w:r>
              <w:rPr>
                <w:sz w:val="22"/>
                <w:szCs w:val="22"/>
              </w:rPr>
              <w:t xml:space="preserve"> je Anwendung aus Repositories und Build-Artefakten; Abgleich mit Schwachstellendaten, Supportstatus und dem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CISA-Katalog</w:t>
            </w:r>
            <w:r>
              <w:rPr>
                <w:sz w:val="22"/>
                <w:szCs w:val="22"/>
              </w:rPr>
              <w:t xml:space="preserve"> aktiv ausgenutzter Schwachstellen.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Priorisierung nach Erreichbarkeit und Schutzbedarf. Automatisierte Tests in freigegebenen, isolierten Umgebungen; Nachtest nach jeder Behebung.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Ergänzend ein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Report zu Software- und Code-Alter</w:t>
            </w:r>
            <w:r>
              <w:rPr>
                <w:sz w:val="22"/>
                <w:szCs w:val="22"/>
              </w:rPr>
              <w:t xml:space="preserve"> je Anwendung.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Transparenz</w:t>
            </w:r>
          </w:p>
          <w:p>
            <w:pPr>
              <w:spacing w:after="0" w:line="276" w:lineRule="auto"/>
            </w:pPr>
            <w:r>
              <w:rPr>
                <w:b/>
                <w:bCs/>
                <w:color w:val="050A30"/>
                <w:sz w:val="20"/>
                <w:szCs w:val="20"/>
              </w:rPr>
              <w:t xml:space="preserve">Software-Alter</w:t>
            </w:r>
            <w:r>
              <w:rPr>
                <w:color w:val="6B7080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End-of-Life-Quote</w:t>
            </w:r>
            <w:r>
              <w:rPr>
                <w:color w:val="6B7080"/>
                <w:sz w:val="20"/>
                <w:szCs w:val="20"/>
              </w:rPr>
              <w:t xml:space="preserve"> und erreichbare kritische Schwachstellen je Anwendung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Remediation Time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Erkennung bis zur verifizierten Behebung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Gezielter Testaufwand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auf Anwendungen mit hohem Risiko und hoher Exposition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Ergänzt manuelle Penetrationstests und bedrohungsorientierte Tests (TLPT) nach DORA, ersetzt sie nicht.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4  ·  IT-Risiko / Auslagerung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Third-Party Dependency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Abhängigkeiten von Dienstleistern, Subdienstleistern und Systemen in einem Modell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Kritische Geschäftsprozesse hängen von Cloud-Providern, Softwareherstellern, Rechenzentrumsdiensten und deren Subdienstleistern ab.</w:t>
            </w:r>
          </w:p>
          <w:p>
            <w:pPr>
              <w:spacing w:after="120" w:before="0" w:line="288" w:lineRule="auto"/>
            </w:pPr>
            <w:r>
              <w:rPr>
                <w:b/>
                <w:bCs/>
                <w:color w:val="050A30"/>
                <w:sz w:val="22"/>
                <w:szCs w:val="22"/>
              </w:rPr>
              <w:t xml:space="preserve">DORA</w:t>
            </w:r>
            <w:r>
              <w:rPr>
                <w:sz w:val="22"/>
                <w:szCs w:val="22"/>
              </w:rPr>
              <w:t xml:space="preserve"> verlangt ein strukturiertes Management dieser Abhängigkeiten. Die EBA hat im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September 2026</w:t>
            </w:r>
            <w:r>
              <w:rPr>
                <w:sz w:val="22"/>
                <w:szCs w:val="22"/>
              </w:rPr>
              <w:t xml:space="preserve"> Leitlinien auch für Drittparteien außerhalb des IKT-Bereichs finalisiert.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Hinter einer Anwendung stehen oft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mehrere Anbieter und Subunternehmer</w:t>
            </w:r>
            <w:r>
              <w:rPr>
                <w:sz w:val="22"/>
                <w:szCs w:val="22"/>
              </w:rPr>
              <w:t xml:space="preserve">. Die Informationen dazu liegen verteilt 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vier Bereichen</w:t>
            </w:r>
            <w:r>
              <w:rPr>
                <w:sz w:val="22"/>
                <w:szCs w:val="22"/>
              </w:rPr>
              <w:t xml:space="preserve">: Vertragsmanagement, IT-Architektur, Prozessdokumentation und Risikomanagement.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Dienstleistervorfall muss die Betroffenheit aus diesen Quellen erst zusammengetragen werden.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Abhängigkeitsmodell</w:t>
            </w:r>
            <w:r>
              <w:rPr>
                <w:sz w:val="22"/>
                <w:szCs w:val="22"/>
              </w:rPr>
              <w:t xml:space="preserve"> verknüpft Verträge, Dienstleister, Subdienstleisterketten, Systeme und Geschäftsprozesse.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 je Dienstleister die abhängigen Funktionen, bestehende vertragliche Absicherungen, dokumentierte Exit- und Wiederanlaufpläne und fehlende Nachweise.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Konzentrationsrisiken werden aus den vorhandenen Daten sichtbar.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Schnellere Betroffenheitsanalyse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bei Störungen oder Sicherheitsmeldungen eines Dienstleisters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Vollständige Erfassung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kritischer Abhängigkeiten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einschließlich Subdienstleister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Prüfbare Nachweise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Exit-Pläne und Absicherungen direkt am Geschäftsprozess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5  ·  IKS / Operational Risk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Continuous Control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Kontrollabweichungen laufend aus Prozessdaten erkennen statt nur zu festen Prüfzeitpunkten.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verfügt über etablierte IKS-Kontrollen, regelmäßige Risiko-Assessments und bereichsspezifische OpRisk-Dashboards.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Kontrollen werden in festen Abständen geprüft, Nachweise zusammengetragen und Maßnahmen nachverfolgt.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Zwischen zwei Prüfzeitpunkten entstehende Abweichungen werden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erst bei der nächsten Prüfung</w:t>
            </w:r>
            <w:r>
              <w:rPr>
                <w:sz w:val="22"/>
                <w:szCs w:val="22"/>
              </w:rPr>
              <w:t xml:space="preserve"> sichtbar, je nach Kontrollfrequenz nach Monaten.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Kontrollnachweise, Prozessdaten, Berechtigungen und Maßnahmenstatus liegen in verschiedenen Systemen. Ob eine Korrekturmaßnahme gewirkt hat, ist aufwendig zu belegen.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Prozess- und Transaktionsdaten werden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laufend</w:t>
            </w:r>
            <w:r>
              <w:rPr>
                <w:sz w:val="22"/>
                <w:szCs w:val="22"/>
              </w:rPr>
              <w:t xml:space="preserve"> gegen definierte Kontrollregeln geprüft, etwa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Berechtigungsänderung ohne Freigabe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verletzte Funktionstrennung</w:t>
            </w:r>
            <w:r>
              <w:rPr>
                <w:sz w:val="22"/>
                <w:szCs w:val="22"/>
              </w:rPr>
              <w:t xml:space="preserve"> oder Kontrolle ohne vollständigen Nachweis.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Auffälligkeiten werden im Prozesskontext eingeordnet und begründet an die Kontrollverantwortlichen übergeben.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Interne Revision kann die Ergebnisse unabhängig prüfen.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Frühere Erkennung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Abweichungen nahe am Zeitpunkt ihres Entstehens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Weniger manuelle Auswertung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Nachweise werden systemseitig zusammengeführt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Nachweis der Wirksamkeit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Korrekturmaßnahmen anhand der Prozessdaten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6  ·  KfW IPEX-Bank, Kreditrisiko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Project Finance Early Warning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Verteilte Signale aus Projektberichten, Covenants und Marktdaten je Finanzierung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begleitet langfristige Projekte in Energie, Mobilität und Infrastruktur; Ende 2025 lag der Kreditbestand bei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88,9 Mrd. €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Jedes Projekt liefert laufend Finanzberichte, Baufortschrittsmeldungen und Covenant-Reporting; hinzu kommen Markt- und Branchendaten.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Verschlechterungen kündigen sich meist durch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mehrere kleine Signale</w:t>
            </w:r>
            <w:r>
              <w:rPr>
                <w:sz w:val="22"/>
                <w:szCs w:val="22"/>
              </w:rPr>
              <w:t xml:space="preserve"> an, verteilt über Dokumente, Quellen und Monate: eine Bauverzögerung, steigende Beschaffungskosten, eine angepasste Prognose eines Auftragnehmers.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Portfolio dieser Größe ist es im Kreditreview aufwendig, diese Signale je Projekt in einen gemeinsamen Risikokontext zu bringen.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liest Projektberichte, Vertrags- und Covenant-Dokumente sowie externe Signale und verknüpft sie mit den Annahmen des Finanzierungsmodells.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zeigt, welche Annahmen und Verpflichtungen überprüft werden sollten, und begründet dies mit den zugrunde liegenden Quellen.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Cashflow-, Deckungsgrad- und Risikoberechnungen bleiben in 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validierten Modellen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Längere Vorwarnzeit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Covenant-Verstößen</w:t>
            </w:r>
            <w:r>
              <w:rPr>
                <w:color w:val="6B7080"/>
                <w:sz w:val="20"/>
                <w:szCs w:val="20"/>
              </w:rPr>
              <w:t xml:space="preserve"> und Ratingveränderungen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Effizientere Kreditreviews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weniger Zeit für die Sichtung, mehr für die Bewertung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Begrenzung von Verlusten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frühere Maßnahmen bei kritischen Entwicklungen</w:t>
            </w:r>
          </w:p>
        </w:tc>
      </w:tr>
    </w:tbl>
    <w:p/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7  ·  KfW IPEX-Bank, Exportfinanzierung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Export Finance Structuring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Für jede Finanzierungsanfrage alternative ECA-Strukturen systematisch prüfen und vergleichen.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ECA-Transaktionsvolumen der KfW IPEX-Bank lag 2025 bei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rund 4,4 Mrd. €</w:t>
            </w:r>
            <w:r>
              <w:rPr>
                <w:sz w:val="22"/>
                <w:szCs w:val="22"/>
              </w:rPr>
              <w:t xml:space="preserve">. Die Zahl der Deckungsprodukte der Exportkreditagenturen hat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deutlich zugenommen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KI-Projekt zur Dokumentenanalyse ist bereits gestartet.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Welche Deckung zu einem Vorhaben passt, hängt von Land, Lieferkette, Risikokonstellation und Förderkriterien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Unter Zeitdruck ist es schwierig, alle Varianten gleichwertig zu prüfen.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Strukturen, die ein Mandat erst ermöglichen würden, bleiben dann ungeprüft.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 Anfrage wird gegen die Deckungsbedingungen relevanter Agenturen und gegen vergleichbare historische Transaktionen der Bank geprüft.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stellt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zwei bis drei Strukturvarianten</w:t>
            </w:r>
            <w:r>
              <w:rPr>
                <w:sz w:val="22"/>
                <w:szCs w:val="22"/>
              </w:rPr>
              <w:t xml:space="preserve"> mit Voraussetzungen, Risikoaufteilung und wirtschaftlicher Einschätzung gegenüber.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Strukturierungsexperten entscheiden, welche Variante weiterverfolgt wird.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Zusätzliche Mandate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Strukturen, die heute nicht systematisch geprüft werden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Zeit bis zum Term Sheet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vorbereitete Strukturvergleiche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300.000 €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Bruttoertrag je Zusatzmandat bei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150 Mio. € Volumen</w:t>
            </w:r>
            <w:r>
              <w:rPr>
                <w:color w:val="6B7080"/>
                <w:sz w:val="20"/>
                <w:szCs w:val="20"/>
              </w:rPr>
              <w:t xml:space="preserve"> und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20 bp</w:t>
            </w:r>
            <w:r>
              <w:rPr>
                <w:color w:val="6B7080"/>
                <w:sz w:val="20"/>
                <w:szCs w:val="20"/>
              </w:rPr>
              <w:t xml:space="preserve"> (Annahme)</w:t>
            </w:r>
          </w:p>
        </w:tc>
      </w:tr>
    </w:tbl>
    <w:p>
      <w:pPr>
        <w:spacing w:after="0" w:before="160"/>
      </w:pPr>
      <w:r>
        <w:rPr>
          <w:color w:val="6B7080"/>
          <w:sz w:val="17"/>
          <w:szCs w:val="17"/>
        </w:rPr>
        <w:t xml:space="preserve">Der Gebührensatz ist eine Rechenannahme, kein veröffentlichter KfW-Wert. Risiko-, Personal- und Strukturierungskosten sind nicht abgezogen.</w:t>
      </w:r>
    </w:p>
    <w:p>
      <w:pPr>
        <w:keepNext/>
        <w:pageBreakBefore/>
        <w:spacing w:after="40"/>
      </w:pPr>
      <w:r>
        <w:rPr>
          <w:color w:val="6B7080"/>
          <w:sz w:val="19"/>
          <w:szCs w:val="19"/>
        </w:rPr>
        <w:t xml:space="preserve">Anwendungsfall 8  ·  KfW IPEX-Bank, Syndizierung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Syndication &amp; Capital Intelligence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Geeignete Konsortialpartner und Syndizierungsstrukturen aus historischen Transaktionen ableiten.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wies 2025 ein arrangiertes Syndizierungsvolumen von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6,9 Mrd. €</w:t>
            </w:r>
            <w:r>
              <w:rPr>
                <w:sz w:val="22"/>
                <w:szCs w:val="22"/>
              </w:rPr>
              <w:t xml:space="preserve"> aus. Großvolumige Finanzierungen werden mit Banken und institutionellen Investoren geteilt.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Erfolg der Platzierung bestimmt, wie viel Kapazität für weiteres Geschäft verfügbar bleibt.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 Transaktion sind Partner nach Sektor, Land, Laufzeit, Ticketgröße und bestehender Beziehung zu bewerten, dazu Strukturvarianten mit unterschiedlicher Kapitalbindung.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großer Teil dieses Wissens liegt in abgeschlossenen Transaktionen und bei einzelnen Personen,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nicht in einem auswertbaren System</w:t>
            </w:r>
            <w:r>
              <w:rPr>
                <w:sz w:val="22"/>
                <w:szCs w:val="22"/>
              </w:rPr>
              <w:t xml:space="preserve">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wertet historische Syndizierungen, dokumentierte Partnerpräferenzen und die aktuelle Pipeline aus.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schlägt Partner und Strukturvarianten vor und vergleicht Szenarien nach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Platzierbarkeit, Kapitalbindung und Ergebnis</w:t>
            </w:r>
            <w:r>
              <w:rPr>
                <w:sz w:val="22"/>
                <w:szCs w:val="22"/>
              </w:rPr>
              <w:t xml:space="preserve">, auf Basis der bestehenden Risikomodelle.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Syndizierungsteam entscheidet über Ansprache und Struktur.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Höhere Platzierungsquote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und kürzere Zeit bis zur Syndizierung</w:t>
            </w:r>
          </w:p>
        </w:tc>
        <w:tc>
          <w:tcPr>
            <w:tcW w:type="dxa" w:w="4856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Geringere Kapitalbindung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je Transaktion durch passendere Strukturen</w:t>
            </w:r>
          </w:p>
        </w:tc>
        <w:tc>
          <w:tcPr>
            <w:tcW w:type="dxa" w:w="4858"/>
            <w:shd w:fill="F4F5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Zusätzliches Geschäft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innerhalb bestehender Risiko- und Kapitalvorgaben</w:t>
            </w:r>
          </w:p>
        </w:tc>
      </w:tr>
    </w:tbl>
    <w:p/>
    <w:sectPr>
      <w:footerReference w:type="default" r:id="rId7"/>
      <w:pgSz w:w="16838" w:h="11906" w:orient="landscape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570"/>
      </w:tabs>
    </w:pPr>
    <w:r>
      <w:rPr>
        <w:color w:val="6B7080"/>
        <w:sz w:val="15"/>
        <w:szCs w:val="15"/>
      </w:rPr>
      <w:t xml:space="preserve">KfW  ·  KI-Anwendungsfälle</w:t>
    </w:r>
    <w:r>
      <w:t xml:space="preserve">	</w:t>
    </w:r>
    <w:r>
      <w:rPr>
        <w:color w:val="6B7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300"/>
      </w:pPr>
      <w:rPr>
        <w:color w:val="050A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233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6bee60e59fa09dd2f29a258d93099b13abf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KfW – Acht Anwendungsfälle für KI</dc:title>
  <dc:creator>Un-named</dc:creator>
  <cp:lastModifiedBy>Un-named</cp:lastModifiedBy>
  <cp:revision>1</cp:revision>
  <dcterms:created xsi:type="dcterms:W3CDTF">2026-10-26T22:13:44.229Z</dcterms:created>
  <dcterms:modified xsi:type="dcterms:W3CDTF">2026-10-26T22:13:44.231Z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