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pPr>
      <w:r>
        <w:drawing>
          <wp:inline distT="0" distB="0" distL="0" distR="0">
            <wp:extent cx="14287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285750"/>
                    </a:xfrm>
                    <a:prstGeom prst="rect">
                      <a:avLst/>
                    </a:prstGeom>
                  </pic:spPr>
                </pic:pic>
              </a:graphicData>
            </a:graphic>
          </wp:inline>
        </w:drawing>
      </w:r>
    </w:p>
    <w:p>
      <w:pPr>
        <w:spacing w:after="60"/>
      </w:pPr>
      <w:r>
        <w:rPr>
          <w:color w:val="6B7080"/>
          <w:sz w:val="19"/>
          <w:szCs w:val="19"/>
        </w:rPr>
        <w:t xml:space="preserve">KfW Bankengruppe  ·  Oktober 2026</w:t>
      </w:r>
    </w:p>
    <w:p>
      <w:pPr>
        <w:pBdr>
          <w:bottom w:val="single" w:color="050A30" w:sz="8"/>
        </w:pBdr>
        <w:spacing w:after="320" w:line="252" w:lineRule="auto"/>
      </w:pPr>
      <w:r>
        <w:rPr>
          <w:rFonts w:ascii="Cambria" w:cs="Cambria" w:eastAsia="Cambria" w:hAnsi="Cambria"/>
          <w:color w:val="050A30"/>
          <w:sz w:val="56"/>
          <w:szCs w:val="56"/>
        </w:rPr>
        <w:t xml:space="preserve">Acht Anwendungsfälle für KI bei der KfW</w:t>
      </w:r>
    </w:p>
    <w:p>
      <w:pPr>
        <w:spacing w:after="160" w:before="0" w:line="312" w:lineRule="auto"/>
      </w:pPr>
      <w:r>
        <w:rPr>
          <w:sz w:val="24"/>
          <w:szCs w:val="24"/>
        </w:rPr>
        <w:t xml:space="preserve">Die KfW prüft, dokumentiert und sichert heute mehr ab als je zuvor: DORA, neue EBA-Leitlinien, EZB-Schwerpunkt Cyber und IT-Kontrollen. Gleichzeitig entscheidet im Finanzierungsgeschäft der IPEX-Bank die Geschwindigkeit der Strukturierung über Mandate. Die Kapazität in Revision, Compliance, Security und Front Office wächst nicht im gleichen Tempo.</w:t>
      </w:r>
    </w:p>
    <w:p>
      <w:pPr>
        <w:spacing w:after="440" w:before="0" w:line="312" w:lineRule="auto"/>
      </w:pPr>
      <w:r>
        <w:rPr>
          <w:sz w:val="24"/>
          <w:szCs w:val="24"/>
        </w:rPr>
        <w:t xml:space="preserve">Die Antwort ist nicht ein weiterer Assistent, der Texte zusammenfasst. Sondern KI, die Quellen verknüpft, Risiken früher sichtbar macht, Entscheidungen vorbereitet und jede Aussage belegt. Acht Stellen, an denen das für die KfW einen messbaren Unterschied macht:</w:t>
      </w:r>
    </w:p>
    <w:tbl>
      <w:tblPr>
        <w:tblW w:type="dxa" w:w="145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56"/>
        <w:gridCol w:w="4856"/>
        <w:gridCol w:w="4858"/>
      </w:tblGrid>
      <w:tr>
        <w:trPr>
          <w:cantSplit/>
        </w:trPr>
        <w:tc>
          <w:tcPr>
            <w:tcW w:type="dxa" w:w="4856"/>
            <w:tcMar>
              <w:top w:type="dxa" w:w="0"/>
              <w:left w:type="dxa" w:w="0"/>
              <w:bottom w:type="dxa" w:w="120"/>
              <w:right w:type="dxa" w:w="300"/>
            </w:tcMar>
          </w:tcPr>
          <w:p>
            <w:pPr>
              <w:pBdr>
                <w:bottom w:val="single" w:color="050A30" w:sz="6"/>
              </w:pBdr>
              <w:spacing w:after="160"/>
            </w:pPr>
            <w:r>
              <w:rPr>
                <w:rFonts w:ascii="Cambria" w:cs="Cambria" w:eastAsia="Cambria" w:hAnsi="Cambria"/>
                <w:color w:val="050A30"/>
                <w:sz w:val="30"/>
                <w:szCs w:val="30"/>
              </w:rPr>
              <w:t xml:space="preserve">Effizienz</w:t>
            </w:r>
          </w:p>
          <w:p>
            <w:pPr>
              <w:spacing w:after="160" w:line="288" w:lineRule="auto"/>
            </w:pPr>
            <w:r>
              <w:rPr>
                <w:color w:val="6B7080"/>
                <w:sz w:val="19"/>
                <w:szCs w:val="19"/>
              </w:rPr>
              <w:t xml:space="preserve">01  </w:t>
            </w:r>
            <w:r>
              <w:rPr>
                <w:b/>
                <w:bCs/>
                <w:color w:val="050A30"/>
                <w:sz w:val="22"/>
                <w:szCs w:val="22"/>
              </w:rPr>
              <w:t xml:space="preserve">Regulatory Impact</w:t>
            </w:r>
            <w:r>
              <w:rPr>
                <w:sz w:val="21"/>
                <w:szCs w:val="21"/>
              </w:rPr>
              <w:t xml:space="preserve">  Neue Regulierung automatisch gegen die SFO abgleichen.</w:t>
            </w:r>
          </w:p>
          <w:p>
            <w:pPr>
              <w:spacing w:after="160" w:line="288" w:lineRule="auto"/>
            </w:pPr>
            <w:r>
              <w:rPr>
                <w:color w:val="6B7080"/>
                <w:sz w:val="19"/>
                <w:szCs w:val="19"/>
              </w:rPr>
              <w:t xml:space="preserve">02  </w:t>
            </w:r>
            <w:r>
              <w:rPr>
                <w:b/>
                <w:bCs/>
                <w:color w:val="050A30"/>
                <w:sz w:val="22"/>
                <w:szCs w:val="22"/>
              </w:rPr>
              <w:t xml:space="preserve">Audit Reporting</w:t>
            </w:r>
            <w:r>
              <w:rPr>
                <w:sz w:val="21"/>
                <w:szCs w:val="21"/>
              </w:rPr>
              <w:t xml:space="preserve">  Revisionsberichte aus Prüfungsunterlagen entwerfen, jede Aussage belegt.</w:t>
            </w:r>
          </w:p>
        </w:tc>
        <w:tc>
          <w:tcPr>
            <w:tcW w:type="dxa" w:w="4856"/>
            <w:tcMar>
              <w:top w:type="dxa" w:w="0"/>
              <w:left w:type="dxa" w:w="300"/>
              <w:bottom w:type="dxa" w:w="120"/>
              <w:right w:type="dxa" w:w="300"/>
            </w:tcMar>
          </w:tcPr>
          <w:p>
            <w:pPr>
              <w:pBdr>
                <w:bottom w:val="single" w:color="050A30" w:sz="6"/>
              </w:pBdr>
              <w:spacing w:after="160"/>
            </w:pPr>
            <w:r>
              <w:rPr>
                <w:rFonts w:ascii="Cambria" w:cs="Cambria" w:eastAsia="Cambria" w:hAnsi="Cambria"/>
                <w:color w:val="050A30"/>
                <w:sz w:val="30"/>
                <w:szCs w:val="30"/>
              </w:rPr>
              <w:t xml:space="preserve">Resilienz</w:t>
            </w:r>
          </w:p>
          <w:p>
            <w:pPr>
              <w:spacing w:after="160" w:line="288" w:lineRule="auto"/>
            </w:pPr>
            <w:r>
              <w:rPr>
                <w:color w:val="6B7080"/>
                <w:sz w:val="19"/>
                <w:szCs w:val="19"/>
              </w:rPr>
              <w:t xml:space="preserve">03  </w:t>
            </w:r>
            <w:r>
              <w:rPr>
                <w:b/>
                <w:bCs/>
                <w:color w:val="050A30"/>
                <w:sz w:val="22"/>
                <w:szCs w:val="22"/>
              </w:rPr>
              <w:t xml:space="preserve">Security Testing &amp; Software-Alter</w:t>
            </w:r>
            <w:r>
              <w:rPr>
                <w:sz w:val="21"/>
                <w:szCs w:val="21"/>
              </w:rPr>
              <w:t xml:space="preserve">  Laufend wissen, welche Anwendung veraltet und angreifbar ist.</w:t>
            </w:r>
          </w:p>
          <w:p>
            <w:pPr>
              <w:spacing w:after="160" w:line="288" w:lineRule="auto"/>
            </w:pPr>
            <w:r>
              <w:rPr>
                <w:color w:val="6B7080"/>
                <w:sz w:val="19"/>
                <w:szCs w:val="19"/>
              </w:rPr>
              <w:t xml:space="preserve">04  </w:t>
            </w:r>
            <w:r>
              <w:rPr>
                <w:b/>
                <w:bCs/>
                <w:color w:val="050A30"/>
                <w:sz w:val="22"/>
                <w:szCs w:val="22"/>
              </w:rPr>
              <w:t xml:space="preserve">Third-Party Dependencies</w:t>
            </w:r>
            <w:r>
              <w:rPr>
                <w:sz w:val="21"/>
                <w:szCs w:val="21"/>
              </w:rPr>
              <w:t xml:space="preserve">  Bei Dienstleistervorfall sofort die betroffenen Prozesse kennen.</w:t>
            </w:r>
          </w:p>
          <w:p>
            <w:pPr>
              <w:spacing w:after="160" w:line="288" w:lineRule="auto"/>
            </w:pPr>
            <w:r>
              <w:rPr>
                <w:color w:val="6B7080"/>
                <w:sz w:val="19"/>
                <w:szCs w:val="19"/>
              </w:rPr>
              <w:t xml:space="preserve">05  </w:t>
            </w:r>
            <w:r>
              <w:rPr>
                <w:b/>
                <w:bCs/>
                <w:color w:val="050A30"/>
                <w:sz w:val="22"/>
                <w:szCs w:val="22"/>
              </w:rPr>
              <w:t xml:space="preserve">Continuous Control</w:t>
            </w:r>
            <w:r>
              <w:rPr>
                <w:sz w:val="21"/>
                <w:szCs w:val="21"/>
              </w:rPr>
              <w:t xml:space="preserve">  IKS-Abweichungen erkennen, wenn sie entstehen.</w:t>
            </w:r>
          </w:p>
          <w:p>
            <w:pPr>
              <w:spacing w:after="160" w:line="288" w:lineRule="auto"/>
            </w:pPr>
            <w:r>
              <w:rPr>
                <w:color w:val="6B7080"/>
                <w:sz w:val="19"/>
                <w:szCs w:val="19"/>
              </w:rPr>
              <w:t xml:space="preserve">06  </w:t>
            </w:r>
            <w:r>
              <w:rPr>
                <w:b/>
                <w:bCs/>
                <w:color w:val="050A30"/>
                <w:sz w:val="22"/>
                <w:szCs w:val="22"/>
              </w:rPr>
              <w:t xml:space="preserve">Project Finance Early Warning</w:t>
            </w:r>
            <w:r>
              <w:rPr>
                <w:sz w:val="21"/>
                <w:szCs w:val="21"/>
              </w:rPr>
              <w:t xml:space="preserve">  Warnsignale im 88,9-Mrd.-Portfolio früher bündeln.</w:t>
            </w:r>
          </w:p>
        </w:tc>
        <w:tc>
          <w:tcPr>
            <w:tcW w:type="dxa" w:w="4858"/>
            <w:tcMar>
              <w:top w:type="dxa" w:w="0"/>
              <w:left w:type="dxa" w:w="300"/>
              <w:bottom w:type="dxa" w:w="120"/>
              <w:right w:type="dxa" w:w="0"/>
            </w:tcMar>
          </w:tcPr>
          <w:p>
            <w:pPr>
              <w:pBdr>
                <w:bottom w:val="single" w:color="050A30" w:sz="6"/>
              </w:pBdr>
              <w:spacing w:after="160"/>
            </w:pPr>
            <w:r>
              <w:rPr>
                <w:rFonts w:ascii="Cambria" w:cs="Cambria" w:eastAsia="Cambria" w:hAnsi="Cambria"/>
                <w:color w:val="050A30"/>
                <w:sz w:val="30"/>
                <w:szCs w:val="30"/>
              </w:rPr>
              <w:t xml:space="preserve">Wachstum</w:t>
            </w:r>
          </w:p>
          <w:p>
            <w:pPr>
              <w:spacing w:after="160" w:line="288" w:lineRule="auto"/>
            </w:pPr>
            <w:r>
              <w:rPr>
                <w:color w:val="6B7080"/>
                <w:sz w:val="19"/>
                <w:szCs w:val="19"/>
              </w:rPr>
              <w:t xml:space="preserve">07  </w:t>
            </w:r>
            <w:r>
              <w:rPr>
                <w:b/>
                <w:bCs/>
                <w:color w:val="050A30"/>
                <w:sz w:val="22"/>
                <w:szCs w:val="22"/>
              </w:rPr>
              <w:t xml:space="preserve">Export Finance Structuring</w:t>
            </w:r>
            <w:r>
              <w:rPr>
                <w:sz w:val="21"/>
                <w:szCs w:val="21"/>
              </w:rPr>
              <w:t xml:space="preserve">  Mehr Strukturvarianten je Anfrage, mehr Mandate.</w:t>
            </w:r>
          </w:p>
          <w:p>
            <w:pPr>
              <w:spacing w:after="160" w:line="288" w:lineRule="auto"/>
            </w:pPr>
            <w:r>
              <w:rPr>
                <w:color w:val="6B7080"/>
                <w:sz w:val="19"/>
                <w:szCs w:val="19"/>
              </w:rPr>
              <w:t xml:space="preserve">08  </w:t>
            </w:r>
            <w:r>
              <w:rPr>
                <w:b/>
                <w:bCs/>
                <w:color w:val="050A30"/>
                <w:sz w:val="22"/>
                <w:szCs w:val="22"/>
              </w:rPr>
              <w:t xml:space="preserve">Syndication &amp; Capital</w:t>
            </w:r>
            <w:r>
              <w:rPr>
                <w:sz w:val="21"/>
                <w:szCs w:val="21"/>
              </w:rPr>
              <w:t xml:space="preserve">  Risiken intelligenter verteilen, weniger Kapital binden.</w:t>
            </w:r>
          </w:p>
        </w:tc>
      </w:tr>
    </w:tbl>
    <w:p>
      <w:pPr>
        <w:keepNext/>
        <w:pageBreakBefore/>
        <w:spacing w:after="40"/>
      </w:pPr>
      <w:r>
        <w:rPr>
          <w:color w:val="6B7080"/>
          <w:sz w:val="19"/>
          <w:szCs w:val="19"/>
        </w:rPr>
        <w:t xml:space="preserve">Anwendungsfall 1  ·  Compliance</w:t>
      </w:r>
    </w:p>
    <w:p>
      <w:pPr>
        <w:keepNext/>
        <w:spacing w:after="80" w:line="252" w:lineRule="auto"/>
      </w:pPr>
      <w:r>
        <w:rPr>
          <w:rFonts w:ascii="Cambria" w:cs="Cambria" w:eastAsia="Cambria" w:hAnsi="Cambria"/>
          <w:color w:val="050A30"/>
          <w:sz w:val="52"/>
          <w:szCs w:val="52"/>
        </w:rPr>
        <w:t xml:space="preserve">Regulatory Impact Intelligence</w:t>
      </w:r>
    </w:p>
    <w:p>
      <w:pPr>
        <w:pBdr>
          <w:bottom w:val="single" w:color="050A30" w:sz="8"/>
        </w:pBdr>
        <w:spacing w:after="360" w:line="264" w:lineRule="auto"/>
      </w:pPr>
      <w:r>
        <w:rPr>
          <w:rFonts w:ascii="Cambria" w:cs="Cambria" w:eastAsia="Cambria" w:hAnsi="Cambria"/>
          <w:i/>
          <w:iCs/>
          <w:color w:val="050A30"/>
          <w:sz w:val="28"/>
          <w:szCs w:val="28"/>
        </w:rPr>
        <w:t xml:space="preserve">Eine neue EBA-Leitlinie erscheint. Noch am selben Tag liegt auf dem Tisch, welche SFO-Dokumente sich ändern müssen.</w:t>
      </w:r>
    </w:p>
    <w:tbl>
      <w:tblPr>
        <w:tblW w:type="dxa" w:w="145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56"/>
        <w:gridCol w:w="4856"/>
        <w:gridCol w:w="4858"/>
      </w:tblGrid>
      <w:tr>
        <w:trPr>
          <w:cantSplit/>
        </w:trPr>
        <w:tc>
          <w:tcPr>
            <w:tcW w:type="dxa" w:w="4856"/>
            <w:tcBorders>
              <w:top w:val="none" w:color="FFFFFF" w:sz="0"/>
              <w:left w:val="none" w:color="FFFFFF" w:sz="0"/>
              <w:bottom w:val="none" w:color="FFFFFF" w:sz="0"/>
              <w:right w:val="none" w:color="FFFFFF" w:sz="0"/>
            </w:tcBorders>
            <w:tcMar>
              <w:top w:type="dxa" w:w="120"/>
              <w:left w:type="dxa" w:w="0"/>
              <w:bottom w:type="dxa" w:w="120"/>
              <w:right w:type="dxa" w:w="240"/>
            </w:tcMar>
          </w:tcPr>
          <w:p>
            <w:pPr>
              <w:keepNext/>
              <w:spacing w:after="120"/>
            </w:pPr>
            <w:r>
              <w:rPr>
                <w:b/>
                <w:bCs/>
                <w:color w:val="6B7080"/>
                <w:sz w:val="19"/>
                <w:szCs w:val="19"/>
              </w:rPr>
              <w:t xml:space="preserve">Heute</w:t>
            </w:r>
          </w:p>
          <w:p>
            <w:pPr>
              <w:spacing w:after="140" w:before="0" w:line="300" w:lineRule="auto"/>
            </w:pPr>
            <w:r>
              <w:rPr>
                <w:sz w:val="23"/>
                <w:szCs w:val="23"/>
              </w:rPr>
              <w:t xml:space="preserve">Die KfW muss jede neue Vorgabe von EU, EBA, EZB und BaFin bewerten: Gilt sie für uns, für welche Konzerngesellschaft, ab wann?</w:t>
            </w:r>
          </w:p>
          <w:p>
            <w:pPr>
              <w:spacing w:after="140" w:before="0" w:line="300" w:lineRule="auto"/>
            </w:pPr>
            <w:r>
              <w:rPr>
                <w:sz w:val="23"/>
                <w:szCs w:val="23"/>
              </w:rPr>
              <w:t xml:space="preserve">Das interne Regelwerk ist die schriftlich fixierte Ordnung (SFO). Sie verbindet konzernweite und geschäftsfeldspezifische Vorgaben.</w:t>
            </w:r>
          </w:p>
        </w:tc>
        <w:tc>
          <w:tcPr>
            <w:tcW w:type="dxa" w:w="4856"/>
            <w:tcBorders>
              <w:top w:val="none" w:color="FFFFFF" w:sz="0"/>
              <w:left w:val="single" w:color="D6D9E1" w:sz="4"/>
              <w:bottom w:val="none" w:color="FFFFFF" w:sz="0"/>
              <w:right w:val="none" w:color="FFFFFF" w:sz="0"/>
            </w:tcBorders>
            <w:tcMar>
              <w:top w:type="dxa" w:w="120"/>
              <w:left w:type="dxa" w:w="240"/>
              <w:bottom w:type="dxa" w:w="120"/>
              <w:right w:type="dxa" w:w="240"/>
            </w:tcMar>
          </w:tcPr>
          <w:p>
            <w:pPr>
              <w:keepNext/>
              <w:spacing w:after="120"/>
            </w:pPr>
            <w:r>
              <w:rPr>
                <w:b/>
                <w:bCs/>
                <w:color w:val="6B7080"/>
                <w:sz w:val="19"/>
                <w:szCs w:val="19"/>
              </w:rPr>
              <w:t xml:space="preserve">Das Problem</w:t>
            </w:r>
          </w:p>
          <w:p>
            <w:pPr>
              <w:spacing w:after="140" w:before="0" w:line="300" w:lineRule="auto"/>
            </w:pPr>
            <w:r>
              <w:rPr>
                <w:sz w:val="23"/>
                <w:szCs w:val="23"/>
              </w:rPr>
              <w:t xml:space="preserve">Die Veröffentlichung zu finden ist einfach. Aufwendig ist der Abgleich: Eine einzelne Änderung kann Dutzende SFO-Dokumente berühren.</w:t>
            </w:r>
          </w:p>
          <w:p>
            <w:pPr>
              <w:spacing w:after="140" w:before="0" w:line="300" w:lineRule="auto"/>
            </w:pPr>
            <w:r>
              <w:rPr>
                <w:sz w:val="23"/>
                <w:szCs w:val="23"/>
              </w:rPr>
              <w:t xml:space="preserve">Heute lesen Fachleute Seite für Seite, markieren Stellen von Hand und dokumentieren die Betroffenheit nachvollziehbar für Prüfung und Aufsicht.</w:t>
            </w:r>
          </w:p>
        </w:tc>
        <w:tc>
          <w:tcPr>
            <w:tcW w:type="dxa" w:w="4858"/>
            <w:tcBorders>
              <w:top w:val="none" w:color="FFFFFF" w:sz="0"/>
              <w:left w:val="single" w:color="D6D9E1" w:sz="4"/>
              <w:bottom w:val="none" w:color="FFFFFF" w:sz="0"/>
              <w:right w:val="none" w:color="FFFFFF" w:sz="0"/>
            </w:tcBorders>
            <w:tcMar>
              <w:top w:type="dxa" w:w="120"/>
              <w:left w:type="dxa" w:w="240"/>
              <w:bottom w:type="dxa" w:w="120"/>
              <w:right w:type="dxa" w:w="0"/>
            </w:tcMar>
          </w:tcPr>
          <w:p>
            <w:pPr>
              <w:keepNext/>
              <w:spacing w:after="120"/>
            </w:pPr>
            <w:r>
              <w:rPr>
                <w:b/>
                <w:bCs/>
                <w:color w:val="6B7080"/>
                <w:sz w:val="19"/>
                <w:szCs w:val="19"/>
              </w:rPr>
              <w:t xml:space="preserve">Mit KI</w:t>
            </w:r>
          </w:p>
          <w:p>
            <w:pPr>
              <w:spacing w:after="140" w:before="0" w:line="300" w:lineRule="auto"/>
            </w:pPr>
            <w:r>
              <w:rPr>
                <w:sz w:val="23"/>
                <w:szCs w:val="23"/>
              </w:rPr>
              <w:t xml:space="preserve">Das System liest Veröffentlichungen laufend ein und unterscheidet Konsultation, final und anwendbar ab.</w:t>
            </w:r>
          </w:p>
          <w:p>
            <w:pPr>
              <w:spacing w:after="140" w:before="0" w:line="300" w:lineRule="auto"/>
            </w:pPr>
            <w:r>
              <w:rPr>
                <w:sz w:val="23"/>
                <w:szCs w:val="23"/>
              </w:rPr>
              <w:t xml:space="preserve">Es gleicht neue Anforderungen mit der SFO ab, markiert betroffene Passagen und schlägt den Änderungstext vor, mit Quellenverweis auf jede Stelle.</w:t>
            </w:r>
          </w:p>
          <w:p>
            <w:pPr>
              <w:spacing w:after="140" w:before="0" w:line="300" w:lineRule="auto"/>
            </w:pPr>
            <w:r>
              <w:rPr>
                <w:sz w:val="23"/>
                <w:szCs w:val="23"/>
              </w:rPr>
              <w:t xml:space="preserve">Compliance prüft, korrigiert, gibt frei.</w:t>
            </w:r>
          </w:p>
        </w:tc>
      </w:tr>
    </w:tbl>
    <w:p>
      <w:pPr>
        <w:spacing w:after="320"/>
      </w:pPr>
    </w:p>
    <w:p>
      <w:pPr>
        <w:keepNext/>
        <w:spacing w:after="120"/>
      </w:pPr>
      <w:r>
        <w:rPr>
          <w:b/>
          <w:bCs/>
          <w:color w:val="6B7080"/>
          <w:sz w:val="19"/>
          <w:szCs w:val="19"/>
        </w:rPr>
        <w:t xml:space="preserve">Was die KfW davon hat</w:t>
      </w:r>
    </w:p>
    <w:tbl>
      <w:tblPr>
        <w:tblW w:type="dxa" w:w="14570"/>
        <w:tblBorders>
          <w:top w:val="none" w:color="FFFFFF" w:sz="0"/>
          <w:left w:val="none" w:color="FFFFFF" w:sz="0"/>
          <w:bottom w:val="none" w:color="FFFFFF" w:sz="0"/>
          <w:right w:val="none" w:color="FFFFFF" w:sz="0"/>
          <w:insideH w:val="none" w:color="FFFFFF" w:sz="0"/>
          <w:insideV w:val="single" w:color="FFFFFF" w:sz="16"/>
        </w:tblBorders>
        <w:tblLayout w:type="fixed"/>
      </w:tblPr>
      <w:tblGrid>
        <w:gridCol w:w="4856"/>
        <w:gridCol w:w="4856"/>
        <w:gridCol w:w="4858"/>
      </w:tblGrid>
      <w:tr>
        <w:trPr>
          <w:cantSplit/>
        </w:trPr>
        <w:tc>
          <w:tcPr>
            <w:tcW w:type="dxa" w:w="4856"/>
            <w:shd w:fill="F4F5F8" w:color="auto" w:val="clear"/>
            <w:tcMar>
              <w:top w:type="dxa" w:w="220"/>
              <w:left w:type="dxa" w:w="240"/>
              <w:bottom w:type="dxa" w:w="220"/>
              <w:right w:type="dxa" w:w="240"/>
            </w:tcMar>
          </w:tcPr>
          <w:p>
            <w:pPr>
              <w:spacing w:after="60" w:line="240" w:lineRule="auto"/>
            </w:pPr>
            <w:r>
              <w:rPr>
                <w:rFonts w:ascii="Cambria" w:cs="Cambria" w:eastAsia="Cambria" w:hAnsi="Cambria"/>
                <w:color w:val="050A30"/>
                <w:sz w:val="38"/>
                <w:szCs w:val="38"/>
              </w:rPr>
              <w:t xml:space="preserve">Tage statt Wochen</w:t>
            </w:r>
          </w:p>
          <w:p>
            <w:pPr>
              <w:spacing w:after="0" w:line="276" w:lineRule="auto"/>
            </w:pPr>
            <w:r>
              <w:rPr>
                <w:color w:val="6B7080"/>
                <w:sz w:val="20"/>
                <w:szCs w:val="20"/>
              </w:rPr>
              <w:t xml:space="preserve">von der Veröffentlichung zur dokumentierten Betroffenheitsanalyse</w:t>
            </w:r>
          </w:p>
        </w:tc>
        <w:tc>
          <w:tcPr>
            <w:tcW w:type="dxa" w:w="4856"/>
            <w:shd w:fill="F4F5F8" w:color="auto" w:val="clear"/>
            <w:tcMar>
              <w:top w:type="dxa" w:w="220"/>
              <w:left w:type="dxa" w:w="240"/>
              <w:bottom w:type="dxa" w:w="220"/>
              <w:right w:type="dxa" w:w="240"/>
            </w:tcMar>
          </w:tcPr>
          <w:p>
            <w:pPr>
              <w:spacing w:after="60" w:line="240" w:lineRule="auto"/>
            </w:pPr>
            <w:r>
              <w:rPr>
                <w:rFonts w:ascii="Cambria" w:cs="Cambria" w:eastAsia="Cambria" w:hAnsi="Cambria"/>
                <w:color w:val="050A30"/>
                <w:sz w:val="38"/>
                <w:szCs w:val="38"/>
              </w:rPr>
              <w:t xml:space="preserve">Vollständig</w:t>
            </w:r>
          </w:p>
          <w:p>
            <w:pPr>
              <w:spacing w:after="0" w:line="276" w:lineRule="auto"/>
            </w:pPr>
            <w:r>
              <w:rPr>
                <w:color w:val="6B7080"/>
                <w:sz w:val="20"/>
                <w:szCs w:val="20"/>
              </w:rPr>
              <w:t xml:space="preserve">kein betroffenes Dokument wird übersehen, jede Aussage belegt</w:t>
            </w:r>
          </w:p>
        </w:tc>
        <w:tc>
          <w:tcPr>
            <w:tcW w:type="dxa" w:w="4858"/>
            <w:shd w:fill="F4F5F8" w:color="auto" w:val="clear"/>
            <w:tcMar>
              <w:top w:type="dxa" w:w="220"/>
              <w:left w:type="dxa" w:w="240"/>
              <w:bottom w:type="dxa" w:w="220"/>
              <w:right w:type="dxa" w:w="240"/>
            </w:tcMar>
          </w:tcPr>
          <w:p>
            <w:pPr>
              <w:spacing w:after="60" w:line="240" w:lineRule="auto"/>
            </w:pPr>
            <w:r>
              <w:rPr>
                <w:rFonts w:ascii="Cambria" w:cs="Cambria" w:eastAsia="Cambria" w:hAnsi="Cambria"/>
                <w:color w:val="050A30"/>
                <w:sz w:val="38"/>
                <w:szCs w:val="38"/>
              </w:rPr>
              <w:t xml:space="preserve">Entlastung</w:t>
            </w:r>
          </w:p>
          <w:p>
            <w:pPr>
              <w:spacing w:after="0" w:line="276" w:lineRule="auto"/>
            </w:pPr>
            <w:r>
              <w:rPr>
                <w:color w:val="6B7080"/>
                <w:sz w:val="20"/>
                <w:szCs w:val="20"/>
              </w:rPr>
              <w:t xml:space="preserve">Fachbereiche prüfen Vorschläge statt Rohtexte</w:t>
            </w:r>
          </w:p>
        </w:tc>
      </w:tr>
    </w:tbl>
    <w:p>
      <w:pPr>
        <w:spacing w:after="0" w:before="160"/>
      </w:pPr>
      <w:r>
        <w:rPr>
          <w:color w:val="6B7080"/>
          <w:sz w:val="17"/>
          <w:szCs w:val="17"/>
        </w:rPr>
        <w:t xml:space="preserve">Testfall: EBA-Leitlinien zu Drittparteienrisiken, final seit 18.09.2026, noch nicht anwendbar. Das System muss genau das erkennen.</w:t>
      </w:r>
    </w:p>
    <w:p>
      <w:pPr>
        <w:keepNext/>
        <w:pageBreakBefore/>
        <w:spacing w:after="40"/>
      </w:pPr>
      <w:r>
        <w:rPr>
          <w:color w:val="6B7080"/>
          <w:sz w:val="19"/>
          <w:szCs w:val="19"/>
        </w:rPr>
        <w:t xml:space="preserve">Anwendungsfall 2  ·  Konzernrevision</w:t>
      </w:r>
    </w:p>
    <w:p>
      <w:pPr>
        <w:keepNext/>
        <w:spacing w:after="80" w:line="252" w:lineRule="auto"/>
      </w:pPr>
      <w:r>
        <w:rPr>
          <w:rFonts w:ascii="Cambria" w:cs="Cambria" w:eastAsia="Cambria" w:hAnsi="Cambria"/>
          <w:color w:val="050A30"/>
          <w:sz w:val="52"/>
          <w:szCs w:val="52"/>
        </w:rPr>
        <w:t xml:space="preserve">Internal Audit Reporting Intelligence</w:t>
      </w:r>
    </w:p>
    <w:p>
      <w:pPr>
        <w:pBdr>
          <w:bottom w:val="single" w:color="050A30" w:sz="8"/>
        </w:pBdr>
        <w:spacing w:after="360" w:line="264" w:lineRule="auto"/>
      </w:pPr>
      <w:r>
        <w:rPr>
          <w:rFonts w:ascii="Cambria" w:cs="Cambria" w:eastAsia="Cambria" w:hAnsi="Cambria"/>
          <w:i/>
          <w:iCs/>
          <w:color w:val="050A30"/>
          <w:sz w:val="28"/>
          <w:szCs w:val="28"/>
        </w:rPr>
        <w:t xml:space="preserve">Die Prüfung ist abgeschlossen. Der Berichtsentwurf steht am nächsten Morgen, jede Feststellung mit Nachweis.</w:t>
      </w:r>
    </w:p>
    <w:tbl>
      <w:tblPr>
        <w:tblW w:type="dxa" w:w="145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56"/>
        <w:gridCol w:w="4856"/>
        <w:gridCol w:w="4858"/>
      </w:tblGrid>
      <w:tr>
        <w:trPr>
          <w:cantSplit/>
        </w:trPr>
        <w:tc>
          <w:tcPr>
            <w:tcW w:type="dxa" w:w="4856"/>
            <w:tcBorders>
              <w:top w:val="none" w:color="FFFFFF" w:sz="0"/>
              <w:left w:val="none" w:color="FFFFFF" w:sz="0"/>
              <w:bottom w:val="none" w:color="FFFFFF" w:sz="0"/>
              <w:right w:val="none" w:color="FFFFFF" w:sz="0"/>
            </w:tcBorders>
            <w:tcMar>
              <w:top w:type="dxa" w:w="120"/>
              <w:left w:type="dxa" w:w="0"/>
              <w:bottom w:type="dxa" w:w="120"/>
              <w:right w:type="dxa" w:w="240"/>
            </w:tcMar>
          </w:tcPr>
          <w:p>
            <w:pPr>
              <w:keepNext/>
              <w:spacing w:after="120"/>
            </w:pPr>
            <w:r>
              <w:rPr>
                <w:b/>
                <w:bCs/>
                <w:color w:val="6B7080"/>
                <w:sz w:val="19"/>
                <w:szCs w:val="19"/>
              </w:rPr>
              <w:t xml:space="preserve">Heute</w:t>
            </w:r>
          </w:p>
          <w:p>
            <w:pPr>
              <w:spacing w:after="140" w:before="0" w:line="300" w:lineRule="auto"/>
            </w:pPr>
            <w:r>
              <w:rPr>
                <w:sz w:val="23"/>
                <w:szCs w:val="23"/>
              </w:rPr>
              <w:t xml:space="preserve">Rund 100 Beschäftigte in vier Abteilungen, etwa 60 Prüfungen im Jahr.</w:t>
            </w:r>
          </w:p>
          <w:p>
            <w:pPr>
              <w:spacing w:after="140" w:before="0" w:line="300" w:lineRule="auto"/>
            </w:pPr>
            <w:r>
              <w:rPr>
                <w:sz w:val="23"/>
                <w:szCs w:val="23"/>
              </w:rPr>
              <w:t xml:space="preserve">Jeder Bericht muss belastbar, nachvollziehbar und für Vorstand und Aufsicht lesbar sein.</w:t>
            </w:r>
          </w:p>
        </w:tc>
        <w:tc>
          <w:tcPr>
            <w:tcW w:type="dxa" w:w="4856"/>
            <w:tcBorders>
              <w:top w:val="none" w:color="FFFFFF" w:sz="0"/>
              <w:left w:val="single" w:color="D6D9E1" w:sz="4"/>
              <w:bottom w:val="none" w:color="FFFFFF" w:sz="0"/>
              <w:right w:val="none" w:color="FFFFFF" w:sz="0"/>
            </w:tcBorders>
            <w:tcMar>
              <w:top w:type="dxa" w:w="120"/>
              <w:left w:type="dxa" w:w="240"/>
              <w:bottom w:type="dxa" w:w="120"/>
              <w:right w:type="dxa" w:w="240"/>
            </w:tcMar>
          </w:tcPr>
          <w:p>
            <w:pPr>
              <w:keepNext/>
              <w:spacing w:after="120"/>
            </w:pPr>
            <w:r>
              <w:rPr>
                <w:b/>
                <w:bCs/>
                <w:color w:val="6B7080"/>
                <w:sz w:val="19"/>
                <w:szCs w:val="19"/>
              </w:rPr>
              <w:t xml:space="preserve">Das Problem</w:t>
            </w:r>
          </w:p>
          <w:p>
            <w:pPr>
              <w:spacing w:after="140" w:before="0" w:line="300" w:lineRule="auto"/>
            </w:pPr>
            <w:r>
              <w:rPr>
                <w:sz w:val="23"/>
                <w:szCs w:val="23"/>
              </w:rPr>
              <w:t xml:space="preserve">Nach der Prüfung beginnt der zweite Teil der Arbeit: Interviewprotokolle ordnen, Nachweise zuordnen, Feststellungen formulieren, Abstimmungsschleifen.</w:t>
            </w:r>
          </w:p>
          <w:p>
            <w:pPr>
              <w:spacing w:after="140" w:before="0" w:line="300" w:lineRule="auto"/>
            </w:pPr>
            <w:r>
              <w:rPr>
                <w:sz w:val="23"/>
                <w:szCs w:val="23"/>
              </w:rPr>
              <w:t xml:space="preserve">Diese Stunden fehlen für das, was die Revision eigentlich ausmacht: das Urteil über das Risiko.</w:t>
            </w:r>
          </w:p>
        </w:tc>
        <w:tc>
          <w:tcPr>
            <w:tcW w:type="dxa" w:w="4858"/>
            <w:tcBorders>
              <w:top w:val="none" w:color="FFFFFF" w:sz="0"/>
              <w:left w:val="single" w:color="D6D9E1" w:sz="4"/>
              <w:bottom w:val="none" w:color="FFFFFF" w:sz="0"/>
              <w:right w:val="none" w:color="FFFFFF" w:sz="0"/>
            </w:tcBorders>
            <w:tcMar>
              <w:top w:type="dxa" w:w="120"/>
              <w:left w:type="dxa" w:w="240"/>
              <w:bottom w:type="dxa" w:w="120"/>
              <w:right w:type="dxa" w:w="0"/>
            </w:tcMar>
          </w:tcPr>
          <w:p>
            <w:pPr>
              <w:keepNext/>
              <w:spacing w:after="120"/>
            </w:pPr>
            <w:r>
              <w:rPr>
                <w:b/>
                <w:bCs/>
                <w:color w:val="6B7080"/>
                <w:sz w:val="19"/>
                <w:szCs w:val="19"/>
              </w:rPr>
              <w:t xml:space="preserve">Mit KI</w:t>
            </w:r>
          </w:p>
          <w:p>
            <w:pPr>
              <w:spacing w:after="140" w:before="0" w:line="300" w:lineRule="auto"/>
            </w:pPr>
            <w:r>
              <w:rPr>
                <w:sz w:val="23"/>
                <w:szCs w:val="23"/>
              </w:rPr>
              <w:t xml:space="preserve">Das System verbindet Prüfprogramm, Richtlinien, Nachweise, Protokolle und Testergebnisse.</w:t>
            </w:r>
          </w:p>
          <w:p>
            <w:pPr>
              <w:spacing w:after="140" w:before="0" w:line="300" w:lineRule="auto"/>
            </w:pPr>
            <w:r>
              <w:rPr>
                <w:sz w:val="23"/>
                <w:szCs w:val="23"/>
              </w:rPr>
              <w:t xml:space="preserve">Daraus entstehen Feststellungen und Berichtsentwurf. Jede Aussage verweist auf ihren Nachweis; unbelegte Aussagen und Widersprüche werden markiert.</w:t>
            </w:r>
          </w:p>
          <w:p>
            <w:pPr>
              <w:spacing w:after="140" w:before="0" w:line="300" w:lineRule="auto"/>
            </w:pPr>
            <w:r>
              <w:rPr>
                <w:sz w:val="23"/>
                <w:szCs w:val="23"/>
              </w:rPr>
              <w:t xml:space="preserve">Die Revisorin bewertet, schärft und gibt frei.</w:t>
            </w:r>
          </w:p>
        </w:tc>
      </w:tr>
    </w:tbl>
    <w:p>
      <w:pPr>
        <w:spacing w:after="320"/>
      </w:pPr>
    </w:p>
    <w:p>
      <w:pPr>
        <w:keepNext/>
        <w:spacing w:after="120"/>
      </w:pPr>
      <w:r>
        <w:rPr>
          <w:b/>
          <w:bCs/>
          <w:color w:val="6B7080"/>
          <w:sz w:val="19"/>
          <w:szCs w:val="19"/>
        </w:rPr>
        <w:t xml:space="preserve">Was die KfW davon hat</w:t>
      </w:r>
    </w:p>
    <w:tbl>
      <w:tblPr>
        <w:tblW w:type="dxa" w:w="14570"/>
        <w:tblBorders>
          <w:top w:val="none" w:color="FFFFFF" w:sz="0"/>
          <w:left w:val="none" w:color="FFFFFF" w:sz="0"/>
          <w:bottom w:val="none" w:color="FFFFFF" w:sz="0"/>
          <w:right w:val="none" w:color="FFFFFF" w:sz="0"/>
          <w:insideH w:val="none" w:color="FFFFFF" w:sz="0"/>
          <w:insideV w:val="single" w:color="FFFFFF" w:sz="16"/>
        </w:tblBorders>
        <w:tblLayout w:type="fixed"/>
      </w:tblPr>
      <w:tblGrid>
        <w:gridCol w:w="4856"/>
        <w:gridCol w:w="4856"/>
        <w:gridCol w:w="4858"/>
      </w:tblGrid>
      <w:tr>
        <w:trPr>
          <w:cantSplit/>
        </w:trPr>
        <w:tc>
          <w:tcPr>
            <w:tcW w:type="dxa" w:w="4856"/>
            <w:shd w:fill="F4F5F8" w:color="auto" w:val="clear"/>
            <w:tcMar>
              <w:top w:type="dxa" w:w="220"/>
              <w:left w:type="dxa" w:w="240"/>
              <w:bottom w:type="dxa" w:w="220"/>
              <w:right w:type="dxa" w:w="240"/>
            </w:tcMar>
          </w:tcPr>
          <w:p>
            <w:pPr>
              <w:spacing w:after="60" w:line="240" w:lineRule="auto"/>
            </w:pPr>
            <w:r>
              <w:rPr>
                <w:rFonts w:ascii="Cambria" w:cs="Cambria" w:eastAsia="Cambria" w:hAnsi="Cambria"/>
                <w:color w:val="050A30"/>
                <w:sz w:val="38"/>
                <w:szCs w:val="38"/>
              </w:rPr>
              <w:t xml:space="preserve">1.200 Stunden</w:t>
            </w:r>
          </w:p>
          <w:p>
            <w:pPr>
              <w:spacing w:after="0" w:line="276" w:lineRule="auto"/>
            </w:pPr>
            <w:r>
              <w:rPr>
                <w:color w:val="6B7080"/>
                <w:sz w:val="20"/>
                <w:szCs w:val="20"/>
              </w:rPr>
              <w:t xml:space="preserve">pro Jahr bei 20 Stunden Ersparnis je Bericht (Annahme)</w:t>
            </w:r>
          </w:p>
        </w:tc>
        <w:tc>
          <w:tcPr>
            <w:tcW w:type="dxa" w:w="4856"/>
            <w:shd w:fill="F4F5F8" w:color="auto" w:val="clear"/>
            <w:tcMar>
              <w:top w:type="dxa" w:w="220"/>
              <w:left w:type="dxa" w:w="240"/>
              <w:bottom w:type="dxa" w:w="220"/>
              <w:right w:type="dxa" w:w="240"/>
            </w:tcMar>
          </w:tcPr>
          <w:p>
            <w:pPr>
              <w:spacing w:after="60" w:line="240" w:lineRule="auto"/>
            </w:pPr>
            <w:r>
              <w:rPr>
                <w:rFonts w:ascii="Cambria" w:cs="Cambria" w:eastAsia="Cambria" w:hAnsi="Cambria"/>
                <w:color w:val="050A30"/>
                <w:sz w:val="38"/>
                <w:szCs w:val="38"/>
              </w:rPr>
              <w:t xml:space="preserve">Einheitlich</w:t>
            </w:r>
          </w:p>
          <w:p>
            <w:pPr>
              <w:spacing w:after="0" w:line="276" w:lineRule="auto"/>
            </w:pPr>
            <w:r>
              <w:rPr>
                <w:color w:val="6B7080"/>
                <w:sz w:val="20"/>
                <w:szCs w:val="20"/>
              </w:rPr>
              <w:t xml:space="preserve">gleiche Struktur und Nachweistiefe über alle 60 Berichte</w:t>
            </w:r>
          </w:p>
        </w:tc>
        <w:tc>
          <w:tcPr>
            <w:tcW w:type="dxa" w:w="4858"/>
            <w:shd w:fill="F4F5F8" w:color="auto" w:val="clear"/>
            <w:tcMar>
              <w:top w:type="dxa" w:w="220"/>
              <w:left w:type="dxa" w:w="240"/>
              <w:bottom w:type="dxa" w:w="220"/>
              <w:right w:type="dxa" w:w="240"/>
            </w:tcMar>
          </w:tcPr>
          <w:p>
            <w:pPr>
              <w:spacing w:after="60" w:line="240" w:lineRule="auto"/>
            </w:pPr>
            <w:r>
              <w:rPr>
                <w:rFonts w:ascii="Cambria" w:cs="Cambria" w:eastAsia="Cambria" w:hAnsi="Cambria"/>
                <w:color w:val="050A30"/>
                <w:sz w:val="38"/>
                <w:szCs w:val="38"/>
              </w:rPr>
              <w:t xml:space="preserve">Mehr Prüfung</w:t>
            </w:r>
          </w:p>
          <w:p>
            <w:pPr>
              <w:spacing w:after="0" w:line="276" w:lineRule="auto"/>
            </w:pPr>
            <w:r>
              <w:rPr>
                <w:color w:val="6B7080"/>
                <w:sz w:val="20"/>
                <w:szCs w:val="20"/>
              </w:rPr>
              <w:t xml:space="preserve">frei werdende Kapazität geht in kritische Themen, nicht in Formulierung</w:t>
            </w:r>
          </w:p>
        </w:tc>
      </w:tr>
    </w:tbl>
    <w:p>
      <w:pPr>
        <w:spacing w:after="0" w:before="160"/>
      </w:pPr>
      <w:r>
        <w:rPr>
          <w:color w:val="6B7080"/>
          <w:sz w:val="17"/>
          <w:szCs w:val="17"/>
        </w:rPr>
        <w:t xml:space="preserve">1.200 Stunden entsprechen bei 100 € Vollkosten je Stunde rund 120.000 € pro Jahr, vor Implementierungs- und Betriebskosten.</w:t>
      </w:r>
    </w:p>
    <w:p>
      <w:pPr>
        <w:keepNext/>
        <w:pageBreakBefore/>
        <w:spacing w:after="40"/>
      </w:pPr>
      <w:r>
        <w:rPr>
          <w:color w:val="6B7080"/>
          <w:sz w:val="19"/>
          <w:szCs w:val="19"/>
        </w:rPr>
        <w:t xml:space="preserve">Anwendungsfall 3  ·  CISO / IT-Security</w:t>
      </w:r>
    </w:p>
    <w:p>
      <w:pPr>
        <w:keepNext/>
        <w:spacing w:after="80" w:line="252" w:lineRule="auto"/>
      </w:pPr>
      <w:r>
        <w:rPr>
          <w:rFonts w:ascii="Cambria" w:cs="Cambria" w:eastAsia="Cambria" w:hAnsi="Cambria"/>
          <w:color w:val="050A30"/>
          <w:sz w:val="52"/>
          <w:szCs w:val="52"/>
        </w:rPr>
        <w:t xml:space="preserve">AI Security Testing &amp; Software-Alter</w:t>
      </w:r>
    </w:p>
    <w:p>
      <w:pPr>
        <w:pBdr>
          <w:bottom w:val="single" w:color="050A30" w:sz="8"/>
        </w:pBdr>
        <w:spacing w:after="360" w:line="264" w:lineRule="auto"/>
      </w:pPr>
      <w:r>
        <w:rPr>
          <w:rFonts w:ascii="Cambria" w:cs="Cambria" w:eastAsia="Cambria" w:hAnsi="Cambria"/>
          <w:i/>
          <w:iCs/>
          <w:color w:val="050A30"/>
          <w:sz w:val="28"/>
          <w:szCs w:val="28"/>
        </w:rPr>
        <w:t xml:space="preserve">Nicht beim nächsten Pentest erfahren, wo es brennt, sondern jeden Tag wissen, welche Anwendung als nächstes dran ist.</w:t>
      </w:r>
    </w:p>
    <w:tbl>
      <w:tblPr>
        <w:tblW w:type="dxa" w:w="145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56"/>
        <w:gridCol w:w="4856"/>
        <w:gridCol w:w="4858"/>
      </w:tblGrid>
      <w:tr>
        <w:trPr>
          <w:cantSplit/>
        </w:trPr>
        <w:tc>
          <w:tcPr>
            <w:tcW w:type="dxa" w:w="4856"/>
            <w:tcBorders>
              <w:top w:val="none" w:color="FFFFFF" w:sz="0"/>
              <w:left w:val="none" w:color="FFFFFF" w:sz="0"/>
              <w:bottom w:val="none" w:color="FFFFFF" w:sz="0"/>
              <w:right w:val="none" w:color="FFFFFF" w:sz="0"/>
            </w:tcBorders>
            <w:tcMar>
              <w:top w:type="dxa" w:w="120"/>
              <w:left w:type="dxa" w:w="0"/>
              <w:bottom w:type="dxa" w:w="120"/>
              <w:right w:type="dxa" w:w="240"/>
            </w:tcMar>
          </w:tcPr>
          <w:p>
            <w:pPr>
              <w:keepNext/>
              <w:spacing w:after="120"/>
            </w:pPr>
            <w:r>
              <w:rPr>
                <w:b/>
                <w:bCs/>
                <w:color w:val="6B7080"/>
                <w:sz w:val="19"/>
                <w:szCs w:val="19"/>
              </w:rPr>
              <w:t xml:space="preserve">Heute</w:t>
            </w:r>
          </w:p>
          <w:p>
            <w:pPr>
              <w:spacing w:after="140" w:before="0" w:line="300" w:lineRule="auto"/>
            </w:pPr>
            <w:r>
              <w:rPr>
                <w:sz w:val="23"/>
                <w:szCs w:val="23"/>
              </w:rPr>
              <w:t xml:space="preserve">Der Finanzbericht 2025 nennt Cyberangriffe und fehlerhafte Systemänderungen als zentrale IKT-Risiken. Die EZB setzt Cyberresilienz und Pentests 2026–2028 ganz oben.</w:t>
            </w:r>
          </w:p>
          <w:p>
            <w:pPr>
              <w:spacing w:after="140" w:before="0" w:line="300" w:lineRule="auto"/>
            </w:pPr>
            <w:r>
              <w:rPr>
                <w:sz w:val="23"/>
                <w:szCs w:val="23"/>
              </w:rPr>
              <w:t xml:space="preserve">Die Landschaft: Eigenentwicklungen, Anwendungen mehrerer Generationen, externe Bibliotheken, Schnittstellen.</w:t>
            </w:r>
          </w:p>
        </w:tc>
        <w:tc>
          <w:tcPr>
            <w:tcW w:type="dxa" w:w="4856"/>
            <w:tcBorders>
              <w:top w:val="none" w:color="FFFFFF" w:sz="0"/>
              <w:left w:val="single" w:color="D6D9E1" w:sz="4"/>
              <w:bottom w:val="none" w:color="FFFFFF" w:sz="0"/>
              <w:right w:val="none" w:color="FFFFFF" w:sz="0"/>
            </w:tcBorders>
            <w:tcMar>
              <w:top w:type="dxa" w:w="120"/>
              <w:left w:type="dxa" w:w="240"/>
              <w:bottom w:type="dxa" w:w="120"/>
              <w:right w:type="dxa" w:w="240"/>
            </w:tcMar>
          </w:tcPr>
          <w:p>
            <w:pPr>
              <w:keepNext/>
              <w:spacing w:after="120"/>
            </w:pPr>
            <w:r>
              <w:rPr>
                <w:b/>
                <w:bCs/>
                <w:color w:val="6B7080"/>
                <w:sz w:val="19"/>
                <w:szCs w:val="19"/>
              </w:rPr>
              <w:t xml:space="preserve">Das Problem</w:t>
            </w:r>
          </w:p>
          <w:p>
            <w:pPr>
              <w:spacing w:after="140" w:before="0" w:line="300" w:lineRule="auto"/>
            </w:pPr>
            <w:r>
              <w:rPr>
                <w:sz w:val="23"/>
                <w:szCs w:val="23"/>
              </w:rPr>
              <w:t xml:space="preserve">Eine Anwendung kann stabil laufen und trotzdem auf einer Bibliothek ohne Herstellersupport sitzen, mit einer Schwachstelle, die bereits aktiv ausgenutzt wird.</w:t>
            </w:r>
          </w:p>
          <w:p>
            <w:pPr>
              <w:spacing w:after="140" w:before="0" w:line="300" w:lineRule="auto"/>
            </w:pPr>
            <w:r>
              <w:rPr>
                <w:sz w:val="23"/>
                <w:szCs w:val="23"/>
              </w:rPr>
              <w:t xml:space="preserve">Pentests zeigen einen Zeitpunkt. Niemand hat eine laufende Antwort auf: Wie alt ist unser produktiver Code? Welche Komponenten sind End-of-Life? Welche davon sind von außen erreichbar?</w:t>
            </w:r>
          </w:p>
        </w:tc>
        <w:tc>
          <w:tcPr>
            <w:tcW w:type="dxa" w:w="4858"/>
            <w:tcBorders>
              <w:top w:val="none" w:color="FFFFFF" w:sz="0"/>
              <w:left w:val="single" w:color="D6D9E1" w:sz="4"/>
              <w:bottom w:val="none" w:color="FFFFFF" w:sz="0"/>
              <w:right w:val="none" w:color="FFFFFF" w:sz="0"/>
            </w:tcBorders>
            <w:tcMar>
              <w:top w:type="dxa" w:w="120"/>
              <w:left w:type="dxa" w:w="240"/>
              <w:bottom w:type="dxa" w:w="120"/>
              <w:right w:type="dxa" w:w="0"/>
            </w:tcMar>
          </w:tcPr>
          <w:p>
            <w:pPr>
              <w:keepNext/>
              <w:spacing w:after="120"/>
            </w:pPr>
            <w:r>
              <w:rPr>
                <w:b/>
                <w:bCs/>
                <w:color w:val="6B7080"/>
                <w:sz w:val="19"/>
                <w:szCs w:val="19"/>
              </w:rPr>
              <w:t xml:space="preserve">Mit KI</w:t>
            </w:r>
          </w:p>
          <w:p>
            <w:pPr>
              <w:spacing w:after="140" w:before="0" w:line="300" w:lineRule="auto"/>
            </w:pPr>
            <w:r>
              <w:rPr>
                <w:sz w:val="23"/>
                <w:szCs w:val="23"/>
              </w:rPr>
              <w:t xml:space="preserve">Komponenteninventar (SBOM) je Anwendung, Abgleich mit Schwachstellendaten, Supportstatus und dem CISA-Katalog aktiv ausgenutzter Lücken.</w:t>
            </w:r>
          </w:p>
          <w:p>
            <w:pPr>
              <w:spacing w:after="140" w:before="0" w:line="300" w:lineRule="auto"/>
            </w:pPr>
            <w:r>
              <w:rPr>
                <w:sz w:val="23"/>
                <w:szCs w:val="23"/>
              </w:rPr>
              <w:t xml:space="preserve">Priorisierung nach Erreichbarkeit und Schutzbedarf. Automatisierte Tests in freigegebenen, isolierten Umgebungen; Nachtest nach jeder Behebung.</w:t>
            </w:r>
          </w:p>
          <w:p>
            <w:pPr>
              <w:spacing w:after="140" w:before="0" w:line="300" w:lineRule="auto"/>
            </w:pPr>
            <w:r>
              <w:rPr>
                <w:sz w:val="23"/>
                <w:szCs w:val="23"/>
              </w:rPr>
              <w:t xml:space="preserve">Neu: ein Software- und Code-Alters-Report je Anwendung.</w:t>
            </w:r>
          </w:p>
        </w:tc>
      </w:tr>
    </w:tbl>
    <w:p>
      <w:pPr>
        <w:spacing w:after="320"/>
      </w:pPr>
    </w:p>
    <w:p>
      <w:pPr>
        <w:keepNext/>
        <w:spacing w:after="120"/>
      </w:pPr>
      <w:r>
        <w:rPr>
          <w:b/>
          <w:bCs/>
          <w:color w:val="6B7080"/>
          <w:sz w:val="19"/>
          <w:szCs w:val="19"/>
        </w:rPr>
        <w:t xml:space="preserve">Was die KfW davon hat</w:t>
      </w:r>
    </w:p>
    <w:tbl>
      <w:tblPr>
        <w:tblW w:type="dxa" w:w="14570"/>
        <w:tblBorders>
          <w:top w:val="none" w:color="FFFFFF" w:sz="0"/>
          <w:left w:val="none" w:color="FFFFFF" w:sz="0"/>
          <w:bottom w:val="none" w:color="FFFFFF" w:sz="0"/>
          <w:right w:val="none" w:color="FFFFFF" w:sz="0"/>
          <w:insideH w:val="none" w:color="FFFFFF" w:sz="0"/>
          <w:insideV w:val="single" w:color="FFFFFF" w:sz="16"/>
        </w:tblBorders>
        <w:tblLayout w:type="fixed"/>
      </w:tblPr>
      <w:tblGrid>
        <w:gridCol w:w="4856"/>
        <w:gridCol w:w="4856"/>
        <w:gridCol w:w="4858"/>
      </w:tblGrid>
      <w:tr>
        <w:trPr>
          <w:cantSplit/>
        </w:trPr>
        <w:tc>
          <w:tcPr>
            <w:tcW w:type="dxa" w:w="4856"/>
            <w:shd w:fill="F4F5F8" w:color="auto" w:val="clear"/>
            <w:tcMar>
              <w:top w:type="dxa" w:w="220"/>
              <w:left w:type="dxa" w:w="240"/>
              <w:bottom w:type="dxa" w:w="220"/>
              <w:right w:type="dxa" w:w="240"/>
            </w:tcMar>
          </w:tcPr>
          <w:p>
            <w:pPr>
              <w:spacing w:after="60" w:line="240" w:lineRule="auto"/>
            </w:pPr>
            <w:r>
              <w:rPr>
                <w:rFonts w:ascii="Cambria" w:cs="Cambria" w:eastAsia="Cambria" w:hAnsi="Cambria"/>
                <w:color w:val="050A30"/>
                <w:sz w:val="38"/>
                <w:szCs w:val="38"/>
              </w:rPr>
              <w:t xml:space="preserve">Eine Zahl</w:t>
            </w:r>
          </w:p>
          <w:p>
            <w:pPr>
              <w:spacing w:after="0" w:line="276" w:lineRule="auto"/>
            </w:pPr>
            <w:r>
              <w:rPr>
                <w:color w:val="6B7080"/>
                <w:sz w:val="20"/>
                <w:szCs w:val="20"/>
              </w:rPr>
              <w:t xml:space="preserve">Software-Alter, End-of-Life-Quote und kritische Exposure je Anwendung</w:t>
            </w:r>
          </w:p>
        </w:tc>
        <w:tc>
          <w:tcPr>
            <w:tcW w:type="dxa" w:w="4856"/>
            <w:shd w:fill="F4F5F8" w:color="auto" w:val="clear"/>
            <w:tcMar>
              <w:top w:type="dxa" w:w="220"/>
              <w:left w:type="dxa" w:w="240"/>
              <w:bottom w:type="dxa" w:w="220"/>
              <w:right w:type="dxa" w:w="240"/>
            </w:tcMar>
          </w:tcPr>
          <w:p>
            <w:pPr>
              <w:spacing w:after="60" w:line="240" w:lineRule="auto"/>
            </w:pPr>
            <w:r>
              <w:rPr>
                <w:rFonts w:ascii="Cambria" w:cs="Cambria" w:eastAsia="Cambria" w:hAnsi="Cambria"/>
                <w:color w:val="050A30"/>
                <w:sz w:val="38"/>
                <w:szCs w:val="38"/>
              </w:rPr>
              <w:t xml:space="preserve">Schneller</w:t>
            </w:r>
          </w:p>
          <w:p>
            <w:pPr>
              <w:spacing w:after="0" w:line="276" w:lineRule="auto"/>
            </w:pPr>
            <w:r>
              <w:rPr>
                <w:color w:val="6B7080"/>
                <w:sz w:val="20"/>
                <w:szCs w:val="20"/>
              </w:rPr>
              <w:t xml:space="preserve">kürzere Zeit von Erkennung bis verifizierter Behebung</w:t>
            </w:r>
          </w:p>
        </w:tc>
        <w:tc>
          <w:tcPr>
            <w:tcW w:type="dxa" w:w="4858"/>
            <w:shd w:fill="F4F5F8" w:color="auto" w:val="clear"/>
            <w:tcMar>
              <w:top w:type="dxa" w:w="220"/>
              <w:left w:type="dxa" w:w="240"/>
              <w:bottom w:type="dxa" w:w="220"/>
              <w:right w:type="dxa" w:w="240"/>
            </w:tcMar>
          </w:tcPr>
          <w:p>
            <w:pPr>
              <w:spacing w:after="60" w:line="240" w:lineRule="auto"/>
            </w:pPr>
            <w:r>
              <w:rPr>
                <w:rFonts w:ascii="Cambria" w:cs="Cambria" w:eastAsia="Cambria" w:hAnsi="Cambria"/>
                <w:color w:val="050A30"/>
                <w:sz w:val="38"/>
                <w:szCs w:val="38"/>
              </w:rPr>
              <w:t xml:space="preserve">Gezielt</w:t>
            </w:r>
          </w:p>
          <w:p>
            <w:pPr>
              <w:spacing w:after="0" w:line="276" w:lineRule="auto"/>
            </w:pPr>
            <w:r>
              <w:rPr>
                <w:color w:val="6B7080"/>
                <w:sz w:val="20"/>
                <w:szCs w:val="20"/>
              </w:rPr>
              <w:t xml:space="preserve">Testaufwand dort, wo Alter, Schwachstelle und Erreichbarkeit zusammenkommen</w:t>
            </w:r>
          </w:p>
        </w:tc>
      </w:tr>
    </w:tbl>
    <w:p>
      <w:pPr>
        <w:spacing w:after="0" w:before="160"/>
      </w:pPr>
      <w:r>
        <w:rPr>
          <w:color w:val="6B7080"/>
          <w:sz w:val="17"/>
          <w:szCs w:val="17"/>
        </w:rPr>
        <w:t xml:space="preserve">Ergänzt manuelle Pentests und bedrohungsorientierte Tests (TLPT) nach DORA, ersetzt sie nicht.</w:t>
      </w:r>
    </w:p>
    <w:p>
      <w:pPr>
        <w:keepNext/>
        <w:pageBreakBefore/>
        <w:spacing w:after="40"/>
      </w:pPr>
      <w:r>
        <w:rPr>
          <w:color w:val="6B7080"/>
          <w:sz w:val="19"/>
          <w:szCs w:val="19"/>
        </w:rPr>
        <w:t xml:space="preserve">Anwendungsfall 4  ·  IT-Risiko / Auslagerung</w:t>
      </w:r>
    </w:p>
    <w:p>
      <w:pPr>
        <w:keepNext/>
        <w:spacing w:after="80" w:line="252" w:lineRule="auto"/>
      </w:pPr>
      <w:r>
        <w:rPr>
          <w:rFonts w:ascii="Cambria" w:cs="Cambria" w:eastAsia="Cambria" w:hAnsi="Cambria"/>
          <w:color w:val="050A30"/>
          <w:sz w:val="52"/>
          <w:szCs w:val="52"/>
        </w:rPr>
        <w:t xml:space="preserve">Third-Party Dependency Intelligence</w:t>
      </w:r>
    </w:p>
    <w:p>
      <w:pPr>
        <w:pBdr>
          <w:bottom w:val="single" w:color="050A30" w:sz="8"/>
        </w:pBdr>
        <w:spacing w:after="360" w:line="264" w:lineRule="auto"/>
      </w:pPr>
      <w:r>
        <w:rPr>
          <w:rFonts w:ascii="Cambria" w:cs="Cambria" w:eastAsia="Cambria" w:hAnsi="Cambria"/>
          <w:i/>
          <w:iCs/>
          <w:color w:val="050A30"/>
          <w:sz w:val="28"/>
          <w:szCs w:val="28"/>
        </w:rPr>
        <w:t xml:space="preserve">Ein Cloud-Anbieter meldet einen Vorfall. Zehn Minuten später steht fest, welche Geschäftsprozesse der KfW betroffen sein könnten.</w:t>
      </w:r>
    </w:p>
    <w:tbl>
      <w:tblPr>
        <w:tblW w:type="dxa" w:w="145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56"/>
        <w:gridCol w:w="4856"/>
        <w:gridCol w:w="4858"/>
      </w:tblGrid>
      <w:tr>
        <w:trPr>
          <w:cantSplit/>
        </w:trPr>
        <w:tc>
          <w:tcPr>
            <w:tcW w:type="dxa" w:w="4856"/>
            <w:tcBorders>
              <w:top w:val="none" w:color="FFFFFF" w:sz="0"/>
              <w:left w:val="none" w:color="FFFFFF" w:sz="0"/>
              <w:bottom w:val="none" w:color="FFFFFF" w:sz="0"/>
              <w:right w:val="none" w:color="FFFFFF" w:sz="0"/>
            </w:tcBorders>
            <w:tcMar>
              <w:top w:type="dxa" w:w="120"/>
              <w:left w:type="dxa" w:w="0"/>
              <w:bottom w:type="dxa" w:w="120"/>
              <w:right w:type="dxa" w:w="240"/>
            </w:tcMar>
          </w:tcPr>
          <w:p>
            <w:pPr>
              <w:keepNext/>
              <w:spacing w:after="120"/>
            </w:pPr>
            <w:r>
              <w:rPr>
                <w:b/>
                <w:bCs/>
                <w:color w:val="6B7080"/>
                <w:sz w:val="19"/>
                <w:szCs w:val="19"/>
              </w:rPr>
              <w:t xml:space="preserve">Heute</w:t>
            </w:r>
          </w:p>
          <w:p>
            <w:pPr>
              <w:spacing w:after="140" w:before="0" w:line="300" w:lineRule="auto"/>
            </w:pPr>
            <w:r>
              <w:rPr>
                <w:sz w:val="23"/>
                <w:szCs w:val="23"/>
              </w:rPr>
              <w:t xml:space="preserve">Kritische Prozesse hängen an Cloud-Providern, Softwareherstellern, Rechenzentren und deren Subdienstleistern.</w:t>
            </w:r>
          </w:p>
          <w:p>
            <w:pPr>
              <w:spacing w:after="140" w:before="0" w:line="300" w:lineRule="auto"/>
            </w:pPr>
            <w:r>
              <w:rPr>
                <w:sz w:val="23"/>
                <w:szCs w:val="23"/>
              </w:rPr>
              <w:t xml:space="preserve">DORA verlangt ein strukturiertes Management dieser Abhängigkeiten; die EBA hat im September 2026 Leitlinien auch für Nicht-IKT-Drittparteien finalisiert.</w:t>
            </w:r>
          </w:p>
        </w:tc>
        <w:tc>
          <w:tcPr>
            <w:tcW w:type="dxa" w:w="4856"/>
            <w:tcBorders>
              <w:top w:val="none" w:color="FFFFFF" w:sz="0"/>
              <w:left w:val="single" w:color="D6D9E1" w:sz="4"/>
              <w:bottom w:val="none" w:color="FFFFFF" w:sz="0"/>
              <w:right w:val="none" w:color="FFFFFF" w:sz="0"/>
            </w:tcBorders>
            <w:tcMar>
              <w:top w:type="dxa" w:w="120"/>
              <w:left w:type="dxa" w:w="240"/>
              <w:bottom w:type="dxa" w:w="120"/>
              <w:right w:type="dxa" w:w="240"/>
            </w:tcMar>
          </w:tcPr>
          <w:p>
            <w:pPr>
              <w:keepNext/>
              <w:spacing w:after="120"/>
            </w:pPr>
            <w:r>
              <w:rPr>
                <w:b/>
                <w:bCs/>
                <w:color w:val="6B7080"/>
                <w:sz w:val="19"/>
                <w:szCs w:val="19"/>
              </w:rPr>
              <w:t xml:space="preserve">Das Problem</w:t>
            </w:r>
          </w:p>
          <w:p>
            <w:pPr>
              <w:spacing w:after="140" w:before="0" w:line="300" w:lineRule="auto"/>
            </w:pPr>
            <w:r>
              <w:rPr>
                <w:sz w:val="23"/>
                <w:szCs w:val="23"/>
              </w:rPr>
              <w:t xml:space="preserve">Hinter einer Anwendung stehen oft mehrere Anbieter und Subunternehmer. Das Wissen darüber liegt verteilt: Vertragsmanagement, IT-Architektur, Prozessdokumentation, Risikomanagement.</w:t>
            </w:r>
          </w:p>
          <w:p>
            <w:pPr>
              <w:spacing w:after="140" w:before="0" w:line="300" w:lineRule="auto"/>
            </w:pPr>
            <w:r>
              <w:rPr>
                <w:sz w:val="23"/>
                <w:szCs w:val="23"/>
              </w:rPr>
              <w:t xml:space="preserve">Bei einem Vorfall beginnt die Suche quer durch diese Systeme.</w:t>
            </w:r>
          </w:p>
        </w:tc>
        <w:tc>
          <w:tcPr>
            <w:tcW w:type="dxa" w:w="4858"/>
            <w:tcBorders>
              <w:top w:val="none" w:color="FFFFFF" w:sz="0"/>
              <w:left w:val="single" w:color="D6D9E1" w:sz="4"/>
              <w:bottom w:val="none" w:color="FFFFFF" w:sz="0"/>
              <w:right w:val="none" w:color="FFFFFF" w:sz="0"/>
            </w:tcBorders>
            <w:tcMar>
              <w:top w:type="dxa" w:w="120"/>
              <w:left w:type="dxa" w:w="240"/>
              <w:bottom w:type="dxa" w:w="120"/>
              <w:right w:type="dxa" w:w="0"/>
            </w:tcMar>
          </w:tcPr>
          <w:p>
            <w:pPr>
              <w:keepNext/>
              <w:spacing w:after="120"/>
            </w:pPr>
            <w:r>
              <w:rPr>
                <w:b/>
                <w:bCs/>
                <w:color w:val="6B7080"/>
                <w:sz w:val="19"/>
                <w:szCs w:val="19"/>
              </w:rPr>
              <w:t xml:space="preserve">Mit KI</w:t>
            </w:r>
          </w:p>
          <w:p>
            <w:pPr>
              <w:spacing w:after="140" w:before="0" w:line="300" w:lineRule="auto"/>
            </w:pPr>
            <w:r>
              <w:rPr>
                <w:sz w:val="23"/>
                <w:szCs w:val="23"/>
              </w:rPr>
              <w:t xml:space="preserve">Ein Abhängigkeitsmodell verknüpft Verträge, Dienstleister, Subketten, Systeme und Geschäftsprozesse.</w:t>
            </w:r>
          </w:p>
          <w:p>
            <w:pPr>
              <w:spacing w:after="140" w:before="0" w:line="300" w:lineRule="auto"/>
            </w:pPr>
            <w:r>
              <w:rPr>
                <w:sz w:val="23"/>
                <w:szCs w:val="23"/>
              </w:rPr>
              <w:t xml:space="preserve">Auf einen Blick: Welche Funktionen hängen an welchem Anbieter, welche Absicherung besteht, welcher Exit-Plan ist dokumentiert, wo fehlt ein Nachweis.</w:t>
            </w:r>
          </w:p>
          <w:p>
            <w:pPr>
              <w:spacing w:after="140" w:before="0" w:line="300" w:lineRule="auto"/>
            </w:pPr>
            <w:r>
              <w:rPr>
                <w:sz w:val="23"/>
                <w:szCs w:val="23"/>
              </w:rPr>
              <w:t xml:space="preserve">Konzentrationsrisiken werden sichtbar, bevor die Aufsicht danach fragt.</w:t>
            </w:r>
          </w:p>
        </w:tc>
      </w:tr>
    </w:tbl>
    <w:p>
      <w:pPr>
        <w:spacing w:after="320"/>
      </w:pPr>
    </w:p>
    <w:p>
      <w:pPr>
        <w:keepNext/>
        <w:spacing w:after="120"/>
      </w:pPr>
      <w:r>
        <w:rPr>
          <w:b/>
          <w:bCs/>
          <w:color w:val="6B7080"/>
          <w:sz w:val="19"/>
          <w:szCs w:val="19"/>
        </w:rPr>
        <w:t xml:space="preserve">Was die KfW davon hat</w:t>
      </w:r>
    </w:p>
    <w:tbl>
      <w:tblPr>
        <w:tblW w:type="dxa" w:w="14570"/>
        <w:tblBorders>
          <w:top w:val="none" w:color="FFFFFF" w:sz="0"/>
          <w:left w:val="none" w:color="FFFFFF" w:sz="0"/>
          <w:bottom w:val="none" w:color="FFFFFF" w:sz="0"/>
          <w:right w:val="none" w:color="FFFFFF" w:sz="0"/>
          <w:insideH w:val="none" w:color="FFFFFF" w:sz="0"/>
          <w:insideV w:val="single" w:color="FFFFFF" w:sz="16"/>
        </w:tblBorders>
        <w:tblLayout w:type="fixed"/>
      </w:tblPr>
      <w:tblGrid>
        <w:gridCol w:w="4856"/>
        <w:gridCol w:w="4856"/>
        <w:gridCol w:w="4858"/>
      </w:tblGrid>
      <w:tr>
        <w:trPr>
          <w:cantSplit/>
        </w:trPr>
        <w:tc>
          <w:tcPr>
            <w:tcW w:type="dxa" w:w="4856"/>
            <w:shd w:fill="F4F5F8" w:color="auto" w:val="clear"/>
            <w:tcMar>
              <w:top w:type="dxa" w:w="220"/>
              <w:left w:type="dxa" w:w="240"/>
              <w:bottom w:type="dxa" w:w="220"/>
              <w:right w:type="dxa" w:w="240"/>
            </w:tcMar>
          </w:tcPr>
          <w:p>
            <w:pPr>
              <w:spacing w:after="60" w:line="240" w:lineRule="auto"/>
            </w:pPr>
            <w:r>
              <w:rPr>
                <w:rFonts w:ascii="Cambria" w:cs="Cambria" w:eastAsia="Cambria" w:hAnsi="Cambria"/>
                <w:color w:val="050A30"/>
                <w:sz w:val="38"/>
                <w:szCs w:val="38"/>
              </w:rPr>
              <w:t xml:space="preserve">Minuten</w:t>
            </w:r>
          </w:p>
          <w:p>
            <w:pPr>
              <w:spacing w:after="0" w:line="276" w:lineRule="auto"/>
            </w:pPr>
            <w:r>
              <w:rPr>
                <w:color w:val="6B7080"/>
                <w:sz w:val="20"/>
                <w:szCs w:val="20"/>
              </w:rPr>
              <w:t xml:space="preserve">bis zur Betroffenheitsanalyse bei einem Dienstleistervorfall</w:t>
            </w:r>
          </w:p>
        </w:tc>
        <w:tc>
          <w:tcPr>
            <w:tcW w:type="dxa" w:w="4856"/>
            <w:shd w:fill="F4F5F8" w:color="auto" w:val="clear"/>
            <w:tcMar>
              <w:top w:type="dxa" w:w="220"/>
              <w:left w:type="dxa" w:w="240"/>
              <w:bottom w:type="dxa" w:w="220"/>
              <w:right w:type="dxa" w:w="240"/>
            </w:tcMar>
          </w:tcPr>
          <w:p>
            <w:pPr>
              <w:spacing w:after="60" w:line="240" w:lineRule="auto"/>
            </w:pPr>
            <w:r>
              <w:rPr>
                <w:rFonts w:ascii="Cambria" w:cs="Cambria" w:eastAsia="Cambria" w:hAnsi="Cambria"/>
                <w:color w:val="050A30"/>
                <w:sz w:val="38"/>
                <w:szCs w:val="38"/>
              </w:rPr>
              <w:t xml:space="preserve">Lückenlos</w:t>
            </w:r>
          </w:p>
          <w:p>
            <w:pPr>
              <w:spacing w:after="0" w:line="276" w:lineRule="auto"/>
            </w:pPr>
            <w:r>
              <w:rPr>
                <w:color w:val="6B7080"/>
                <w:sz w:val="20"/>
                <w:szCs w:val="20"/>
              </w:rPr>
              <w:t xml:space="preserve">jede kritische Abhängigkeit erfasst, inklusive Subdienstleister</w:t>
            </w:r>
          </w:p>
        </w:tc>
        <w:tc>
          <w:tcPr>
            <w:tcW w:type="dxa" w:w="4858"/>
            <w:shd w:fill="F4F5F8" w:color="auto" w:val="clear"/>
            <w:tcMar>
              <w:top w:type="dxa" w:w="220"/>
              <w:left w:type="dxa" w:w="240"/>
              <w:bottom w:type="dxa" w:w="220"/>
              <w:right w:type="dxa" w:w="240"/>
            </w:tcMar>
          </w:tcPr>
          <w:p>
            <w:pPr>
              <w:spacing w:after="60" w:line="240" w:lineRule="auto"/>
            </w:pPr>
            <w:r>
              <w:rPr>
                <w:rFonts w:ascii="Cambria" w:cs="Cambria" w:eastAsia="Cambria" w:hAnsi="Cambria"/>
                <w:color w:val="050A30"/>
                <w:sz w:val="38"/>
                <w:szCs w:val="38"/>
              </w:rPr>
              <w:t xml:space="preserve">Belegbar</w:t>
            </w:r>
          </w:p>
          <w:p>
            <w:pPr>
              <w:spacing w:after="0" w:line="276" w:lineRule="auto"/>
            </w:pPr>
            <w:r>
              <w:rPr>
                <w:color w:val="6B7080"/>
                <w:sz w:val="20"/>
                <w:szCs w:val="20"/>
              </w:rPr>
              <w:t xml:space="preserve">Exit-Pläne und Nachweise direkt am Prozess, prüfbar für DORA</w:t>
            </w:r>
          </w:p>
        </w:tc>
      </w:tr>
    </w:tbl>
    <w:p/>
    <w:p>
      <w:pPr>
        <w:keepNext/>
        <w:pageBreakBefore/>
        <w:spacing w:after="40"/>
      </w:pPr>
      <w:r>
        <w:rPr>
          <w:color w:val="6B7080"/>
          <w:sz w:val="19"/>
          <w:szCs w:val="19"/>
        </w:rPr>
        <w:t xml:space="preserve">Anwendungsfall 5  ·  IKS / Operational Risk</w:t>
      </w:r>
    </w:p>
    <w:p>
      <w:pPr>
        <w:keepNext/>
        <w:spacing w:after="80" w:line="252" w:lineRule="auto"/>
      </w:pPr>
      <w:r>
        <w:rPr>
          <w:rFonts w:ascii="Cambria" w:cs="Cambria" w:eastAsia="Cambria" w:hAnsi="Cambria"/>
          <w:color w:val="050A30"/>
          <w:sz w:val="52"/>
          <w:szCs w:val="52"/>
        </w:rPr>
        <w:t xml:space="preserve">Continuous Control Intelligence</w:t>
      </w:r>
    </w:p>
    <w:p>
      <w:pPr>
        <w:pBdr>
          <w:bottom w:val="single" w:color="050A30" w:sz="8"/>
        </w:pBdr>
        <w:spacing w:after="360" w:line="264" w:lineRule="auto"/>
      </w:pPr>
      <w:r>
        <w:rPr>
          <w:rFonts w:ascii="Cambria" w:cs="Cambria" w:eastAsia="Cambria" w:hAnsi="Cambria"/>
          <w:i/>
          <w:iCs/>
          <w:color w:val="050A30"/>
          <w:sz w:val="28"/>
          <w:szCs w:val="28"/>
        </w:rPr>
        <w:t xml:space="preserve">Eine Berechtigung wird ohne Freigabe erweitert. Die Kontrollverantwortliche weiß es noch am selben Tag, nicht erst bei der nächsten Prüfung.</w:t>
      </w:r>
    </w:p>
    <w:tbl>
      <w:tblPr>
        <w:tblW w:type="dxa" w:w="145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56"/>
        <w:gridCol w:w="4856"/>
        <w:gridCol w:w="4858"/>
      </w:tblGrid>
      <w:tr>
        <w:trPr>
          <w:cantSplit/>
        </w:trPr>
        <w:tc>
          <w:tcPr>
            <w:tcW w:type="dxa" w:w="4856"/>
            <w:tcBorders>
              <w:top w:val="none" w:color="FFFFFF" w:sz="0"/>
              <w:left w:val="none" w:color="FFFFFF" w:sz="0"/>
              <w:bottom w:val="none" w:color="FFFFFF" w:sz="0"/>
              <w:right w:val="none" w:color="FFFFFF" w:sz="0"/>
            </w:tcBorders>
            <w:tcMar>
              <w:top w:type="dxa" w:w="120"/>
              <w:left w:type="dxa" w:w="0"/>
              <w:bottom w:type="dxa" w:w="120"/>
              <w:right w:type="dxa" w:w="240"/>
            </w:tcMar>
          </w:tcPr>
          <w:p>
            <w:pPr>
              <w:keepNext/>
              <w:spacing w:after="120"/>
            </w:pPr>
            <w:r>
              <w:rPr>
                <w:b/>
                <w:bCs/>
                <w:color w:val="6B7080"/>
                <w:sz w:val="19"/>
                <w:szCs w:val="19"/>
              </w:rPr>
              <w:t xml:space="preserve">Heute</w:t>
            </w:r>
          </w:p>
          <w:p>
            <w:pPr>
              <w:spacing w:after="140" w:before="0" w:line="300" w:lineRule="auto"/>
            </w:pPr>
            <w:r>
              <w:rPr>
                <w:sz w:val="23"/>
                <w:szCs w:val="23"/>
              </w:rPr>
              <w:t xml:space="preserve">Die KfW hat etablierte IKS-Kontrollen, Risiko-Assessments und OpRisk-Dashboards.</w:t>
            </w:r>
          </w:p>
          <w:p>
            <w:pPr>
              <w:spacing w:after="140" w:before="0" w:line="300" w:lineRule="auto"/>
            </w:pPr>
            <w:r>
              <w:rPr>
                <w:sz w:val="23"/>
                <w:szCs w:val="23"/>
              </w:rPr>
              <w:t xml:space="preserve">Kontrollen werden in festen Abständen geprüft, Nachweise zusammengetragen, Maßnahmen nachverfolgt.</w:t>
            </w:r>
          </w:p>
        </w:tc>
        <w:tc>
          <w:tcPr>
            <w:tcW w:type="dxa" w:w="4856"/>
            <w:tcBorders>
              <w:top w:val="none" w:color="FFFFFF" w:sz="0"/>
              <w:left w:val="single" w:color="D6D9E1" w:sz="4"/>
              <w:bottom w:val="none" w:color="FFFFFF" w:sz="0"/>
              <w:right w:val="none" w:color="FFFFFF" w:sz="0"/>
            </w:tcBorders>
            <w:tcMar>
              <w:top w:type="dxa" w:w="120"/>
              <w:left w:type="dxa" w:w="240"/>
              <w:bottom w:type="dxa" w:w="120"/>
              <w:right w:type="dxa" w:w="240"/>
            </w:tcMar>
          </w:tcPr>
          <w:p>
            <w:pPr>
              <w:keepNext/>
              <w:spacing w:after="120"/>
            </w:pPr>
            <w:r>
              <w:rPr>
                <w:b/>
                <w:bCs/>
                <w:color w:val="6B7080"/>
                <w:sz w:val="19"/>
                <w:szCs w:val="19"/>
              </w:rPr>
              <w:t xml:space="preserve">Das Problem</w:t>
            </w:r>
          </w:p>
          <w:p>
            <w:pPr>
              <w:spacing w:after="140" w:before="0" w:line="300" w:lineRule="auto"/>
            </w:pPr>
            <w:r>
              <w:rPr>
                <w:sz w:val="23"/>
                <w:szCs w:val="23"/>
              </w:rPr>
              <w:t xml:space="preserve">Zwischen zwei Prüfzeitpunkten entstehen Abweichungen, die erst Monate später auffallen.</w:t>
            </w:r>
          </w:p>
          <w:p>
            <w:pPr>
              <w:spacing w:after="140" w:before="0" w:line="300" w:lineRule="auto"/>
            </w:pPr>
            <w:r>
              <w:rPr>
                <w:sz w:val="23"/>
                <w:szCs w:val="23"/>
              </w:rPr>
              <w:t xml:space="preserve">Kontrollnachweise, Prozessdaten, Berechtigungen und Maßnahmenstatus liegen in verschiedenen Systemen. Ob eine Korrekturmaßnahme wirklich gewirkt hat, ist schwer zu belegen.</w:t>
            </w:r>
          </w:p>
        </w:tc>
        <w:tc>
          <w:tcPr>
            <w:tcW w:type="dxa" w:w="4858"/>
            <w:tcBorders>
              <w:top w:val="none" w:color="FFFFFF" w:sz="0"/>
              <w:left w:val="single" w:color="D6D9E1" w:sz="4"/>
              <w:bottom w:val="none" w:color="FFFFFF" w:sz="0"/>
              <w:right w:val="none" w:color="FFFFFF" w:sz="0"/>
            </w:tcBorders>
            <w:tcMar>
              <w:top w:type="dxa" w:w="120"/>
              <w:left w:type="dxa" w:w="240"/>
              <w:bottom w:type="dxa" w:w="120"/>
              <w:right w:type="dxa" w:w="0"/>
            </w:tcMar>
          </w:tcPr>
          <w:p>
            <w:pPr>
              <w:keepNext/>
              <w:spacing w:after="120"/>
            </w:pPr>
            <w:r>
              <w:rPr>
                <w:b/>
                <w:bCs/>
                <w:color w:val="6B7080"/>
                <w:sz w:val="19"/>
                <w:szCs w:val="19"/>
              </w:rPr>
              <w:t xml:space="preserve">Mit KI</w:t>
            </w:r>
          </w:p>
          <w:p>
            <w:pPr>
              <w:spacing w:after="140" w:before="0" w:line="300" w:lineRule="auto"/>
            </w:pPr>
            <w:r>
              <w:rPr>
                <w:sz w:val="23"/>
                <w:szCs w:val="23"/>
              </w:rPr>
              <w:t xml:space="preserve">Ausgewählte Prozess- und Transaktionsdaten werden laufend gegen definierte Regeln geprüft: Berechtigung ohne Freigabe, verletzte Funktionstrennung, manuelle Überschreibung, Kontrolle ohne Nachweis.</w:t>
            </w:r>
          </w:p>
          <w:p>
            <w:pPr>
              <w:spacing w:after="140" w:before="0" w:line="300" w:lineRule="auto"/>
            </w:pPr>
            <w:r>
              <w:rPr>
                <w:sz w:val="23"/>
                <w:szCs w:val="23"/>
              </w:rPr>
              <w:t xml:space="preserve">Auffälligkeiten werden im Prozesskontext eingeordnet und begründet an die Kontrollverantwortlichen gegeben.</w:t>
            </w:r>
          </w:p>
          <w:p>
            <w:pPr>
              <w:spacing w:after="140" w:before="0" w:line="300" w:lineRule="auto"/>
            </w:pPr>
            <w:r>
              <w:rPr>
                <w:sz w:val="23"/>
                <w:szCs w:val="23"/>
              </w:rPr>
              <w:t xml:space="preserve">Die Revision prüft die Ergebnisse unabhängig und bleibt unabhängig.</w:t>
            </w:r>
          </w:p>
        </w:tc>
      </w:tr>
    </w:tbl>
    <w:p>
      <w:pPr>
        <w:spacing w:after="320"/>
      </w:pPr>
    </w:p>
    <w:p>
      <w:pPr>
        <w:keepNext/>
        <w:spacing w:after="120"/>
      </w:pPr>
      <w:r>
        <w:rPr>
          <w:b/>
          <w:bCs/>
          <w:color w:val="6B7080"/>
          <w:sz w:val="19"/>
          <w:szCs w:val="19"/>
        </w:rPr>
        <w:t xml:space="preserve">Was die KfW davon hat</w:t>
      </w:r>
    </w:p>
    <w:tbl>
      <w:tblPr>
        <w:tblW w:type="dxa" w:w="14570"/>
        <w:tblBorders>
          <w:top w:val="none" w:color="FFFFFF" w:sz="0"/>
          <w:left w:val="none" w:color="FFFFFF" w:sz="0"/>
          <w:bottom w:val="none" w:color="FFFFFF" w:sz="0"/>
          <w:right w:val="none" w:color="FFFFFF" w:sz="0"/>
          <w:insideH w:val="none" w:color="FFFFFF" w:sz="0"/>
          <w:insideV w:val="single" w:color="FFFFFF" w:sz="16"/>
        </w:tblBorders>
        <w:tblLayout w:type="fixed"/>
      </w:tblPr>
      <w:tblGrid>
        <w:gridCol w:w="4856"/>
        <w:gridCol w:w="4856"/>
        <w:gridCol w:w="4858"/>
      </w:tblGrid>
      <w:tr>
        <w:trPr>
          <w:cantSplit/>
        </w:trPr>
        <w:tc>
          <w:tcPr>
            <w:tcW w:type="dxa" w:w="4856"/>
            <w:shd w:fill="F4F5F8" w:color="auto" w:val="clear"/>
            <w:tcMar>
              <w:top w:type="dxa" w:w="220"/>
              <w:left w:type="dxa" w:w="240"/>
              <w:bottom w:type="dxa" w:w="220"/>
              <w:right w:type="dxa" w:w="240"/>
            </w:tcMar>
          </w:tcPr>
          <w:p>
            <w:pPr>
              <w:spacing w:after="60" w:line="240" w:lineRule="auto"/>
            </w:pPr>
            <w:r>
              <w:rPr>
                <w:rFonts w:ascii="Cambria" w:cs="Cambria" w:eastAsia="Cambria" w:hAnsi="Cambria"/>
                <w:color w:val="050A30"/>
                <w:sz w:val="38"/>
                <w:szCs w:val="38"/>
              </w:rPr>
              <w:t xml:space="preserve">Tage statt Monate</w:t>
            </w:r>
          </w:p>
          <w:p>
            <w:pPr>
              <w:spacing w:after="0" w:line="276" w:lineRule="auto"/>
            </w:pPr>
            <w:r>
              <w:rPr>
                <w:color w:val="6B7080"/>
                <w:sz w:val="20"/>
                <w:szCs w:val="20"/>
              </w:rPr>
              <w:t xml:space="preserve">von der Abweichung bis zur Erkennung</w:t>
            </w:r>
          </w:p>
        </w:tc>
        <w:tc>
          <w:tcPr>
            <w:tcW w:type="dxa" w:w="4856"/>
            <w:shd w:fill="F4F5F8" w:color="auto" w:val="clear"/>
            <w:tcMar>
              <w:top w:type="dxa" w:w="220"/>
              <w:left w:type="dxa" w:w="240"/>
              <w:bottom w:type="dxa" w:w="220"/>
              <w:right w:type="dxa" w:w="240"/>
            </w:tcMar>
          </w:tcPr>
          <w:p>
            <w:pPr>
              <w:spacing w:after="60" w:line="240" w:lineRule="auto"/>
            </w:pPr>
            <w:r>
              <w:rPr>
                <w:rFonts w:ascii="Cambria" w:cs="Cambria" w:eastAsia="Cambria" w:hAnsi="Cambria"/>
                <w:color w:val="050A30"/>
                <w:sz w:val="38"/>
                <w:szCs w:val="38"/>
              </w:rPr>
              <w:t xml:space="preserve">Weniger Handarbeit</w:t>
            </w:r>
          </w:p>
          <w:p>
            <w:pPr>
              <w:spacing w:after="0" w:line="276" w:lineRule="auto"/>
            </w:pPr>
            <w:r>
              <w:rPr>
                <w:color w:val="6B7080"/>
                <w:sz w:val="20"/>
                <w:szCs w:val="20"/>
              </w:rPr>
              <w:t xml:space="preserve">Nachweise werden automatisch zusammengeführt</w:t>
            </w:r>
          </w:p>
        </w:tc>
        <w:tc>
          <w:tcPr>
            <w:tcW w:type="dxa" w:w="4858"/>
            <w:shd w:fill="F4F5F8" w:color="auto" w:val="clear"/>
            <w:tcMar>
              <w:top w:type="dxa" w:w="220"/>
              <w:left w:type="dxa" w:w="240"/>
              <w:bottom w:type="dxa" w:w="220"/>
              <w:right w:type="dxa" w:w="240"/>
            </w:tcMar>
          </w:tcPr>
          <w:p>
            <w:pPr>
              <w:spacing w:after="60" w:line="240" w:lineRule="auto"/>
            </w:pPr>
            <w:r>
              <w:rPr>
                <w:rFonts w:ascii="Cambria" w:cs="Cambria" w:eastAsia="Cambria" w:hAnsi="Cambria"/>
                <w:color w:val="050A30"/>
                <w:sz w:val="38"/>
                <w:szCs w:val="38"/>
              </w:rPr>
              <w:t xml:space="preserve">Wirksamkeit</w:t>
            </w:r>
          </w:p>
          <w:p>
            <w:pPr>
              <w:spacing w:after="0" w:line="276" w:lineRule="auto"/>
            </w:pPr>
            <w:r>
              <w:rPr>
                <w:color w:val="6B7080"/>
                <w:sz w:val="20"/>
                <w:szCs w:val="20"/>
              </w:rPr>
              <w:t xml:space="preserve">sichtbar, ob eine Maßnahme die Schwäche tatsächlich geschlossen hat</w:t>
            </w:r>
          </w:p>
        </w:tc>
      </w:tr>
    </w:tbl>
    <w:p/>
    <w:p>
      <w:pPr>
        <w:keepNext/>
        <w:pageBreakBefore/>
        <w:spacing w:after="40"/>
      </w:pPr>
      <w:r>
        <w:rPr>
          <w:color w:val="6B7080"/>
          <w:sz w:val="19"/>
          <w:szCs w:val="19"/>
        </w:rPr>
        <w:t xml:space="preserve">Anwendungsfall 6  ·  KfW IPEX-Bank, Kreditrisiko</w:t>
      </w:r>
    </w:p>
    <w:p>
      <w:pPr>
        <w:keepNext/>
        <w:spacing w:after="80" w:line="252" w:lineRule="auto"/>
      </w:pPr>
      <w:r>
        <w:rPr>
          <w:rFonts w:ascii="Cambria" w:cs="Cambria" w:eastAsia="Cambria" w:hAnsi="Cambria"/>
          <w:color w:val="050A30"/>
          <w:sz w:val="52"/>
          <w:szCs w:val="52"/>
        </w:rPr>
        <w:t xml:space="preserve">Project Finance Early Warning</w:t>
      </w:r>
    </w:p>
    <w:p>
      <w:pPr>
        <w:pBdr>
          <w:bottom w:val="single" w:color="050A30" w:sz="8"/>
        </w:pBdr>
        <w:spacing w:after="360" w:line="264" w:lineRule="auto"/>
      </w:pPr>
      <w:r>
        <w:rPr>
          <w:rFonts w:ascii="Cambria" w:cs="Cambria" w:eastAsia="Cambria" w:hAnsi="Cambria"/>
          <w:i/>
          <w:iCs/>
          <w:color w:val="050A30"/>
          <w:sz w:val="28"/>
          <w:szCs w:val="28"/>
        </w:rPr>
        <w:t xml:space="preserve">Bauverzögerung, steigende Beschaffungskosten, ein Auftragnehmer senkt seine Prognose. Drei kleine Meldungen, die zusammen ein Covenant-Risiko ergeben.</w:t>
      </w:r>
    </w:p>
    <w:tbl>
      <w:tblPr>
        <w:tblW w:type="dxa" w:w="145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56"/>
        <w:gridCol w:w="4856"/>
        <w:gridCol w:w="4858"/>
      </w:tblGrid>
      <w:tr>
        <w:trPr>
          <w:cantSplit/>
        </w:trPr>
        <w:tc>
          <w:tcPr>
            <w:tcW w:type="dxa" w:w="4856"/>
            <w:tcBorders>
              <w:top w:val="none" w:color="FFFFFF" w:sz="0"/>
              <w:left w:val="none" w:color="FFFFFF" w:sz="0"/>
              <w:bottom w:val="none" w:color="FFFFFF" w:sz="0"/>
              <w:right w:val="none" w:color="FFFFFF" w:sz="0"/>
            </w:tcBorders>
            <w:tcMar>
              <w:top w:type="dxa" w:w="120"/>
              <w:left w:type="dxa" w:w="0"/>
              <w:bottom w:type="dxa" w:w="120"/>
              <w:right w:type="dxa" w:w="240"/>
            </w:tcMar>
          </w:tcPr>
          <w:p>
            <w:pPr>
              <w:keepNext/>
              <w:spacing w:after="120"/>
            </w:pPr>
            <w:r>
              <w:rPr>
                <w:b/>
                <w:bCs/>
                <w:color w:val="6B7080"/>
                <w:sz w:val="19"/>
                <w:szCs w:val="19"/>
              </w:rPr>
              <w:t xml:space="preserve">Heute</w:t>
            </w:r>
          </w:p>
          <w:p>
            <w:pPr>
              <w:spacing w:after="140" w:before="0" w:line="300" w:lineRule="auto"/>
            </w:pPr>
            <w:r>
              <w:rPr>
                <w:sz w:val="23"/>
                <w:szCs w:val="23"/>
              </w:rPr>
              <w:t xml:space="preserve">88,9 Mrd. € Kreditbestand in Energie, Mobilität und Infrastruktur, begleitet über Laufzeiten von vielen Jahren.</w:t>
            </w:r>
          </w:p>
          <w:p>
            <w:pPr>
              <w:spacing w:after="140" w:before="0" w:line="300" w:lineRule="auto"/>
            </w:pPr>
            <w:r>
              <w:rPr>
                <w:sz w:val="23"/>
                <w:szCs w:val="23"/>
              </w:rPr>
              <w:t xml:space="preserve">Jedes Projekt liefert laufend Finanzberichte, Baufortschritt, Covenant-Reporting, dazu Markt- und Branchendaten.</w:t>
            </w:r>
          </w:p>
        </w:tc>
        <w:tc>
          <w:tcPr>
            <w:tcW w:type="dxa" w:w="4856"/>
            <w:tcBorders>
              <w:top w:val="none" w:color="FFFFFF" w:sz="0"/>
              <w:left w:val="single" w:color="D6D9E1" w:sz="4"/>
              <w:bottom w:val="none" w:color="FFFFFF" w:sz="0"/>
              <w:right w:val="none" w:color="FFFFFF" w:sz="0"/>
            </w:tcBorders>
            <w:tcMar>
              <w:top w:type="dxa" w:w="120"/>
              <w:left w:type="dxa" w:w="240"/>
              <w:bottom w:type="dxa" w:w="120"/>
              <w:right w:type="dxa" w:w="240"/>
            </w:tcMar>
          </w:tcPr>
          <w:p>
            <w:pPr>
              <w:keepNext/>
              <w:spacing w:after="120"/>
            </w:pPr>
            <w:r>
              <w:rPr>
                <w:b/>
                <w:bCs/>
                <w:color w:val="6B7080"/>
                <w:sz w:val="19"/>
                <w:szCs w:val="19"/>
              </w:rPr>
              <w:t xml:space="preserve">Das Problem</w:t>
            </w:r>
          </w:p>
          <w:p>
            <w:pPr>
              <w:spacing w:after="140" w:before="0" w:line="300" w:lineRule="auto"/>
            </w:pPr>
            <w:r>
              <w:rPr>
                <w:sz w:val="23"/>
                <w:szCs w:val="23"/>
              </w:rPr>
              <w:t xml:space="preserve">Kritische Entwicklungen kündigen sich selten mit einem Signal an, sondern mit mehreren kleinen, verteilt über Dokumente und Monate.</w:t>
            </w:r>
          </w:p>
          <w:p>
            <w:pPr>
              <w:spacing w:after="140" w:before="0" w:line="300" w:lineRule="auto"/>
            </w:pPr>
            <w:r>
              <w:rPr>
                <w:sz w:val="23"/>
                <w:szCs w:val="23"/>
              </w:rPr>
              <w:t xml:space="preserve">Bei einem Portfolio dieser Größe bleibt im Kreditreview wenig Zeit, diese Signale je Projekt zusammenzuführen.</w:t>
            </w:r>
          </w:p>
        </w:tc>
        <w:tc>
          <w:tcPr>
            <w:tcW w:type="dxa" w:w="4858"/>
            <w:tcBorders>
              <w:top w:val="none" w:color="FFFFFF" w:sz="0"/>
              <w:left w:val="single" w:color="D6D9E1" w:sz="4"/>
              <w:bottom w:val="none" w:color="FFFFFF" w:sz="0"/>
              <w:right w:val="none" w:color="FFFFFF" w:sz="0"/>
            </w:tcBorders>
            <w:tcMar>
              <w:top w:type="dxa" w:w="120"/>
              <w:left w:type="dxa" w:w="240"/>
              <w:bottom w:type="dxa" w:w="120"/>
              <w:right w:type="dxa" w:w="0"/>
            </w:tcMar>
          </w:tcPr>
          <w:p>
            <w:pPr>
              <w:keepNext/>
              <w:spacing w:after="120"/>
            </w:pPr>
            <w:r>
              <w:rPr>
                <w:b/>
                <w:bCs/>
                <w:color w:val="6B7080"/>
                <w:sz w:val="19"/>
                <w:szCs w:val="19"/>
              </w:rPr>
              <w:t xml:space="preserve">Mit KI</w:t>
            </w:r>
          </w:p>
          <w:p>
            <w:pPr>
              <w:spacing w:after="140" w:before="0" w:line="300" w:lineRule="auto"/>
            </w:pPr>
            <w:r>
              <w:rPr>
                <w:sz w:val="23"/>
                <w:szCs w:val="23"/>
              </w:rPr>
              <w:t xml:space="preserve">Das System liest Projektberichte, Vertrags- und Covenant-Dokumente und externe Signale und verknüpft sie mit dem Finanzierungsmodell.</w:t>
            </w:r>
          </w:p>
          <w:p>
            <w:pPr>
              <w:spacing w:after="140" w:before="0" w:line="300" w:lineRule="auto"/>
            </w:pPr>
            <w:r>
              <w:rPr>
                <w:sz w:val="23"/>
                <w:szCs w:val="23"/>
              </w:rPr>
              <w:t xml:space="preserve">Es zeigt, welche Annahmen und Verpflichtungen überprüft werden sollten, und warum.</w:t>
            </w:r>
          </w:p>
          <w:p>
            <w:pPr>
              <w:spacing w:after="140" w:before="0" w:line="300" w:lineRule="auto"/>
            </w:pPr>
            <w:r>
              <w:rPr>
                <w:sz w:val="23"/>
                <w:szCs w:val="23"/>
              </w:rPr>
              <w:t xml:space="preserve">Cashflow-, Deckungsgrad- und Risikorechnungen bleiben in den validierten Modellen.</w:t>
            </w:r>
          </w:p>
        </w:tc>
      </w:tr>
    </w:tbl>
    <w:p>
      <w:pPr>
        <w:spacing w:after="320"/>
      </w:pPr>
    </w:p>
    <w:p>
      <w:pPr>
        <w:keepNext/>
        <w:spacing w:after="120"/>
      </w:pPr>
      <w:r>
        <w:rPr>
          <w:b/>
          <w:bCs/>
          <w:color w:val="6B7080"/>
          <w:sz w:val="19"/>
          <w:szCs w:val="19"/>
        </w:rPr>
        <w:t xml:space="preserve">Was die KfW davon hat</w:t>
      </w:r>
    </w:p>
    <w:tbl>
      <w:tblPr>
        <w:tblW w:type="dxa" w:w="14570"/>
        <w:tblBorders>
          <w:top w:val="none" w:color="FFFFFF" w:sz="0"/>
          <w:left w:val="none" w:color="FFFFFF" w:sz="0"/>
          <w:bottom w:val="none" w:color="FFFFFF" w:sz="0"/>
          <w:right w:val="none" w:color="FFFFFF" w:sz="0"/>
          <w:insideH w:val="none" w:color="FFFFFF" w:sz="0"/>
          <w:insideV w:val="single" w:color="FFFFFF" w:sz="16"/>
        </w:tblBorders>
        <w:tblLayout w:type="fixed"/>
      </w:tblPr>
      <w:tblGrid>
        <w:gridCol w:w="4856"/>
        <w:gridCol w:w="4856"/>
        <w:gridCol w:w="4858"/>
      </w:tblGrid>
      <w:tr>
        <w:trPr>
          <w:cantSplit/>
        </w:trPr>
        <w:tc>
          <w:tcPr>
            <w:tcW w:type="dxa" w:w="4856"/>
            <w:shd w:fill="F4F5F8" w:color="auto" w:val="clear"/>
            <w:tcMar>
              <w:top w:type="dxa" w:w="220"/>
              <w:left w:type="dxa" w:w="240"/>
              <w:bottom w:type="dxa" w:w="220"/>
              <w:right w:type="dxa" w:w="240"/>
            </w:tcMar>
          </w:tcPr>
          <w:p>
            <w:pPr>
              <w:spacing w:after="60" w:line="240" w:lineRule="auto"/>
            </w:pPr>
            <w:r>
              <w:rPr>
                <w:rFonts w:ascii="Cambria" w:cs="Cambria" w:eastAsia="Cambria" w:hAnsi="Cambria"/>
                <w:color w:val="050A30"/>
                <w:sz w:val="38"/>
                <w:szCs w:val="38"/>
              </w:rPr>
              <w:t xml:space="preserve">Vorwarnzeit</w:t>
            </w:r>
          </w:p>
          <w:p>
            <w:pPr>
              <w:spacing w:after="0" w:line="276" w:lineRule="auto"/>
            </w:pPr>
            <w:r>
              <w:rPr>
                <w:color w:val="6B7080"/>
                <w:sz w:val="20"/>
                <w:szCs w:val="20"/>
              </w:rPr>
              <w:t xml:space="preserve">Monate früher sehen, wo ein Projekt kippt</w:t>
            </w:r>
          </w:p>
        </w:tc>
        <w:tc>
          <w:tcPr>
            <w:tcW w:type="dxa" w:w="4856"/>
            <w:shd w:fill="F4F5F8" w:color="auto" w:val="clear"/>
            <w:tcMar>
              <w:top w:type="dxa" w:w="220"/>
              <w:left w:type="dxa" w:w="240"/>
              <w:bottom w:type="dxa" w:w="220"/>
              <w:right w:type="dxa" w:w="240"/>
            </w:tcMar>
          </w:tcPr>
          <w:p>
            <w:pPr>
              <w:spacing w:after="60" w:line="240" w:lineRule="auto"/>
            </w:pPr>
            <w:r>
              <w:rPr>
                <w:rFonts w:ascii="Cambria" w:cs="Cambria" w:eastAsia="Cambria" w:hAnsi="Cambria"/>
                <w:color w:val="050A30"/>
                <w:sz w:val="38"/>
                <w:szCs w:val="38"/>
              </w:rPr>
              <w:t xml:space="preserve">Schnellere Reviews</w:t>
            </w:r>
          </w:p>
          <w:p>
            <w:pPr>
              <w:spacing w:after="0" w:line="276" w:lineRule="auto"/>
            </w:pPr>
            <w:r>
              <w:rPr>
                <w:color w:val="6B7080"/>
                <w:sz w:val="20"/>
                <w:szCs w:val="20"/>
              </w:rPr>
              <w:t xml:space="preserve">weniger Stunden je Kreditreview bei mehr Tiefe</w:t>
            </w:r>
          </w:p>
        </w:tc>
        <w:tc>
          <w:tcPr>
            <w:tcW w:type="dxa" w:w="4858"/>
            <w:shd w:fill="F4F5F8" w:color="auto" w:val="clear"/>
            <w:tcMar>
              <w:top w:type="dxa" w:w="220"/>
              <w:left w:type="dxa" w:w="240"/>
              <w:bottom w:type="dxa" w:w="220"/>
              <w:right w:type="dxa" w:w="240"/>
            </w:tcMar>
          </w:tcPr>
          <w:p>
            <w:pPr>
              <w:spacing w:after="60" w:line="240" w:lineRule="auto"/>
            </w:pPr>
            <w:r>
              <w:rPr>
                <w:rFonts w:ascii="Cambria" w:cs="Cambria" w:eastAsia="Cambria" w:hAnsi="Cambria"/>
                <w:color w:val="050A30"/>
                <w:sz w:val="38"/>
                <w:szCs w:val="38"/>
              </w:rPr>
              <w:t xml:space="preserve">Weniger Verluste</w:t>
            </w:r>
          </w:p>
          <w:p>
            <w:pPr>
              <w:spacing w:after="0" w:line="276" w:lineRule="auto"/>
            </w:pPr>
            <w:r>
              <w:rPr>
                <w:color w:val="6B7080"/>
                <w:sz w:val="20"/>
                <w:szCs w:val="20"/>
              </w:rPr>
              <w:t xml:space="preserve">früheres Handeln begrenzt Kreditverluste und verbessert die Steuerung</w:t>
            </w:r>
          </w:p>
        </w:tc>
      </w:tr>
    </w:tbl>
    <w:p/>
    <w:p>
      <w:pPr>
        <w:keepNext/>
        <w:pageBreakBefore/>
        <w:spacing w:after="40"/>
      </w:pPr>
      <w:r>
        <w:rPr>
          <w:color w:val="6B7080"/>
          <w:sz w:val="19"/>
          <w:szCs w:val="19"/>
        </w:rPr>
        <w:t xml:space="preserve">Anwendungsfall 7  ·  KfW IPEX-Bank, Exportfinanzierung</w:t>
      </w:r>
    </w:p>
    <w:p>
      <w:pPr>
        <w:keepNext/>
        <w:spacing w:after="80" w:line="252" w:lineRule="auto"/>
      </w:pPr>
      <w:r>
        <w:rPr>
          <w:rFonts w:ascii="Cambria" w:cs="Cambria" w:eastAsia="Cambria" w:hAnsi="Cambria"/>
          <w:color w:val="050A30"/>
          <w:sz w:val="52"/>
          <w:szCs w:val="52"/>
        </w:rPr>
        <w:t xml:space="preserve">Export Finance Structuring Intelligence</w:t>
      </w:r>
    </w:p>
    <w:p>
      <w:pPr>
        <w:pBdr>
          <w:bottom w:val="single" w:color="050A30" w:sz="8"/>
        </w:pBdr>
        <w:spacing w:after="360" w:line="264" w:lineRule="auto"/>
      </w:pPr>
      <w:r>
        <w:rPr>
          <w:rFonts w:ascii="Cambria" w:cs="Cambria" w:eastAsia="Cambria" w:hAnsi="Cambria"/>
          <w:i/>
          <w:iCs/>
          <w:color w:val="050A30"/>
          <w:sz w:val="28"/>
          <w:szCs w:val="28"/>
        </w:rPr>
        <w:t xml:space="preserve">Eine Anfrage kommt rein. Statt einer Struktur liegen drei auf dem Tisch, mit Deckung, Voraussetzungen und Risikoaufteilung.</w:t>
      </w:r>
    </w:p>
    <w:tbl>
      <w:tblPr>
        <w:tblW w:type="dxa" w:w="145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56"/>
        <w:gridCol w:w="4856"/>
        <w:gridCol w:w="4858"/>
      </w:tblGrid>
      <w:tr>
        <w:trPr>
          <w:cantSplit/>
        </w:trPr>
        <w:tc>
          <w:tcPr>
            <w:tcW w:type="dxa" w:w="4856"/>
            <w:tcBorders>
              <w:top w:val="none" w:color="FFFFFF" w:sz="0"/>
              <w:left w:val="none" w:color="FFFFFF" w:sz="0"/>
              <w:bottom w:val="none" w:color="FFFFFF" w:sz="0"/>
              <w:right w:val="none" w:color="FFFFFF" w:sz="0"/>
            </w:tcBorders>
            <w:tcMar>
              <w:top w:type="dxa" w:w="120"/>
              <w:left w:type="dxa" w:w="0"/>
              <w:bottom w:type="dxa" w:w="120"/>
              <w:right w:type="dxa" w:w="240"/>
            </w:tcMar>
          </w:tcPr>
          <w:p>
            <w:pPr>
              <w:keepNext/>
              <w:spacing w:after="120"/>
            </w:pPr>
            <w:r>
              <w:rPr>
                <w:b/>
                <w:bCs/>
                <w:color w:val="6B7080"/>
                <w:sz w:val="19"/>
                <w:szCs w:val="19"/>
              </w:rPr>
              <w:t xml:space="preserve">Heute</w:t>
            </w:r>
          </w:p>
          <w:p>
            <w:pPr>
              <w:spacing w:after="140" w:before="0" w:line="300" w:lineRule="auto"/>
            </w:pPr>
            <w:r>
              <w:rPr>
                <w:sz w:val="23"/>
                <w:szCs w:val="23"/>
              </w:rPr>
              <w:t xml:space="preserve">Rund 4,4 Mrd. € ECA-Transaktionsvolumen 2025. Die Zahl der Deckungsprodukte bei den Exportkreditagenturen ist stark gewachsen.</w:t>
            </w:r>
          </w:p>
          <w:p>
            <w:pPr>
              <w:spacing w:after="140" w:before="0" w:line="300" w:lineRule="auto"/>
            </w:pPr>
            <w:r>
              <w:rPr>
                <w:sz w:val="23"/>
                <w:szCs w:val="23"/>
              </w:rPr>
              <w:t xml:space="preserve">Ein KI-Projekt zur Dokumentenanalyse läuft bereits.</w:t>
            </w:r>
          </w:p>
        </w:tc>
        <w:tc>
          <w:tcPr>
            <w:tcW w:type="dxa" w:w="4856"/>
            <w:tcBorders>
              <w:top w:val="none" w:color="FFFFFF" w:sz="0"/>
              <w:left w:val="single" w:color="D6D9E1" w:sz="4"/>
              <w:bottom w:val="none" w:color="FFFFFF" w:sz="0"/>
              <w:right w:val="none" w:color="FFFFFF" w:sz="0"/>
            </w:tcBorders>
            <w:tcMar>
              <w:top w:type="dxa" w:w="120"/>
              <w:left w:type="dxa" w:w="240"/>
              <w:bottom w:type="dxa" w:w="120"/>
              <w:right w:type="dxa" w:w="240"/>
            </w:tcMar>
          </w:tcPr>
          <w:p>
            <w:pPr>
              <w:keepNext/>
              <w:spacing w:after="120"/>
            </w:pPr>
            <w:r>
              <w:rPr>
                <w:b/>
                <w:bCs/>
                <w:color w:val="6B7080"/>
                <w:sz w:val="19"/>
                <w:szCs w:val="19"/>
              </w:rPr>
              <w:t xml:space="preserve">Das Problem</w:t>
            </w:r>
          </w:p>
          <w:p>
            <w:pPr>
              <w:spacing w:after="140" w:before="0" w:line="300" w:lineRule="auto"/>
            </w:pPr>
            <w:r>
              <w:rPr>
                <w:sz w:val="23"/>
                <w:szCs w:val="23"/>
              </w:rPr>
              <w:t xml:space="preserve">Welche Deckung zu einem Projekt passt, hängt von Land, Lieferkette, Risikoprofil und Förderkriterien ab.</w:t>
            </w:r>
          </w:p>
          <w:p>
            <w:pPr>
              <w:spacing w:after="140" w:before="0" w:line="300" w:lineRule="auto"/>
            </w:pPr>
            <w:r>
              <w:rPr>
                <w:sz w:val="23"/>
                <w:szCs w:val="23"/>
              </w:rPr>
              <w:t xml:space="preserve">Unter Zeitdruck wird die naheliegende Struktur gewählt. Alternativen, die ein Mandat erst möglich machen würden, bleiben ungeprüft.</w:t>
            </w:r>
          </w:p>
        </w:tc>
        <w:tc>
          <w:tcPr>
            <w:tcW w:type="dxa" w:w="4858"/>
            <w:tcBorders>
              <w:top w:val="none" w:color="FFFFFF" w:sz="0"/>
              <w:left w:val="single" w:color="D6D9E1" w:sz="4"/>
              <w:bottom w:val="none" w:color="FFFFFF" w:sz="0"/>
              <w:right w:val="none" w:color="FFFFFF" w:sz="0"/>
            </w:tcBorders>
            <w:tcMar>
              <w:top w:type="dxa" w:w="120"/>
              <w:left w:type="dxa" w:w="240"/>
              <w:bottom w:type="dxa" w:w="120"/>
              <w:right w:type="dxa" w:w="0"/>
            </w:tcMar>
          </w:tcPr>
          <w:p>
            <w:pPr>
              <w:keepNext/>
              <w:spacing w:after="120"/>
            </w:pPr>
            <w:r>
              <w:rPr>
                <w:b/>
                <w:bCs/>
                <w:color w:val="6B7080"/>
                <w:sz w:val="19"/>
                <w:szCs w:val="19"/>
              </w:rPr>
              <w:t xml:space="preserve">Mit KI</w:t>
            </w:r>
          </w:p>
          <w:p>
            <w:pPr>
              <w:spacing w:after="140" w:before="0" w:line="300" w:lineRule="auto"/>
            </w:pPr>
            <w:r>
              <w:rPr>
                <w:sz w:val="23"/>
                <w:szCs w:val="23"/>
              </w:rPr>
              <w:t xml:space="preserve">Jede Anfrage wird gegen die Deckungsbedingungen relevanter Agenturen und gegen vergleichbare historische Transaktionen der Bank geprüft.</w:t>
            </w:r>
          </w:p>
          <w:p>
            <w:pPr>
              <w:spacing w:after="140" w:before="0" w:line="300" w:lineRule="auto"/>
            </w:pPr>
            <w:r>
              <w:rPr>
                <w:sz w:val="23"/>
                <w:szCs w:val="23"/>
              </w:rPr>
              <w:t xml:space="preserve">Das System schlägt Strukturvarianten vor, mit Voraussetzungen, Risikoaufteilung und wirtschaftlicher Einschätzung.</w:t>
            </w:r>
          </w:p>
          <w:p>
            <w:pPr>
              <w:spacing w:after="140" w:before="0" w:line="300" w:lineRule="auto"/>
            </w:pPr>
            <w:r>
              <w:rPr>
                <w:sz w:val="23"/>
                <w:szCs w:val="23"/>
              </w:rPr>
              <w:t xml:space="preserve">Die Strukturierer entscheiden, welche Variante ins Term Sheet geht.</w:t>
            </w:r>
          </w:p>
        </w:tc>
      </w:tr>
    </w:tbl>
    <w:p>
      <w:pPr>
        <w:spacing w:after="320"/>
      </w:pPr>
    </w:p>
    <w:p>
      <w:pPr>
        <w:keepNext/>
        <w:spacing w:after="120"/>
      </w:pPr>
      <w:r>
        <w:rPr>
          <w:b/>
          <w:bCs/>
          <w:color w:val="6B7080"/>
          <w:sz w:val="19"/>
          <w:szCs w:val="19"/>
        </w:rPr>
        <w:t xml:space="preserve">Was die KfW davon hat</w:t>
      </w:r>
    </w:p>
    <w:tbl>
      <w:tblPr>
        <w:tblW w:type="dxa" w:w="14570"/>
        <w:tblBorders>
          <w:top w:val="none" w:color="FFFFFF" w:sz="0"/>
          <w:left w:val="none" w:color="FFFFFF" w:sz="0"/>
          <w:bottom w:val="none" w:color="FFFFFF" w:sz="0"/>
          <w:right w:val="none" w:color="FFFFFF" w:sz="0"/>
          <w:insideH w:val="none" w:color="FFFFFF" w:sz="0"/>
          <w:insideV w:val="single" w:color="FFFFFF" w:sz="16"/>
        </w:tblBorders>
        <w:tblLayout w:type="fixed"/>
      </w:tblPr>
      <w:tblGrid>
        <w:gridCol w:w="4856"/>
        <w:gridCol w:w="4856"/>
        <w:gridCol w:w="4858"/>
      </w:tblGrid>
      <w:tr>
        <w:trPr>
          <w:cantSplit/>
        </w:trPr>
        <w:tc>
          <w:tcPr>
            <w:tcW w:type="dxa" w:w="4856"/>
            <w:shd w:fill="F4F5F8" w:color="auto" w:val="clear"/>
            <w:tcMar>
              <w:top w:type="dxa" w:w="220"/>
              <w:left w:type="dxa" w:w="240"/>
              <w:bottom w:type="dxa" w:w="220"/>
              <w:right w:type="dxa" w:w="240"/>
            </w:tcMar>
          </w:tcPr>
          <w:p>
            <w:pPr>
              <w:spacing w:after="60" w:line="240" w:lineRule="auto"/>
            </w:pPr>
            <w:r>
              <w:rPr>
                <w:rFonts w:ascii="Cambria" w:cs="Cambria" w:eastAsia="Cambria" w:hAnsi="Cambria"/>
                <w:color w:val="050A30"/>
                <w:sz w:val="38"/>
                <w:szCs w:val="38"/>
              </w:rPr>
              <w:t xml:space="preserve">Mehr Mandate</w:t>
            </w:r>
          </w:p>
          <w:p>
            <w:pPr>
              <w:spacing w:after="0" w:line="276" w:lineRule="auto"/>
            </w:pPr>
            <w:r>
              <w:rPr>
                <w:color w:val="6B7080"/>
                <w:sz w:val="20"/>
                <w:szCs w:val="20"/>
              </w:rPr>
              <w:t xml:space="preserve">Anfragen, die heute nicht strukturierbar scheinen, werden es</w:t>
            </w:r>
          </w:p>
        </w:tc>
        <w:tc>
          <w:tcPr>
            <w:tcW w:type="dxa" w:w="4856"/>
            <w:shd w:fill="F4F5F8" w:color="auto" w:val="clear"/>
            <w:tcMar>
              <w:top w:type="dxa" w:w="220"/>
              <w:left w:type="dxa" w:w="240"/>
              <w:bottom w:type="dxa" w:w="220"/>
              <w:right w:type="dxa" w:w="240"/>
            </w:tcMar>
          </w:tcPr>
          <w:p>
            <w:pPr>
              <w:spacing w:after="60" w:line="240" w:lineRule="auto"/>
            </w:pPr>
            <w:r>
              <w:rPr>
                <w:rFonts w:ascii="Cambria" w:cs="Cambria" w:eastAsia="Cambria" w:hAnsi="Cambria"/>
                <w:color w:val="050A30"/>
                <w:sz w:val="38"/>
                <w:szCs w:val="38"/>
              </w:rPr>
              <w:t xml:space="preserve">Schneller</w:t>
            </w:r>
          </w:p>
          <w:p>
            <w:pPr>
              <w:spacing w:after="0" w:line="276" w:lineRule="auto"/>
            </w:pPr>
            <w:r>
              <w:rPr>
                <w:color w:val="6B7080"/>
                <w:sz w:val="20"/>
                <w:szCs w:val="20"/>
              </w:rPr>
              <w:t xml:space="preserve">kürzere Zeit bis zum belastbaren Term Sheet</w:t>
            </w:r>
          </w:p>
        </w:tc>
        <w:tc>
          <w:tcPr>
            <w:tcW w:type="dxa" w:w="4858"/>
            <w:shd w:fill="F4F5F8" w:color="auto" w:val="clear"/>
            <w:tcMar>
              <w:top w:type="dxa" w:w="220"/>
              <w:left w:type="dxa" w:w="240"/>
              <w:bottom w:type="dxa" w:w="220"/>
              <w:right w:type="dxa" w:w="240"/>
            </w:tcMar>
          </w:tcPr>
          <w:p>
            <w:pPr>
              <w:spacing w:after="60" w:line="240" w:lineRule="auto"/>
            </w:pPr>
            <w:r>
              <w:rPr>
                <w:rFonts w:ascii="Cambria" w:cs="Cambria" w:eastAsia="Cambria" w:hAnsi="Cambria"/>
                <w:color w:val="050A30"/>
                <w:sz w:val="38"/>
                <w:szCs w:val="38"/>
              </w:rPr>
              <w:t xml:space="preserve">300.000 €</w:t>
            </w:r>
          </w:p>
          <w:p>
            <w:pPr>
              <w:spacing w:after="0" w:line="276" w:lineRule="auto"/>
            </w:pPr>
            <w:r>
              <w:rPr>
                <w:color w:val="6B7080"/>
                <w:sz w:val="20"/>
                <w:szCs w:val="20"/>
              </w:rPr>
              <w:t xml:space="preserve">Bruttoertrag je Zusatzmandat bei 150 Mio. € und 20 bp (Annahme)</w:t>
            </w:r>
          </w:p>
        </w:tc>
      </w:tr>
    </w:tbl>
    <w:p>
      <w:pPr>
        <w:spacing w:after="0" w:before="160"/>
      </w:pPr>
      <w:r>
        <w:rPr>
          <w:color w:val="6B7080"/>
          <w:sz w:val="17"/>
          <w:szCs w:val="17"/>
        </w:rPr>
        <w:t xml:space="preserve">Der Gebührensatz ist eine Rechenannahme, kein veröffentlichter KfW-Wert.</w:t>
      </w:r>
    </w:p>
    <w:p>
      <w:pPr>
        <w:keepNext/>
        <w:pageBreakBefore/>
        <w:spacing w:after="40"/>
      </w:pPr>
      <w:r>
        <w:rPr>
          <w:color w:val="6B7080"/>
          <w:sz w:val="19"/>
          <w:szCs w:val="19"/>
        </w:rPr>
        <w:t xml:space="preserve">Anwendungsfall 8  ·  KfW IPEX-Bank, Syndizierung</w:t>
      </w:r>
    </w:p>
    <w:p>
      <w:pPr>
        <w:keepNext/>
        <w:spacing w:after="80" w:line="252" w:lineRule="auto"/>
      </w:pPr>
      <w:r>
        <w:rPr>
          <w:rFonts w:ascii="Cambria" w:cs="Cambria" w:eastAsia="Cambria" w:hAnsi="Cambria"/>
          <w:color w:val="050A30"/>
          <w:sz w:val="52"/>
          <w:szCs w:val="52"/>
        </w:rPr>
        <w:t xml:space="preserve">Syndication &amp; Capital Intelligence</w:t>
      </w:r>
    </w:p>
    <w:p>
      <w:pPr>
        <w:pBdr>
          <w:bottom w:val="single" w:color="050A30" w:sz="8"/>
        </w:pBdr>
        <w:spacing w:after="360" w:line="264" w:lineRule="auto"/>
      </w:pPr>
      <w:r>
        <w:rPr>
          <w:rFonts w:ascii="Cambria" w:cs="Cambria" w:eastAsia="Cambria" w:hAnsi="Cambria"/>
          <w:i/>
          <w:iCs/>
          <w:color w:val="050A30"/>
          <w:sz w:val="28"/>
          <w:szCs w:val="28"/>
        </w:rPr>
        <w:t xml:space="preserve">Mehr Finanzierungsgeschäft, ohne mehr Eigenkapital zu binden: Risiken intelligenter verteilen.</w:t>
      </w:r>
    </w:p>
    <w:tbl>
      <w:tblPr>
        <w:tblW w:type="dxa" w:w="145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56"/>
        <w:gridCol w:w="4856"/>
        <w:gridCol w:w="4858"/>
      </w:tblGrid>
      <w:tr>
        <w:trPr>
          <w:cantSplit/>
        </w:trPr>
        <w:tc>
          <w:tcPr>
            <w:tcW w:type="dxa" w:w="4856"/>
            <w:tcBorders>
              <w:top w:val="none" w:color="FFFFFF" w:sz="0"/>
              <w:left w:val="none" w:color="FFFFFF" w:sz="0"/>
              <w:bottom w:val="none" w:color="FFFFFF" w:sz="0"/>
              <w:right w:val="none" w:color="FFFFFF" w:sz="0"/>
            </w:tcBorders>
            <w:tcMar>
              <w:top w:type="dxa" w:w="120"/>
              <w:left w:type="dxa" w:w="0"/>
              <w:bottom w:type="dxa" w:w="120"/>
              <w:right w:type="dxa" w:w="240"/>
            </w:tcMar>
          </w:tcPr>
          <w:p>
            <w:pPr>
              <w:keepNext/>
              <w:spacing w:after="120"/>
            </w:pPr>
            <w:r>
              <w:rPr>
                <w:b/>
                <w:bCs/>
                <w:color w:val="6B7080"/>
                <w:sz w:val="19"/>
                <w:szCs w:val="19"/>
              </w:rPr>
              <w:t xml:space="preserve">Heute</w:t>
            </w:r>
          </w:p>
          <w:p>
            <w:pPr>
              <w:spacing w:after="140" w:before="0" w:line="300" w:lineRule="auto"/>
            </w:pPr>
            <w:r>
              <w:rPr>
                <w:sz w:val="23"/>
                <w:szCs w:val="23"/>
              </w:rPr>
              <w:t xml:space="preserve">6,9 Mrd. € arrangiertes Syndizierungsvolumen 2025. Große Projektfinanzierungen werden mit Banken und institutionellen Investoren geteilt.</w:t>
            </w:r>
          </w:p>
          <w:p>
            <w:pPr>
              <w:spacing w:after="140" w:before="0" w:line="300" w:lineRule="auto"/>
            </w:pPr>
            <w:r>
              <w:rPr>
                <w:sz w:val="23"/>
                <w:szCs w:val="23"/>
              </w:rPr>
              <w:t xml:space="preserve">Wie gut die Platzierung gelingt, entscheidet, wie viel Kapazität für das nächste Geschäft bleibt.</w:t>
            </w:r>
          </w:p>
        </w:tc>
        <w:tc>
          <w:tcPr>
            <w:tcW w:type="dxa" w:w="4856"/>
            <w:tcBorders>
              <w:top w:val="none" w:color="FFFFFF" w:sz="0"/>
              <w:left w:val="single" w:color="D6D9E1" w:sz="4"/>
              <w:bottom w:val="none" w:color="FFFFFF" w:sz="0"/>
              <w:right w:val="none" w:color="FFFFFF" w:sz="0"/>
            </w:tcBorders>
            <w:tcMar>
              <w:top w:type="dxa" w:w="120"/>
              <w:left w:type="dxa" w:w="240"/>
              <w:bottom w:type="dxa" w:w="120"/>
              <w:right w:type="dxa" w:w="240"/>
            </w:tcMar>
          </w:tcPr>
          <w:p>
            <w:pPr>
              <w:keepNext/>
              <w:spacing w:after="120"/>
            </w:pPr>
            <w:r>
              <w:rPr>
                <w:b/>
                <w:bCs/>
                <w:color w:val="6B7080"/>
                <w:sz w:val="19"/>
                <w:szCs w:val="19"/>
              </w:rPr>
              <w:t xml:space="preserve">Das Problem</w:t>
            </w:r>
          </w:p>
          <w:p>
            <w:pPr>
              <w:spacing w:after="140" w:before="0" w:line="300" w:lineRule="auto"/>
            </w:pPr>
            <w:r>
              <w:rPr>
                <w:sz w:val="23"/>
                <w:szCs w:val="23"/>
              </w:rPr>
              <w:t xml:space="preserve">Für jede Transaktion: Welche Partner passen nach Sektor, Land, Laufzeit, Ticketgröße und Beziehung? Welche Struktur bindet am wenigsten Kapital?</w:t>
            </w:r>
          </w:p>
          <w:p>
            <w:pPr>
              <w:spacing w:after="140" w:before="0" w:line="300" w:lineRule="auto"/>
            </w:pPr>
            <w:r>
              <w:rPr>
                <w:sz w:val="23"/>
                <w:szCs w:val="23"/>
              </w:rPr>
              <w:t xml:space="preserve">Dieses Wissen steckt in Köpfen und alten Deals, nicht in einem System.</w:t>
            </w:r>
          </w:p>
        </w:tc>
        <w:tc>
          <w:tcPr>
            <w:tcW w:type="dxa" w:w="4858"/>
            <w:tcBorders>
              <w:top w:val="none" w:color="FFFFFF" w:sz="0"/>
              <w:left w:val="single" w:color="D6D9E1" w:sz="4"/>
              <w:bottom w:val="none" w:color="FFFFFF" w:sz="0"/>
              <w:right w:val="none" w:color="FFFFFF" w:sz="0"/>
            </w:tcBorders>
            <w:tcMar>
              <w:top w:type="dxa" w:w="120"/>
              <w:left w:type="dxa" w:w="240"/>
              <w:bottom w:type="dxa" w:w="120"/>
              <w:right w:type="dxa" w:w="0"/>
            </w:tcMar>
          </w:tcPr>
          <w:p>
            <w:pPr>
              <w:keepNext/>
              <w:spacing w:after="120"/>
            </w:pPr>
            <w:r>
              <w:rPr>
                <w:b/>
                <w:bCs/>
                <w:color w:val="6B7080"/>
                <w:sz w:val="19"/>
                <w:szCs w:val="19"/>
              </w:rPr>
              <w:t xml:space="preserve">Mit KI</w:t>
            </w:r>
          </w:p>
          <w:p>
            <w:pPr>
              <w:spacing w:after="140" w:before="0" w:line="300" w:lineRule="auto"/>
            </w:pPr>
            <w:r>
              <w:rPr>
                <w:sz w:val="23"/>
                <w:szCs w:val="23"/>
              </w:rPr>
              <w:t xml:space="preserve">Das System lernt aus historischen Syndizierungen, dokumentierten Partnerpräferenzen und der aktuellen Pipeline.</w:t>
            </w:r>
          </w:p>
          <w:p>
            <w:pPr>
              <w:spacing w:after="140" w:before="0" w:line="300" w:lineRule="auto"/>
            </w:pPr>
            <w:r>
              <w:rPr>
                <w:sz w:val="23"/>
                <w:szCs w:val="23"/>
              </w:rPr>
              <w:t xml:space="preserve">Es schlägt Partner und Strukturvarianten vor und vergleicht Szenarien nach Platzierbarkeit, Kapitalbindung und Ergebnis, auf Basis der bestehenden Risikomodelle.</w:t>
            </w:r>
          </w:p>
          <w:p>
            <w:pPr>
              <w:spacing w:after="140" w:before="0" w:line="300" w:lineRule="auto"/>
            </w:pPr>
            <w:r>
              <w:rPr>
                <w:sz w:val="23"/>
                <w:szCs w:val="23"/>
              </w:rPr>
              <w:t xml:space="preserve">Das Syndizierungsteam spricht die richtigen Partner zuerst an.</w:t>
            </w:r>
          </w:p>
        </w:tc>
      </w:tr>
    </w:tbl>
    <w:p>
      <w:pPr>
        <w:spacing w:after="320"/>
      </w:pPr>
    </w:p>
    <w:p>
      <w:pPr>
        <w:keepNext/>
        <w:spacing w:after="120"/>
      </w:pPr>
      <w:r>
        <w:rPr>
          <w:b/>
          <w:bCs/>
          <w:color w:val="6B7080"/>
          <w:sz w:val="19"/>
          <w:szCs w:val="19"/>
        </w:rPr>
        <w:t xml:space="preserve">Was die KfW davon hat</w:t>
      </w:r>
    </w:p>
    <w:tbl>
      <w:tblPr>
        <w:tblW w:type="dxa" w:w="14570"/>
        <w:tblBorders>
          <w:top w:val="none" w:color="FFFFFF" w:sz="0"/>
          <w:left w:val="none" w:color="FFFFFF" w:sz="0"/>
          <w:bottom w:val="none" w:color="FFFFFF" w:sz="0"/>
          <w:right w:val="none" w:color="FFFFFF" w:sz="0"/>
          <w:insideH w:val="none" w:color="FFFFFF" w:sz="0"/>
          <w:insideV w:val="single" w:color="FFFFFF" w:sz="16"/>
        </w:tblBorders>
        <w:tblLayout w:type="fixed"/>
      </w:tblPr>
      <w:tblGrid>
        <w:gridCol w:w="4856"/>
        <w:gridCol w:w="4856"/>
        <w:gridCol w:w="4858"/>
      </w:tblGrid>
      <w:tr>
        <w:trPr>
          <w:cantSplit/>
        </w:trPr>
        <w:tc>
          <w:tcPr>
            <w:tcW w:type="dxa" w:w="4856"/>
            <w:shd w:fill="F4F5F8" w:color="auto" w:val="clear"/>
            <w:tcMar>
              <w:top w:type="dxa" w:w="220"/>
              <w:left w:type="dxa" w:w="240"/>
              <w:bottom w:type="dxa" w:w="220"/>
              <w:right w:type="dxa" w:w="240"/>
            </w:tcMar>
          </w:tcPr>
          <w:p>
            <w:pPr>
              <w:spacing w:after="60" w:line="240" w:lineRule="auto"/>
            </w:pPr>
            <w:r>
              <w:rPr>
                <w:rFonts w:ascii="Cambria" w:cs="Cambria" w:eastAsia="Cambria" w:hAnsi="Cambria"/>
                <w:color w:val="050A30"/>
                <w:sz w:val="38"/>
                <w:szCs w:val="38"/>
              </w:rPr>
              <w:t xml:space="preserve">Höhere Platzierung</w:t>
            </w:r>
          </w:p>
          <w:p>
            <w:pPr>
              <w:spacing w:after="0" w:line="276" w:lineRule="auto"/>
            </w:pPr>
            <w:r>
              <w:rPr>
                <w:color w:val="6B7080"/>
                <w:sz w:val="20"/>
                <w:szCs w:val="20"/>
              </w:rPr>
              <w:t xml:space="preserve">mehr Tranchen erfolgreich und schneller platziert</w:t>
            </w:r>
          </w:p>
        </w:tc>
        <w:tc>
          <w:tcPr>
            <w:tcW w:type="dxa" w:w="4856"/>
            <w:shd w:fill="F4F5F8" w:color="auto" w:val="clear"/>
            <w:tcMar>
              <w:top w:type="dxa" w:w="220"/>
              <w:left w:type="dxa" w:w="240"/>
              <w:bottom w:type="dxa" w:w="220"/>
              <w:right w:type="dxa" w:w="240"/>
            </w:tcMar>
          </w:tcPr>
          <w:p>
            <w:pPr>
              <w:spacing w:after="60" w:line="240" w:lineRule="auto"/>
            </w:pPr>
            <w:r>
              <w:rPr>
                <w:rFonts w:ascii="Cambria" w:cs="Cambria" w:eastAsia="Cambria" w:hAnsi="Cambria"/>
                <w:color w:val="050A30"/>
                <w:sz w:val="38"/>
                <w:szCs w:val="38"/>
              </w:rPr>
              <w:t xml:space="preserve">Kapitaleffizienz</w:t>
            </w:r>
          </w:p>
          <w:p>
            <w:pPr>
              <w:spacing w:after="0" w:line="276" w:lineRule="auto"/>
            </w:pPr>
            <w:r>
              <w:rPr>
                <w:color w:val="6B7080"/>
                <w:sz w:val="20"/>
                <w:szCs w:val="20"/>
              </w:rPr>
              <w:t xml:space="preserve">weniger gebundene Eigenmittel je Transaktion</w:t>
            </w:r>
          </w:p>
        </w:tc>
        <w:tc>
          <w:tcPr>
            <w:tcW w:type="dxa" w:w="4858"/>
            <w:shd w:fill="F4F5F8" w:color="auto" w:val="clear"/>
            <w:tcMar>
              <w:top w:type="dxa" w:w="220"/>
              <w:left w:type="dxa" w:w="240"/>
              <w:bottom w:type="dxa" w:w="220"/>
              <w:right w:type="dxa" w:w="240"/>
            </w:tcMar>
          </w:tcPr>
          <w:p>
            <w:pPr>
              <w:spacing w:after="60" w:line="240" w:lineRule="auto"/>
            </w:pPr>
            <w:r>
              <w:rPr>
                <w:rFonts w:ascii="Cambria" w:cs="Cambria" w:eastAsia="Cambria" w:hAnsi="Cambria"/>
                <w:color w:val="050A30"/>
                <w:sz w:val="38"/>
                <w:szCs w:val="38"/>
              </w:rPr>
              <w:t xml:space="preserve">Wachstum</w:t>
            </w:r>
          </w:p>
          <w:p>
            <w:pPr>
              <w:spacing w:after="0" w:line="276" w:lineRule="auto"/>
            </w:pPr>
            <w:r>
              <w:rPr>
                <w:color w:val="6B7080"/>
                <w:sz w:val="20"/>
                <w:szCs w:val="20"/>
              </w:rPr>
              <w:t xml:space="preserve">zusätzliche Finanzierungen innerhalb bestehender Limite</w:t>
            </w:r>
          </w:p>
        </w:tc>
      </w:tr>
    </w:tbl>
    <w:p/>
    <w:sectPr>
      <w:footerReference w:type="default" r:id="rId7"/>
      <w:pgSz w:w="16838" w:h="11906" w:orient="landscape"/>
      <w:pgMar w:top="1134" w:right="1134" w:bottom="1134" w:left="1134"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4570"/>
      </w:tabs>
    </w:pPr>
    <w:r>
      <w:rPr>
        <w:color w:val="6B7080"/>
        <w:sz w:val="15"/>
        <w:szCs w:val="15"/>
      </w:rPr>
      <w:t xml:space="preserve">KfW  ·  KI-Anwendungsfälle</w:t>
    </w:r>
    <w:r>
      <w:t xml:space="preserve">	</w:t>
    </w:r>
    <w:r>
      <w:rPr>
        <w:color w:val="6B70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300"/>
      </w:pPr>
      <w:rPr>
        <w:color w:val="050A30"/>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233"/>
        <w:sz w:val="20"/>
        <w:szCs w:val="20"/>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ce6bee60e59fa09dd2f29a258d93099b13abfb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KfW – Acht Anwendungsfälle für KI</dc:title>
  <dc:creator>Un-named</dc:creator>
  <cp:lastModifiedBy>Un-named</cp:lastModifiedBy>
  <cp:revision>1</cp:revision>
  <dcterms:created xsi:type="dcterms:W3CDTF">2026-10-26T22:00:37.341Z</dcterms:created>
  <dcterms:modified xsi:type="dcterms:W3CDTF">2026-10-26T22:00:37.341Z</dcterms:modified>
</cp:coreProperties>
</file>

<file path=docProps/custom.xml><?xml version="1.0" encoding="utf-8"?>
<Properties xmlns="http://schemas.openxmlformats.org/officeDocument/2006/custom-properties" xmlns:vt="http://schemas.openxmlformats.org/officeDocument/2006/docPropsVTypes"/>
</file>