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drawing>
          <wp:inline distT="0" distB="0" distL="0" distR="0">
            <wp:extent cx="13335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6B7080"/>
          <w:sz w:val="17"/>
          <w:szCs w:val="17"/>
        </w:rPr>
        <w:t xml:space="preserve">Briefing  |  KfW Bankengruppe  |  Oktober 2026</w:t>
      </w:r>
    </w:p>
    <w:p>
      <w:pPr>
        <w:pBdr>
          <w:bottom w:val="single" w:color="050A30" w:sz="8"/>
        </w:pBdr>
        <w:spacing w:after="200" w:line="252" w:lineRule="auto"/>
      </w:pPr>
      <w:r>
        <w:rPr>
          <w:rFonts w:ascii="Cambria" w:cs="Cambria" w:eastAsia="Cambria" w:hAnsi="Cambria"/>
          <w:color w:val="050A30"/>
          <w:sz w:val="40"/>
          <w:szCs w:val="40"/>
        </w:rPr>
        <w:t xml:space="preserve">KI-Piloten für Revision, Security, Compliance und IPEX</w:t>
      </w:r>
    </w:p>
    <w:p>
      <w:pPr>
        <w:spacing w:after="100" w:before="120" w:line="288" w:lineRule="auto"/>
      </w:pPr>
      <w:r>
        <w:rPr>
          <w:b/>
          <w:bCs/>
          <w:color w:val="050A30"/>
        </w:rPr>
        <w:t xml:space="preserve">Kernaussage:</w:t>
      </w:r>
      <w:r>
        <w:t xml:space="preserve"> Vier KI-Piloten, die auf historischen Daten testbar sind, keine laufenden Prozesse berühren und nach rund zwölf Wochen eine klare Go/No-Go-Entscheidung erlauben.</w:t>
      </w:r>
    </w:p>
    <w:p>
      <w:pPr>
        <w:keepNext/>
        <w:pBdr>
          <w:bottom w:val="single" w:color="D6D9E1" w:sz="4"/>
        </w:pBdr>
        <w:spacing w:after="80" w:before="220"/>
      </w:pPr>
      <w:r>
        <w:rPr>
          <w:rFonts w:ascii="Cambria" w:cs="Cambria" w:eastAsia="Cambria" w:hAnsi="Cambria"/>
          <w:color w:val="050A30"/>
          <w:sz w:val="26"/>
          <w:szCs w:val="26"/>
        </w:rPr>
        <w:t xml:space="preserve">Ausgangslage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Mehr Pflichten:</w:t>
      </w:r>
      <w:r>
        <w:t xml:space="preserve"> DORA, neue EBA-Leitlinien zu Drittparteienrisiken, EZB-Schwerpunkt Cyber und IT-Kontrollen 2026–2028.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Begrenzte Kapazität:</w:t>
      </w:r>
      <w:r>
        <w:t xml:space="preserve"> Konzernrevision mit rund 100 Beschäftigten und etwa 60 Prüfungen pro Jahr.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Kommerzieller Hebel:</w:t>
      </w:r>
      <w:r>
        <w:t xml:space="preserve"> 24,2 Mrd. € Neuzusagen der KfW IPEX-Bank 2025.</w:t>
      </w:r>
    </w:p>
    <w:p>
      <w:pPr>
        <w:keepNext/>
        <w:pBdr>
          <w:bottom w:val="single" w:color="D6D9E1" w:sz="4"/>
        </w:pBdr>
        <w:spacing w:after="80" w:before="220"/>
      </w:pPr>
      <w:r>
        <w:rPr>
          <w:rFonts w:ascii="Cambria" w:cs="Cambria" w:eastAsia="Cambria" w:hAnsi="Cambria"/>
          <w:color w:val="050A30"/>
          <w:sz w:val="26"/>
          <w:szCs w:val="26"/>
        </w:rPr>
        <w:t xml:space="preserve">Empfehlung: vier Piloten</w:t>
      </w:r>
    </w:p>
    <w:tbl>
      <w:tblPr>
        <w:tblW w:type="dxa" w:w="9070"/>
        <w:tblBorders>
          <w:top w:val="single" w:color="050A30" w:sz="6"/>
          <w:left w:val="none" w:color="FFFFFF" w:sz="0"/>
          <w:bottom w:val="single" w:color="050A30" w:sz="6"/>
          <w:right w:val="none" w:color="FFFFFF" w:sz="0"/>
          <w:insideH w:val="single" w:color="D6D9E1" w:sz="4"/>
          <w:insideV w:val="none" w:color="FFFFFF" w:sz="0"/>
        </w:tblBorders>
        <w:tblLayout w:type="fixed"/>
      </w:tblPr>
      <w:tblGrid>
        <w:gridCol w:w="2100"/>
        <w:gridCol w:w="3270"/>
        <w:gridCol w:w="1900"/>
        <w:gridCol w:w="1800"/>
      </w:tblGrid>
      <w:tr>
        <w:trPr>
          <w:tblHeader/>
        </w:trPr>
        <w:tc>
          <w:tcPr>
            <w:tcW w:type="dxa" w:w="2100"/>
            <w:tcMar>
              <w:top w:type="dxa" w:w="90"/>
              <w:left w:type="dxa" w:w="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6B7080"/>
                <w:sz w:val="16"/>
                <w:szCs w:val="16"/>
              </w:rPr>
              <w:t xml:space="preserve">Bereich</w:t>
            </w:r>
          </w:p>
        </w:tc>
        <w:tc>
          <w:tcPr>
            <w:tcW w:type="dxa" w:w="3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6B7080"/>
                <w:sz w:val="16"/>
                <w:szCs w:val="16"/>
              </w:rPr>
              <w:t xml:space="preserve">Ansatz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6B7080"/>
                <w:sz w:val="16"/>
                <w:szCs w:val="16"/>
              </w:rPr>
              <w:t xml:space="preserve">Pilot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6B7080"/>
                <w:sz w:val="16"/>
                <w:szCs w:val="16"/>
              </w:rPr>
              <w:t xml:space="preserve">Nutzen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050A30"/>
                <w:sz w:val="18"/>
                <w:szCs w:val="18"/>
              </w:rPr>
              <w:t xml:space="preserve">Konzernrevision</w:t>
            </w:r>
          </w:p>
          <w:p>
            <w:pPr>
              <w:spacing w:after="0" w:before="20" w:line="264" w:lineRule="auto"/>
            </w:pPr>
            <w:r>
              <w:rPr>
                <w:color w:val="6B7080"/>
                <w:sz w:val="16"/>
                <w:szCs w:val="16"/>
              </w:rPr>
              <w:t xml:space="preserve">Revisionsberichte</w:t>
            </w:r>
          </w:p>
        </w:tc>
        <w:tc>
          <w:tcPr>
            <w:tcW w:type="dxa" w:w="3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KI entwirft Feststellungen und Berichte aus den Prüfungsunterlagen. Jede Aussage mit Nachweis.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5–10 abgeschlossene Prüfungen nachbauen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ca. 1.200 Std. p. a.</w:t>
            </w:r>
          </w:p>
          <w:p>
            <w:pPr>
              <w:spacing w:after="0" w:before="20" w:line="264" w:lineRule="auto"/>
            </w:pPr>
            <w:r>
              <w:rPr>
                <w:color w:val="6B7080"/>
                <w:sz w:val="16"/>
                <w:szCs w:val="16"/>
              </w:rPr>
              <w:t xml:space="preserve">60 × 20 Std., Annahme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050A30"/>
                <w:sz w:val="18"/>
                <w:szCs w:val="18"/>
              </w:rPr>
              <w:t xml:space="preserve">CISO</w:t>
            </w:r>
          </w:p>
          <w:p>
            <w:pPr>
              <w:spacing w:after="0" w:before="20" w:line="264" w:lineRule="auto"/>
            </w:pPr>
            <w:r>
              <w:rPr>
                <w:color w:val="6B7080"/>
                <w:sz w:val="16"/>
                <w:szCs w:val="16"/>
              </w:rPr>
              <w:t xml:space="preserve">Security und Software-Alter</w:t>
            </w:r>
          </w:p>
        </w:tc>
        <w:tc>
          <w:tcPr>
            <w:tcW w:type="dxa" w:w="3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Komponenteninventar je Anwendung, Abgleich mit Schwachstellen und Supportstatus, priorisierte Tests.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10–15 Anwendungen, Vergleich mit letzten Pentests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Laufende Sicht auf veraltete, angreifbare Software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050A30"/>
                <w:sz w:val="18"/>
                <w:szCs w:val="18"/>
              </w:rPr>
              <w:t xml:space="preserve">Compliance</w:t>
            </w:r>
          </w:p>
          <w:p>
            <w:pPr>
              <w:spacing w:after="0" w:before="20" w:line="264" w:lineRule="auto"/>
            </w:pPr>
            <w:r>
              <w:rPr>
                <w:color w:val="6B7080"/>
                <w:sz w:val="16"/>
                <w:szCs w:val="16"/>
              </w:rPr>
              <w:t xml:space="preserve">Regulatorische Betroffenheit</w:t>
            </w:r>
          </w:p>
        </w:tc>
        <w:tc>
          <w:tcPr>
            <w:tcW w:type="dxa" w:w="3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Neue Regulierung gegen die SFO abgleichen, betroffene Passagen markieren, Änderung vorschlagen.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20 vergangene Änderungen gegen damalige SFO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Kürzere Durchlaufzeit je Bewertung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050A30"/>
                <w:sz w:val="18"/>
                <w:szCs w:val="18"/>
              </w:rPr>
              <w:t xml:space="preserve">KfW IPEX-Bank</w:t>
            </w:r>
          </w:p>
          <w:p>
            <w:pPr>
              <w:spacing w:after="0" w:before="20" w:line="264" w:lineRule="auto"/>
            </w:pPr>
            <w:r>
              <w:rPr>
                <w:color w:val="6B7080"/>
                <w:sz w:val="16"/>
                <w:szCs w:val="16"/>
              </w:rPr>
              <w:t xml:space="preserve">ECA-Strukturierung</w:t>
            </w:r>
          </w:p>
        </w:tc>
        <w:tc>
          <w:tcPr>
            <w:tcW w:type="dxa" w:w="327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Alternative Deckungs- und Strukturvarianten je Finanzierungsanfrage vorschlagen.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20 historische Anfragen, auch verlorene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sz w:val="18"/>
                <w:szCs w:val="18"/>
              </w:rPr>
              <w:t xml:space="preserve">ca. 300.000 € je Zusatzmandat</w:t>
            </w:r>
          </w:p>
          <w:p>
            <w:pPr>
              <w:spacing w:after="0" w:before="20" w:line="264" w:lineRule="auto"/>
            </w:pPr>
            <w:r>
              <w:rPr>
                <w:color w:val="6B7080"/>
                <w:sz w:val="16"/>
                <w:szCs w:val="16"/>
              </w:rPr>
              <w:t xml:space="preserve">150 Mio. € × 20 bp, Annahme</w:t>
            </w:r>
          </w:p>
        </w:tc>
      </w:tr>
    </w:tbl>
    <w:p>
      <w:pPr>
        <w:keepNext/>
        <w:pBdr>
          <w:bottom w:val="single" w:color="D6D9E1" w:sz="4"/>
        </w:pBdr>
        <w:spacing w:after="80" w:before="220"/>
      </w:pPr>
      <w:r>
        <w:rPr>
          <w:rFonts w:ascii="Cambria" w:cs="Cambria" w:eastAsia="Cambria" w:hAnsi="Cambria"/>
          <w:color w:val="050A30"/>
          <w:sz w:val="26"/>
          <w:szCs w:val="26"/>
        </w:rPr>
        <w:t xml:space="preserve">Weitere Optionen (zweite Welle)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Drittparteien-Abhängigkeiten:</w:t>
      </w:r>
      <w:r>
        <w:t xml:space="preserve"> bei Dienstleisterausfall sofort sehen, welche Prozesse betroffen sind.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Kontrollüberwachung:</w:t>
      </w:r>
      <w:r>
        <w:t xml:space="preserve"> IKS-Abweichungen laufend statt stichprobenartig erkennen.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Frühwarnung Projektfinanzierung:</w:t>
      </w:r>
      <w:r>
        <w:t xml:space="preserve"> Warnsignale im IPEX-Portfolio (88,9 Mrd. €) früher bündeln.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Syndizierung:</w:t>
      </w:r>
      <w:r>
        <w:t xml:space="preserve"> passende Partner und Strukturen schneller finden.</w:t>
      </w:r>
    </w:p>
    <w:p>
      <w:pPr>
        <w:keepNext/>
        <w:pBdr>
          <w:bottom w:val="single" w:color="D6D9E1" w:sz="4"/>
        </w:pBdr>
        <w:spacing w:after="80" w:before="220"/>
      </w:pPr>
      <w:r>
        <w:rPr>
          <w:rFonts w:ascii="Cambria" w:cs="Cambria" w:eastAsia="Cambria" w:hAnsi="Cambria"/>
          <w:color w:val="050A30"/>
          <w:sz w:val="26"/>
          <w:szCs w:val="26"/>
        </w:rPr>
        <w:t xml:space="preserve">Vorgehen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Wochen 1–4:</w:t>
      </w:r>
      <w:r>
        <w:t xml:space="preserve"> Auswahl von ein bis zwei Piloten, Datenzugang, Baseline und Go-Kriterien festlegen.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Wochen 5–12:</w:t>
      </w:r>
      <w:r>
        <w:t xml:space="preserve"> Pilot auf historischen Daten, Bewertung durch die Fachexperten.</w:t>
      </w:r>
    </w:p>
    <w:p>
      <w:pPr>
        <w:pStyle w:val="ListParagraph"/>
        <w:keepLines/>
        <w:numPr>
          <w:ilvl w:val="0"/>
          <w:numId w:val="2"/>
        </w:numPr>
        <w:spacing w:after="60" w:line="288" w:lineRule="auto"/>
      </w:pPr>
      <w:r>
        <w:rPr>
          <w:b/>
          <w:bCs/>
          <w:color w:val="050A30"/>
        </w:rPr>
        <w:t xml:space="preserve">Danach:</w:t>
      </w:r>
      <w:r>
        <w:t xml:space="preserve"> Go/No-Go auf Basis gemessener Ergebnisse. Die KI schlägt vor, der Fachbereich entscheidet.</w:t>
      </w:r>
    </w:p>
    <w:p>
      <w:pPr>
        <w:keepNext/>
        <w:pBdr>
          <w:bottom w:val="single" w:color="D6D9E1" w:sz="4"/>
        </w:pBdr>
        <w:spacing w:after="80" w:before="220"/>
      </w:pPr>
      <w:r>
        <w:rPr>
          <w:rFonts w:ascii="Cambria" w:cs="Cambria" w:eastAsia="Cambria" w:hAnsi="Cambria"/>
          <w:color w:val="050A30"/>
          <w:sz w:val="26"/>
          <w:szCs w:val="26"/>
        </w:rPr>
        <w:t xml:space="preserve">Nächster Schritt</w:t>
      </w:r>
    </w:p>
    <w:p>
      <w:pPr>
        <w:spacing w:after="100" w:before="0" w:line="288" w:lineRule="auto"/>
      </w:pPr>
      <w:r>
        <w:t xml:space="preserve">90-minütiger Termin mit Revision, CISO, Compliance und IPEX: Stand bei der KfW abgleichen, ein bis zwei Piloten auswählen.</w:t>
      </w:r>
    </w:p>
    <w:sectPr>
      <w:footerReference w:type="default" r:id="rId7"/>
      <w:pgSz w:w="11906" w:h="16838" w:orient="portrait"/>
      <w:pgMar w:top="1134" w:right="1418" w:bottom="1134" w:left="1418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line="252" w:lineRule="auto"/>
    </w:pPr>
    <w:r>
      <w:rPr>
        <w:color w:val="6B7080"/>
        <w:sz w:val="15"/>
        <w:szCs w:val="15"/>
      </w:rPr>
      <w:t xml:space="preserve">Rechenbeispiele beruhen auf Annahmen, nicht auf KfW-Werten. Quellen: KfW und KfW IPEX-Bank (Finanzbericht und Geschäftszahlen 2025), EZB-Aufsichtsprioritäten 2026–2028, EBA-Leitlinien zu Drittparteienrisiken (09/2026), DORA.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300"/>
      </w:pPr>
      <w:rPr>
        <w:color w:val="050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233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e6bee60e59fa09dd2f29a258d93099b13abf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Briefing: KI-Piloten für die KfW</dc:title>
  <dc:creator>Un-named</dc:creator>
  <cp:lastModifiedBy>Un-named</cp:lastModifiedBy>
  <cp:revision>1</cp:revision>
  <dcterms:created xsi:type="dcterms:W3CDTF">2026-10-26T21:53:27.613Z</dcterms:created>
  <dcterms:modified xsi:type="dcterms:W3CDTF">2026-10-26T21:53:27.613Z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