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428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6B7080"/>
          <w:sz w:val="19"/>
          <w:szCs w:val="19"/>
        </w:rPr>
        <w:t xml:space="preserve">KfW Bankengruppe  ·  27. Oktober 2026</w:t>
      </w:r>
    </w:p>
    <w:p>
      <w:pPr>
        <w:pBdr>
          <w:bottom w:val="single" w:color="050A30" w:sz="8"/>
        </w:pBdr>
        <w:spacing w:after="240" w:line="252" w:lineRule="auto"/>
      </w:pPr>
      <w:r>
        <w:rPr>
          <w:rFonts w:ascii="Cambria" w:cs="Cambria" w:eastAsia="Cambria" w:hAnsi="Cambria"/>
          <w:color w:val="050A30"/>
          <w:sz w:val="46"/>
          <w:szCs w:val="46"/>
        </w:rPr>
        <w:t xml:space="preserve">KI bei der KfW: Acht Anwendungsfälle für Effizienz, Resilienz und Wachstum</w:t>
      </w:r>
    </w:p>
    <w:p>
      <w:pPr>
        <w:spacing w:after="100" w:before="0" w:line="288" w:lineRule="auto"/>
      </w:pPr>
      <w:r>
        <w:rPr>
          <w:sz w:val="21"/>
          <w:szCs w:val="21"/>
        </w:rPr>
        <w:t xml:space="preserve">Die Anforderungen an Prüfung, Dokumentation und Absicherung nehmen zu: </w:t>
      </w:r>
      <w:r>
        <w:rPr>
          <w:b/>
          <w:bCs/>
          <w:color w:val="050A30"/>
          <w:sz w:val="21"/>
          <w:szCs w:val="21"/>
        </w:rPr>
        <w:t xml:space="preserve">DORA</w:t>
      </w:r>
      <w:r>
        <w:rPr>
          <w:sz w:val="21"/>
          <w:szCs w:val="21"/>
        </w:rPr>
        <w:t xml:space="preserve"> seit Januar 2025, neue </w:t>
      </w:r>
      <w:r>
        <w:rPr>
          <w:b/>
          <w:bCs/>
          <w:color w:val="050A30"/>
          <w:sz w:val="21"/>
          <w:szCs w:val="21"/>
        </w:rPr>
        <w:t xml:space="preserve">EBA-Leitlinien</w:t>
      </w:r>
      <w:r>
        <w:rPr>
          <w:sz w:val="21"/>
          <w:szCs w:val="21"/>
        </w:rPr>
        <w:t xml:space="preserve"> zu Drittparteienrisiken (September 2026), </w:t>
      </w:r>
      <w:r>
        <w:rPr>
          <w:b/>
          <w:bCs/>
          <w:color w:val="050A30"/>
          <w:sz w:val="21"/>
          <w:szCs w:val="21"/>
        </w:rPr>
        <w:t xml:space="preserve">Cyberresilienz und IT-Kontrollen</w:t>
      </w:r>
      <w:r>
        <w:rPr>
          <w:sz w:val="21"/>
          <w:szCs w:val="21"/>
        </w:rPr>
        <w:t xml:space="preserve"> als Aufsichtsschwerpunkt der EZB </w:t>
      </w:r>
      <w:r>
        <w:rPr>
          <w:b/>
          <w:bCs/>
          <w:color w:val="050A30"/>
          <w:sz w:val="21"/>
          <w:szCs w:val="21"/>
        </w:rPr>
        <w:t xml:space="preserve">2026–2028</w:t>
      </w:r>
      <w:r>
        <w:rPr>
          <w:sz w:val="21"/>
          <w:szCs w:val="21"/>
        </w:rPr>
        <w:t xml:space="preserve">. Im Finanzierungsgeschäft der KfW IPEX-Bank (</w:t>
      </w:r>
      <w:r>
        <w:rPr>
          <w:b/>
          <w:bCs/>
          <w:color w:val="050A30"/>
          <w:sz w:val="21"/>
          <w:szCs w:val="21"/>
        </w:rPr>
        <w:t xml:space="preserve">24,2 Mrd. € Neuzusagen 2025</w:t>
      </w:r>
      <w:r>
        <w:rPr>
          <w:sz w:val="21"/>
          <w:szCs w:val="21"/>
        </w:rPr>
        <w:t xml:space="preserve">) entscheidet zugleich die Qualität und Geschwindigkeit der Strukturierung über Mandate. Die Fachkapazität in Revision, Compliance, IT-Sicherheit und Front Office wächst nicht im gleichen Maß.</w:t>
      </w:r>
    </w:p>
    <w:p>
      <w:pPr>
        <w:spacing w:after="240" w:before="0" w:line="288" w:lineRule="auto"/>
      </w:pPr>
      <w:r>
        <w:rPr>
          <w:sz w:val="21"/>
          <w:szCs w:val="21"/>
        </w:rPr>
        <w:t xml:space="preserve">Die KfW verfügt über etablierte Prozesse und erste KI-Anwendungen. Der nächste Schritt sind Systeme, die </w:t>
      </w:r>
      <w:r>
        <w:rPr>
          <w:b/>
          <w:bCs/>
          <w:color w:val="050A30"/>
          <w:sz w:val="21"/>
          <w:szCs w:val="21"/>
        </w:rPr>
        <w:t xml:space="preserve">Quellen verknüpfen</w:t>
      </w:r>
      <w:r>
        <w:rPr>
          <w:sz w:val="21"/>
          <w:szCs w:val="21"/>
        </w:rPr>
        <w:t xml:space="preserve">, Abweichungen und Risiken </w:t>
      </w:r>
      <w:r>
        <w:rPr>
          <w:b/>
          <w:bCs/>
          <w:color w:val="050A30"/>
          <w:sz w:val="21"/>
          <w:szCs w:val="21"/>
        </w:rPr>
        <w:t xml:space="preserve">früher sichtbar machen</w:t>
      </w:r>
      <w:r>
        <w:rPr>
          <w:sz w:val="21"/>
          <w:szCs w:val="21"/>
        </w:rPr>
        <w:t xml:space="preserve">, Entscheidungen vorbereiten und </w:t>
      </w:r>
      <w:r>
        <w:rPr>
          <w:b/>
          <w:bCs/>
          <w:color w:val="050A30"/>
          <w:sz w:val="21"/>
          <w:szCs w:val="21"/>
        </w:rPr>
        <w:t xml:space="preserve">jede Aussage mit einem Nachweis</w:t>
      </w:r>
      <w:r>
        <w:rPr>
          <w:sz w:val="21"/>
          <w:szCs w:val="21"/>
        </w:rPr>
        <w:t xml:space="preserve"> versehen. Acht Anwendungsfälle entlang bestehender KfW-Prozesse, geordnet nach drei Wirkungen: </w:t>
      </w:r>
      <w:r>
        <w:rPr>
          <w:b/>
          <w:bCs/>
          <w:color w:val="050A30"/>
          <w:sz w:val="21"/>
          <w:szCs w:val="21"/>
        </w:rPr>
        <w:t xml:space="preserve">Effizienz</w:t>
      </w:r>
      <w:r>
        <w:rPr>
          <w:sz w:val="21"/>
          <w:szCs w:val="21"/>
        </w:rPr>
        <w:t xml:space="preserve"> in Prüfung und Umsetzung, </w:t>
      </w:r>
      <w:r>
        <w:rPr>
          <w:b/>
          <w:bCs/>
          <w:color w:val="050A30"/>
          <w:sz w:val="21"/>
          <w:szCs w:val="21"/>
        </w:rPr>
        <w:t xml:space="preserve">Resilienz</w:t>
      </w:r>
      <w:r>
        <w:rPr>
          <w:sz w:val="21"/>
          <w:szCs w:val="21"/>
        </w:rPr>
        <w:t xml:space="preserve"> gegenüber Risiken, </w:t>
      </w:r>
      <w:r>
        <w:rPr>
          <w:b/>
          <w:bCs/>
          <w:color w:val="050A30"/>
          <w:sz w:val="21"/>
          <w:szCs w:val="21"/>
        </w:rPr>
        <w:t xml:space="preserve">Wachstum</w:t>
      </w:r>
      <w:r>
        <w:rPr>
          <w:sz w:val="21"/>
          <w:szCs w:val="21"/>
        </w:rPr>
        <w:t xml:space="preserve"> im Finanzierungsgeschäft.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Mar>
              <w:top w:type="dxa" w:w="0"/>
              <w:left w:type="dxa" w:w="0"/>
              <w:bottom w:type="dxa" w:w="120"/>
              <w:right w:type="dxa" w:w="300"/>
            </w:tcMar>
          </w:tcPr>
          <w:p>
            <w:pPr>
              <w:pBdr>
                <w:bottom w:val="single" w:color="050A30" w:sz="8"/>
              </w:pBdr>
              <w:spacing w:after="120"/>
            </w:pPr>
            <w:r>
              <w:rPr>
                <w:rFonts w:ascii="Cambria" w:cs="Cambria" w:eastAsia="Cambria" w:hAnsi="Cambria"/>
                <w:color w:val="050A30"/>
                <w:sz w:val="28"/>
                <w:szCs w:val="28"/>
              </w:rPr>
              <w:t xml:space="preserve">Effizienz</w:t>
            </w:r>
          </w:p>
          <w:p>
            <w:pPr>
              <w:spacing w:after="90" w:line="264" w:lineRule="auto"/>
            </w:pPr>
            <w:r>
              <w:rPr>
                <w:color w:val="050A30"/>
                <w:sz w:val="19"/>
                <w:szCs w:val="19"/>
              </w:rPr>
              <w:t xml:space="preserve">01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Regulatorische Betroffenheitsanalyse</w:t>
            </w:r>
            <w:r>
              <w:rPr>
                <w:sz w:val="20"/>
                <w:szCs w:val="20"/>
              </w:rPr>
              <w:t xml:space="preserve">  Neue Anforderungen mit dem internen Regelwerk (SFO) abgleichen, betroffene Dokumente benennen.</w:t>
            </w:r>
          </w:p>
          <w:p>
            <w:pPr>
              <w:spacing w:after="90" w:line="264" w:lineRule="auto"/>
            </w:pPr>
            <w:r>
              <w:rPr>
                <w:color w:val="050A30"/>
                <w:sz w:val="19"/>
                <w:szCs w:val="19"/>
              </w:rPr>
              <w:t xml:space="preserve">02 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Revisionsberichte mit Nachweis</w:t>
            </w:r>
            <w:r>
              <w:rPr>
                <w:sz w:val="20"/>
                <w:szCs w:val="20"/>
              </w:rPr>
              <w:t xml:space="preserve">  Feststellungen und Berichte aus Prüfungsunterlagen entwerfen, mit Nachweis je Aussage.</w:t>
            </w:r>
          </w:p>
        </w:tc>
        <w:tc>
          <w:tcPr>
            <w:tcW w:type="dxa" w:w="4856"/>
            <w:tcMar>
              <w:top w:type="dxa" w:w="0"/>
              <w:left w:type="dxa" w:w="300"/>
              <w:bottom w:type="dxa" w:w="120"/>
              <w:right w:type="dxa" w:w="300"/>
            </w:tcMar>
          </w:tcPr>
          <w:p>
            <w:pPr>
              <w:pBdr>
                <w:bottom w:val="single" w:color="1F6F78" w:sz="8"/>
              </w:pBdr>
              <w:spacing w:after="120"/>
            </w:pPr>
            <w:r>
              <w:rPr>
                <w:rFonts w:ascii="Cambria" w:cs="Cambria" w:eastAsia="Cambria" w:hAnsi="Cambria"/>
                <w:color w:val="1F6F78"/>
                <w:sz w:val="28"/>
                <w:szCs w:val="28"/>
              </w:rPr>
              <w:t xml:space="preserve">Resilienz</w:t>
            </w:r>
          </w:p>
          <w:p>
            <w:pPr>
              <w:spacing w:after="90" w:line="264" w:lineRule="auto"/>
            </w:pPr>
            <w:r>
              <w:rPr>
                <w:color w:val="1F6F78"/>
                <w:sz w:val="19"/>
                <w:szCs w:val="19"/>
              </w:rPr>
              <w:t xml:space="preserve">03  </w:t>
            </w:r>
            <w:r>
              <w:rPr>
                <w:b/>
                <w:bCs/>
                <w:color w:val="1F6F78"/>
                <w:sz w:val="22"/>
                <w:szCs w:val="22"/>
              </w:rPr>
              <w:t xml:space="preserve">Schwachstellen &amp; Sicherheitstests</w:t>
            </w:r>
            <w:r>
              <w:rPr>
                <w:sz w:val="20"/>
                <w:szCs w:val="20"/>
              </w:rPr>
              <w:t xml:space="preserve">  Veraltete und angreifbare Komponenten je Anwendung laufend erfassen, gezielt warten und testen.</w:t>
            </w:r>
          </w:p>
          <w:p>
            <w:pPr>
              <w:spacing w:after="90" w:line="264" w:lineRule="auto"/>
            </w:pPr>
            <w:r>
              <w:rPr>
                <w:color w:val="1F6F78"/>
                <w:sz w:val="19"/>
                <w:szCs w:val="19"/>
              </w:rPr>
              <w:t xml:space="preserve">04  </w:t>
            </w:r>
            <w:r>
              <w:rPr>
                <w:b/>
                <w:bCs/>
                <w:color w:val="1F6F78"/>
                <w:sz w:val="22"/>
                <w:szCs w:val="22"/>
              </w:rPr>
              <w:t xml:space="preserve">Abhängigkeiten von Dienstleistern</w:t>
            </w:r>
            <w:r>
              <w:rPr>
                <w:sz w:val="20"/>
                <w:szCs w:val="20"/>
              </w:rPr>
              <w:t xml:space="preserve">  Dienstleister, Subdienstleister und Systeme in einem Modell zusammenführen.</w:t>
            </w:r>
          </w:p>
          <w:p>
            <w:pPr>
              <w:spacing w:after="90" w:line="264" w:lineRule="auto"/>
            </w:pPr>
            <w:r>
              <w:rPr>
                <w:color w:val="1F6F78"/>
                <w:sz w:val="19"/>
                <w:szCs w:val="19"/>
              </w:rPr>
              <w:t xml:space="preserve">05  </w:t>
            </w:r>
            <w:r>
              <w:rPr>
                <w:b/>
                <w:bCs/>
                <w:color w:val="1F6F78"/>
                <w:sz w:val="22"/>
                <w:szCs w:val="22"/>
              </w:rPr>
              <w:t xml:space="preserve">Laufende Kontrollüberwachung</w:t>
            </w:r>
            <w:r>
              <w:rPr>
                <w:sz w:val="20"/>
                <w:szCs w:val="20"/>
              </w:rPr>
              <w:t xml:space="preserve">  Kontrollabweichungen laufend aus Prozessdaten erkennen.</w:t>
            </w:r>
          </w:p>
          <w:p>
            <w:pPr>
              <w:spacing w:after="90" w:line="264" w:lineRule="auto"/>
            </w:pPr>
            <w:r>
              <w:rPr>
                <w:color w:val="1F6F78"/>
                <w:sz w:val="19"/>
                <w:szCs w:val="19"/>
              </w:rPr>
              <w:t xml:space="preserve">06  </w:t>
            </w:r>
            <w:r>
              <w:rPr>
                <w:b/>
                <w:bCs/>
                <w:color w:val="1F6F78"/>
                <w:sz w:val="22"/>
                <w:szCs w:val="22"/>
              </w:rPr>
              <w:t xml:space="preserve">Frühwarnung in der Projektfinanzierung</w:t>
            </w:r>
            <w:r>
              <w:rPr>
                <w:sz w:val="20"/>
                <w:szCs w:val="20"/>
              </w:rPr>
              <w:t xml:space="preserve">  Verteilte Risikosignale je Finanzierung zusammenführen.</w:t>
            </w:r>
          </w:p>
        </w:tc>
        <w:tc>
          <w:tcPr>
            <w:tcW w:type="dxa" w:w="4858"/>
            <w:tcMar>
              <w:top w:type="dxa" w:w="0"/>
              <w:left w:type="dxa" w:w="300"/>
              <w:bottom w:type="dxa" w:w="120"/>
              <w:right w:type="dxa" w:w="0"/>
            </w:tcMar>
          </w:tcPr>
          <w:p>
            <w:pPr>
              <w:pBdr>
                <w:bottom w:val="single" w:color="8A6D3B" w:sz="8"/>
              </w:pBdr>
              <w:spacing w:after="120"/>
            </w:pPr>
            <w:r>
              <w:rPr>
                <w:rFonts w:ascii="Cambria" w:cs="Cambria" w:eastAsia="Cambria" w:hAnsi="Cambria"/>
                <w:color w:val="8A6D3B"/>
                <w:sz w:val="28"/>
                <w:szCs w:val="28"/>
              </w:rPr>
              <w:t xml:space="preserve">Wachstum</w:t>
            </w:r>
          </w:p>
          <w:p>
            <w:pPr>
              <w:spacing w:after="90" w:line="264" w:lineRule="auto"/>
            </w:pPr>
            <w:r>
              <w:rPr>
                <w:color w:val="8A6D3B"/>
                <w:sz w:val="19"/>
                <w:szCs w:val="19"/>
              </w:rPr>
              <w:t xml:space="preserve">07  </w:t>
            </w:r>
            <w:r>
              <w:rPr>
                <w:b/>
                <w:bCs/>
                <w:color w:val="8A6D3B"/>
                <w:sz w:val="22"/>
                <w:szCs w:val="22"/>
              </w:rPr>
              <w:t xml:space="preserve">Strukturierung von Exportfinanzierungen</w:t>
            </w:r>
            <w:r>
              <w:rPr>
                <w:sz w:val="20"/>
                <w:szCs w:val="20"/>
              </w:rPr>
              <w:t xml:space="preserve">  Alternative ECA-Deckungsstrukturen je Anfrage systematisch prüfen.</w:t>
            </w:r>
          </w:p>
          <w:p>
            <w:pPr>
              <w:spacing w:after="90" w:line="264" w:lineRule="auto"/>
            </w:pPr>
            <w:r>
              <w:rPr>
                <w:color w:val="8A6D3B"/>
                <w:sz w:val="19"/>
                <w:szCs w:val="19"/>
              </w:rPr>
              <w:t xml:space="preserve">08  </w:t>
            </w:r>
            <w:r>
              <w:rPr>
                <w:b/>
                <w:bCs/>
                <w:color w:val="8A6D3B"/>
                <w:sz w:val="22"/>
                <w:szCs w:val="22"/>
              </w:rPr>
              <w:t xml:space="preserve">Syndizierung &amp; Kapitaleinsatz</w:t>
            </w:r>
            <w:r>
              <w:rPr>
                <w:sz w:val="20"/>
                <w:szCs w:val="20"/>
              </w:rPr>
              <w:t xml:space="preserve">  Konsortialpartner und Strukturen aus historischen Transaktionen ableiten.</w:t>
            </w:r>
          </w:p>
        </w:tc>
      </w:tr>
    </w:tbl>
    <w:p>
      <w:pPr>
        <w:keepNext/>
        <w:pageBreakBefore/>
        <w:spacing w:after="40"/>
      </w:pPr>
      <w:r>
        <w:rPr>
          <w:b/>
          <w:bCs/>
          <w:color w:val="050A30"/>
          <w:spacing w:val="20"/>
          <w:sz w:val="19"/>
          <w:szCs w:val="19"/>
        </w:rPr>
        <w:t xml:space="preserve">EFFIZIENZ   </w:t>
      </w:r>
      <w:r>
        <w:rPr>
          <w:color w:val="6B7080"/>
          <w:sz w:val="19"/>
          <w:szCs w:val="19"/>
        </w:rPr>
        <w:t xml:space="preserve">Anwendungsfall 1  ·  Compliance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Regulatorische Betroffenheitsanalyse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Neue regulatorische Anforderungen systematisch auf das interne Regelwerk abbilden.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bewertet laufend neue Vorgaben von EU, EBA, EZB und BaFin: Anwendbarkeit je Konzerngesellschaft, Zeitpunkt, Umsetzungsbedarf.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interne Regelwerk ist die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schriftlich fixierte Ordnung (SFO)</w:t>
            </w:r>
            <w:r>
              <w:rPr>
                <w:sz w:val="22"/>
                <w:szCs w:val="22"/>
              </w:rPr>
              <w:t xml:space="preserve">: die Gesamtheit der verbindlichen Richtlinien, Arbeitsanweisungen und Prozessbeschreibungen, konzernweit und je Geschäftsfeld. Jede neue Anforderung muss dort umgesetzt werden.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Aufwand liegt nicht im Auffinden der Veröffentlichung, sondern im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Abgleich</w:t>
            </w:r>
            <w:r>
              <w:rPr>
                <w:sz w:val="22"/>
                <w:szCs w:val="22"/>
              </w:rPr>
              <w:t xml:space="preserve">: Eine Änderung kann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viele SFO-Dokumente</w:t>
            </w:r>
            <w:r>
              <w:rPr>
                <w:sz w:val="22"/>
                <w:szCs w:val="22"/>
              </w:rPr>
              <w:t xml:space="preserve"> betreffen, die einzeln geprüft werden müssen.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Betroffenheitsanalyse muss für Revision und Aufsicht nachvollziehbar dokumentiert sein. Das bindet erfahrene Fachleute über Wochen.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erfasst Veröffentlichungen laufend und ordnet ihren Status ein: Konsultation, final, anwendbar ab.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gleicht die Anforderungen mit der SFO ab,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markiert betroffene Passagen</w:t>
            </w:r>
            <w:r>
              <w:rPr>
                <w:sz w:val="22"/>
                <w:szCs w:val="22"/>
              </w:rPr>
              <w:t xml:space="preserve"> und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schlägt Änderungstexte vor</w:t>
            </w:r>
            <w:r>
              <w:rPr>
                <w:sz w:val="22"/>
                <w:szCs w:val="22"/>
              </w:rPr>
              <w:t xml:space="preserve">. Jede Stelle trägt den Verweis auf die Quelle.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fachliche Bewertung und Freigabe bleibt bei Compliance.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050A30" w:sz="1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Kürzere Durchlaufzeit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der Veröffentlichung bis zur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dokumentierten Betroffenheitsanalyse</w:t>
            </w:r>
          </w:p>
        </w:tc>
        <w:tc>
          <w:tcPr>
            <w:tcW w:type="dxa" w:w="4856"/>
            <w:tcBorders>
              <w:top w:val="single" w:color="050A30" w:sz="1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Vollständiger Abgleich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alle betroffenen SFO-Dokumente mit Quellenverweis</w:t>
            </w:r>
          </w:p>
        </w:tc>
        <w:tc>
          <w:tcPr>
            <w:tcW w:type="dxa" w:w="4858"/>
            <w:tcBorders>
              <w:top w:val="single" w:color="050A30" w:sz="1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Geringerer Abstimmungsaufwand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Fachbereiche prüfen konkrete Vorschläge statt Rohtexte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Quellen: KfW (Schriftlich fixierte Ordnung); EBA-Leitlinien zum Drittparteienrisikomanagement, finalisiert am 18.09.2026, noch nicht anwendbar. Das System muss diesen Status korrekt erkennen.</w:t>
      </w:r>
    </w:p>
    <w:p>
      <w:pPr>
        <w:keepNext/>
        <w:pageBreakBefore/>
        <w:spacing w:after="40"/>
      </w:pPr>
      <w:r>
        <w:rPr>
          <w:b/>
          <w:bCs/>
          <w:color w:val="050A30"/>
          <w:spacing w:val="20"/>
          <w:sz w:val="19"/>
          <w:szCs w:val="19"/>
        </w:rPr>
        <w:t xml:space="preserve">EFFIZIENZ   </w:t>
      </w:r>
      <w:r>
        <w:rPr>
          <w:color w:val="6B7080"/>
          <w:sz w:val="19"/>
          <w:szCs w:val="19"/>
        </w:rPr>
        <w:t xml:space="preserve">Anwendungsfall 2  ·  Konzernrevision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Revisionsberichte mit Nachweis</w:t>
      </w:r>
    </w:p>
    <w:p>
      <w:pPr>
        <w:pBdr>
          <w:bottom w:val="single" w:color="050A30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Prüfungsfeststellungen und Berichte aus den Prüfungsunterlagen entwerfen, mit Nachweis für jede Aussage.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Konzernrevision arbeitet mit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rund 100 Beschäftigten</w:t>
            </w:r>
            <w:r>
              <w:rPr>
                <w:sz w:val="22"/>
                <w:szCs w:val="22"/>
              </w:rPr>
              <w:t xml:space="preserve"> in vier Abteilungen und führt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etwa 60 Prüfungen im Jahr</w:t>
            </w:r>
            <w:r>
              <w:rPr>
                <w:sz w:val="22"/>
                <w:szCs w:val="22"/>
              </w:rPr>
              <w:t xml:space="preserve"> durch.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Jeder Bericht muss belastbar, nachvollziehbar und für Vorstand und Aufsicht adressatengerecht sein.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Nach den Prüfungshandlungen folgt die Dokumentation: Interviewprotokolle strukturieren, Nachweise zuordnen, Feststellungen formulieren, Abstimmungsschleifen.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angenommenen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60 Stunden je Bericht</w:t>
            </w:r>
            <w:r>
              <w:rPr>
                <w:sz w:val="22"/>
                <w:szCs w:val="22"/>
              </w:rPr>
              <w:t xml:space="preserve"> sind das rund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3.600 Stunden im Jahr</w:t>
            </w:r>
            <w:r>
              <w:rPr>
                <w:sz w:val="22"/>
                <w:szCs w:val="22"/>
              </w:rPr>
              <w:t xml:space="preserve">, die nicht für Risikobewertung und fachliche Vertiefung zur Verfügung stehen.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verknüpft Prüfprogramm, einschlägige Richtlinien, Nachweise, Protokolle und Testergebnisse.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Daraus entstehen Entwürfe für Feststellungen und Bericht.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Jede Aussage verweist auf ihren Nachweis</w:t>
            </w:r>
            <w:r>
              <w:rPr>
                <w:sz w:val="22"/>
                <w:szCs w:val="22"/>
              </w:rPr>
              <w:t xml:space="preserve">; unbelegte Aussagen und Widersprüche werden gekennzeichnet.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Bewertung, Formulierung der Schlussfolgerungen und Freigabe bleiben bei den Revisorinnen und Revisoren.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050A30" w:sz="1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3.600 Stunden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pro Jahr weniger Dokumentationsaufwand, entspricht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rund 360.000 €</w:t>
            </w:r>
            <w:r>
              <w:rPr>
                <w:color w:val="6B7080"/>
                <w:sz w:val="20"/>
                <w:szCs w:val="20"/>
              </w:rPr>
              <w:t xml:space="preserve"> (Annahme)</w:t>
            </w:r>
          </w:p>
        </w:tc>
        <w:tc>
          <w:tcPr>
            <w:tcW w:type="dxa" w:w="4856"/>
            <w:tcBorders>
              <w:top w:val="single" w:color="050A30" w:sz="1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Einheitliche Berichte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gleiche Struktur und Nachweistiefe über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alle 60 Prüfungen</w:t>
            </w:r>
          </w:p>
        </w:tc>
        <w:tc>
          <w:tcPr>
            <w:tcW w:type="dxa" w:w="4858"/>
            <w:tcBorders>
              <w:top w:val="single" w:color="050A30" w:sz="1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050A30"/>
                <w:sz w:val="34"/>
                <w:szCs w:val="34"/>
              </w:rPr>
              <w:t xml:space="preserve">Mehr Prüfungskapazität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frei werdende Zeit für risikoorientierte Prüfungen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Quelle: KfW, Darstellung der Konzernrevision. Rechnung: 60 Prüfungen × 60 Stunden = 3.600 Stunden; bei 100 € Vollkosten je Stunde rund 360.000 € pro Jahr, vor Implementierungs- und Betriebskosten. Stunden und Stundensatz sind Annahmen.</w:t>
      </w:r>
    </w:p>
    <w:p>
      <w:pPr>
        <w:keepNext/>
        <w:pageBreakBefore/>
        <w:spacing w:after="40"/>
      </w:pPr>
      <w:r>
        <w:rPr>
          <w:b/>
          <w:bCs/>
          <w:color w:val="1F6F78"/>
          <w:spacing w:val="20"/>
          <w:sz w:val="19"/>
          <w:szCs w:val="19"/>
        </w:rPr>
        <w:t xml:space="preserve">RESILIENZ   </w:t>
      </w:r>
      <w:r>
        <w:rPr>
          <w:color w:val="6B7080"/>
          <w:sz w:val="19"/>
          <w:szCs w:val="19"/>
        </w:rPr>
        <w:t xml:space="preserve">Anwendungsfall 3  ·  CISO / IT-Sicherheit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Schwachstellen &amp; Sicherheitstests</w:t>
      </w:r>
    </w:p>
    <w:p>
      <w:pPr>
        <w:pBdr>
          <w:bottom w:val="single" w:color="1F6F78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Veraltete Software ist eines der größten Sicherheitsrisiken im Bestand. Laufend wissen, wo sie liegt, und dort warten und testen.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Finanzbericht 2025</w:t>
            </w:r>
            <w:r>
              <w:rPr>
                <w:sz w:val="22"/>
                <w:szCs w:val="22"/>
              </w:rPr>
              <w:t xml:space="preserve"> nennt Cyberangriffe und fehlerhafte Systemänderungen als zentrale IKT-Risiken. Die EZB führt Cyberresilienz und Penetrationstests als Aufsichtsschwerpunkt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2026–2028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Anwendungslandschaft umfasst Eigenentwicklungen, Systeme mehrerer Generationen und externe Bibliotheken.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Eine Anwendung kann stabil laufen und dennoch Komponenten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ohne Herstellersupport</w:t>
            </w:r>
            <w:r>
              <w:rPr>
                <w:sz w:val="22"/>
                <w:szCs w:val="22"/>
              </w:rPr>
              <w:t xml:space="preserve"> oder mit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aktiv ausgenutzten Schwachstellen</w:t>
            </w:r>
            <w:r>
              <w:rPr>
                <w:sz w:val="22"/>
                <w:szCs w:val="22"/>
              </w:rPr>
              <w:t xml:space="preserve"> enthalten.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Veraltete, ungewartete Komponenten</w:t>
            </w:r>
            <w:r>
              <w:rPr>
                <w:sz w:val="22"/>
                <w:szCs w:val="22"/>
              </w:rPr>
              <w:t xml:space="preserve"> zählen zu den häufigsten Einfallstoren (OWASP Top 10, A06).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Penetrationstests liefern ein Bild zu einem Zeitpunkt. Eine laufende Sicht auf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Alter, Wartungsstand und Erreichbarkeit</w:t>
            </w:r>
            <w:r>
              <w:rPr>
                <w:sz w:val="22"/>
                <w:szCs w:val="22"/>
              </w:rPr>
              <w:t xml:space="preserve"> je Anwendung fehlt häufig; Wartungsrückstände bleiben unsichtbar.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b/>
                <w:bCs/>
                <w:color w:val="050A30"/>
                <w:sz w:val="22"/>
                <w:szCs w:val="22"/>
              </w:rPr>
              <w:t xml:space="preserve">Komponenteninventar (SBOM)</w:t>
            </w:r>
            <w:r>
              <w:rPr>
                <w:sz w:val="22"/>
                <w:szCs w:val="22"/>
              </w:rPr>
              <w:t xml:space="preserve"> je Anwendung; Abgleich mit Schwachstellendaten, Supportstatus und dem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CISA-Katalog</w:t>
            </w:r>
            <w:r>
              <w:rPr>
                <w:sz w:val="22"/>
                <w:szCs w:val="22"/>
              </w:rPr>
              <w:t xml:space="preserve"> aktiv ausgenutzter Schwachstellen.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Priorisierung nach Erreichbarkeit und Schutzbedarf. Automatisierte Tests in isolierten Umgebungen; Nachtest nach jeder Behebung.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Ergänzend ein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Bericht zu Software- und Code-Alter</w:t>
            </w:r>
            <w:r>
              <w:rPr>
                <w:sz w:val="22"/>
                <w:szCs w:val="22"/>
              </w:rPr>
              <w:t xml:space="preserve"> je Anwendung als Grundlage für Wartung und Ablösung.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Transparenz</w:t>
            </w:r>
          </w:p>
          <w:p>
            <w:pPr>
              <w:spacing w:after="0" w:line="276" w:lineRule="auto"/>
            </w:pPr>
            <w:r>
              <w:rPr>
                <w:b/>
                <w:bCs/>
                <w:color w:val="050A30"/>
                <w:sz w:val="20"/>
                <w:szCs w:val="20"/>
              </w:rPr>
              <w:t xml:space="preserve">Software-Alter</w:t>
            </w:r>
            <w:r>
              <w:rPr>
                <w:color w:val="6B7080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End-of-Life-Quote</w:t>
            </w:r>
            <w:r>
              <w:rPr>
                <w:color w:val="6B7080"/>
                <w:sz w:val="20"/>
                <w:szCs w:val="20"/>
              </w:rPr>
              <w:t xml:space="preserve"> und erreichbare kritische Schwachstellen je Anwendung</w:t>
            </w:r>
          </w:p>
        </w:tc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Kürzere Behebungszeit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der Erkennung bis zur verifizierten Behebung</w:t>
            </w:r>
          </w:p>
        </w:tc>
        <w:tc>
          <w:tcPr>
            <w:tcW w:type="dxa" w:w="4858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Gezielter Aufwand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Wartung und Tests dort, wo Risiko und Exposition hoch sind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Quellen: KfW-Finanzbericht 2025; EZB-Aufsichtsprioritäten 2026–2028; OWASP Top 10:2021 (A06); CISA Known Exploited Vulnerabilities Catalog. Ergänzt manuelle Penetrationstests und bedrohungsorientierte Tests (TLPT) nach DORA, ersetzt sie nicht.</w:t>
      </w:r>
    </w:p>
    <w:p>
      <w:pPr>
        <w:keepNext/>
        <w:pageBreakBefore/>
        <w:spacing w:after="40"/>
      </w:pPr>
      <w:r>
        <w:rPr>
          <w:b/>
          <w:bCs/>
          <w:color w:val="1F6F78"/>
          <w:spacing w:val="20"/>
          <w:sz w:val="19"/>
          <w:szCs w:val="19"/>
        </w:rPr>
        <w:t xml:space="preserve">RESILIENZ   </w:t>
      </w:r>
      <w:r>
        <w:rPr>
          <w:color w:val="6B7080"/>
          <w:sz w:val="19"/>
          <w:szCs w:val="19"/>
        </w:rPr>
        <w:t xml:space="preserve">Anwendungsfall 4  ·  IT-Risiko / Auslagerung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Abhängigkeiten von Dienstleistern</w:t>
      </w:r>
    </w:p>
    <w:p>
      <w:pPr>
        <w:pBdr>
          <w:bottom w:val="single" w:color="1F6F78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Abhängigkeiten von Dienstleistern, Subdienstleistern und Systemen in einem Modell zusammenführen.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Kritische Geschäftsprozesse hängen von Cloud-Providern, Softwareherstellern, Rechenzentrumsdiensten und deren Subdienstleistern ab.</w:t>
            </w:r>
          </w:p>
          <w:p>
            <w:pPr>
              <w:spacing w:after="120" w:before="0" w:line="288" w:lineRule="auto"/>
            </w:pPr>
            <w:r>
              <w:rPr>
                <w:b/>
                <w:bCs/>
                <w:color w:val="050A30"/>
                <w:sz w:val="22"/>
                <w:szCs w:val="22"/>
              </w:rPr>
              <w:t xml:space="preserve">DORA</w:t>
            </w:r>
            <w:r>
              <w:rPr>
                <w:sz w:val="22"/>
                <w:szCs w:val="22"/>
              </w:rPr>
              <w:t xml:space="preserve"> verlangt ein strukturiertes Management dieser Abhängigkeiten. Die EBA hat im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September 2026</w:t>
            </w:r>
            <w:r>
              <w:rPr>
                <w:sz w:val="22"/>
                <w:szCs w:val="22"/>
              </w:rPr>
              <w:t xml:space="preserve"> Leitlinien auch für Drittparteien außerhalb des IKT-Bereichs finalisiert.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Hinter einer Anwendung stehen oft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mehrere Anbieter und Subunternehmer</w:t>
            </w:r>
            <w:r>
              <w:rPr>
                <w:sz w:val="22"/>
                <w:szCs w:val="22"/>
              </w:rPr>
              <w:t xml:space="preserve">. Die Informationen dazu liegen verteilt in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vier Bereichen</w:t>
            </w:r>
            <w:r>
              <w:rPr>
                <w:sz w:val="22"/>
                <w:szCs w:val="22"/>
              </w:rPr>
              <w:t xml:space="preserve">: Vertragsmanagement, IT-Architektur, Prozessdokumentation und Risikomanagement.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einem Dienstleistervorfall muss die Betroffenheit aus diesen Quellen erst zusammengetragen werden.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Abhängigkeitsmodell</w:t>
            </w:r>
            <w:r>
              <w:rPr>
                <w:sz w:val="22"/>
                <w:szCs w:val="22"/>
              </w:rPr>
              <w:t xml:space="preserve"> verknüpft Verträge, Dienstleister, Subdienstleisterketten, Systeme und Geschäftsprozesse.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zeigt je Dienstleister die abhängigen Funktionen, bestehende vertragliche Absicherungen, dokumentierte Exit- und Wiederanlaufpläne und fehlende Nachweise.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Konzentrationsrisiken werden aus den vorhandenen Daten sichtbar.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Schnellere Betroffenheitsanalyse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bei Störungen oder Sicherheitsmeldungen eines Dienstleisters</w:t>
            </w:r>
          </w:p>
        </w:tc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Vollständige Erfassung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kritischer Abhängigkeiten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einschließlich Subdienstleister</w:t>
            </w:r>
          </w:p>
        </w:tc>
        <w:tc>
          <w:tcPr>
            <w:tcW w:type="dxa" w:w="4858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Prüfbare Nachweise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Exit-Pläne und Absicherungen direkt am Geschäftsprozess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Quellen: Verordnung (EU) 2022/2554 (DORA), anwendbar seit 17.01.2025; EBA-Leitlinien zum Drittparteienrisikomanagement, finalisiert am 18.09.2026; EZB-Aufsichtsprioritäten 2026–2028.</w:t>
      </w:r>
    </w:p>
    <w:p>
      <w:pPr>
        <w:keepNext/>
        <w:pageBreakBefore/>
        <w:spacing w:after="40"/>
      </w:pPr>
      <w:r>
        <w:rPr>
          <w:b/>
          <w:bCs/>
          <w:color w:val="1F6F78"/>
          <w:spacing w:val="20"/>
          <w:sz w:val="19"/>
          <w:szCs w:val="19"/>
        </w:rPr>
        <w:t xml:space="preserve">RESILIENZ   </w:t>
      </w:r>
      <w:r>
        <w:rPr>
          <w:color w:val="6B7080"/>
          <w:sz w:val="19"/>
          <w:szCs w:val="19"/>
        </w:rPr>
        <w:t xml:space="preserve">Anwendungsfall 5  ·  IKS / Operationelle Risiken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Laufende Kontrollüberwachung</w:t>
      </w:r>
    </w:p>
    <w:p>
      <w:pPr>
        <w:pBdr>
          <w:bottom w:val="single" w:color="1F6F78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Kontrollabweichungen laufend aus Prozessdaten erkennen statt nur zu festen Prüfzeitpunkten.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verfügt über etablierte IKS-Kontrollen, regelmäßige Risikobewertungen und bereichsspezifische Dashboards für operationelle Risiken.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Kontrollen werden in festen Abständen geprüft, Nachweise zusammengetragen und Maßnahmen nachverfolgt.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Zwischen zwei Prüfzeitpunkten entstehende Abweichungen werden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erst bei der nächsten Prüfung</w:t>
            </w:r>
            <w:r>
              <w:rPr>
                <w:sz w:val="22"/>
                <w:szCs w:val="22"/>
              </w:rPr>
              <w:t xml:space="preserve"> sichtbar, je nach Kontrollfrequenz nach Monaten.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Kontrollnachweise, Prozessdaten, Berechtigungen und Maßnahmenstatus liegen in verschiedenen Systemen. Ob eine Korrekturmaßnahme gewirkt hat, ist aufwendig zu belegen.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Prozess- und Transaktionsdaten werden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laufend</w:t>
            </w:r>
            <w:r>
              <w:rPr>
                <w:sz w:val="22"/>
                <w:szCs w:val="22"/>
              </w:rPr>
              <w:t xml:space="preserve"> gegen definierte Kontrollregeln geprüft, etwa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Berechtigungsänderung ohne Freigabe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verletzte Funktionstrennung</w:t>
            </w:r>
            <w:r>
              <w:rPr>
                <w:sz w:val="22"/>
                <w:szCs w:val="22"/>
              </w:rPr>
              <w:t xml:space="preserve"> oder Kontrolle ohne vollständigen Nachweis.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Auffälligkeiten werden im Prozesskontext eingeordnet und begründet an die Kontrollverantwortlichen übergeben.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Interne Revision kann die Ergebnisse unabhängig prüfen.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Frühere Erkennung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Abweichungen nahe am Zeitpunkt ihres Entstehens</w:t>
            </w:r>
          </w:p>
        </w:tc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Weniger manuelle Auswertung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Nachweise werden systemseitig zusammengeführt</w:t>
            </w:r>
          </w:p>
        </w:tc>
        <w:tc>
          <w:tcPr>
            <w:tcW w:type="dxa" w:w="4858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Nachweis der Wirksamkeit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von Korrekturmaßnahmen anhand der Prozessdaten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Quelle: KfW-Finanzbericht 2025 (IKS, Risikobewertungen, Dashboards für operationelle Risiken). Die operative Kontrollverantwortung bleibt bei den Fach- und Kontrollfunktionen; die Unabhängigkeit der Internen Revision bleibt gewahrt.</w:t>
      </w:r>
    </w:p>
    <w:p>
      <w:pPr>
        <w:keepNext/>
        <w:pageBreakBefore/>
        <w:spacing w:after="40"/>
      </w:pPr>
      <w:r>
        <w:rPr>
          <w:b/>
          <w:bCs/>
          <w:color w:val="1F6F78"/>
          <w:spacing w:val="20"/>
          <w:sz w:val="19"/>
          <w:szCs w:val="19"/>
        </w:rPr>
        <w:t xml:space="preserve">RESILIENZ   </w:t>
      </w:r>
      <w:r>
        <w:rPr>
          <w:color w:val="6B7080"/>
          <w:sz w:val="19"/>
          <w:szCs w:val="19"/>
        </w:rPr>
        <w:t xml:space="preserve">Anwendungsfall 6  ·  KfW IPEX-Bank, Kreditrisiko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Frühwarnung in der Projektfinanzierung</w:t>
      </w:r>
    </w:p>
    <w:p>
      <w:pPr>
        <w:pBdr>
          <w:bottom w:val="single" w:color="1F6F78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Verteilte Signale aus Projektberichten, Covenants und Marktdaten je Finanzierung zusammenführen.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IPEX-Bank begleitet langfristige Projekte in Energie, Mobilität und Infrastruktur; Ende 2025 lag der Kreditbestand bei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88,9 Mrd. €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Jedes Projekt liefert laufend Finanzberichte, Baufortschrittsmeldungen und Covenant-Berichte; hinzu kommen Markt- und Branchendaten.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Verschlechterungen kündigen sich meist durch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mehrere kleine Signale</w:t>
            </w:r>
            <w:r>
              <w:rPr>
                <w:sz w:val="22"/>
                <w:szCs w:val="22"/>
              </w:rPr>
              <w:t xml:space="preserve"> an, verteilt über Dokumente, Quellen und Monate: eine Bauverzögerung, steigende Beschaffungskosten, eine angepasste Prognose eines Auftragnehmers.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Bei einem Portfolio dieser Größe ist es im Kreditreview aufwendig, diese Signale je Projekt in einen gemeinsamen Risikokontext zu bringen.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liest Projektberichte, Vertrags- und Covenant-Dokumente sowie externe Signale und verknüpft sie mit den Annahmen des Finanzierungsmodells.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zeigt, welche Annahmen und Verpflichtungen überprüft werden sollten, und begründet dies mit den zugrunde liegenden Quellen.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Cashflow-, Deckungsgrad- und Risikoberechnungen bleiben in den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validierten Modellen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Längere Vorwarnzeit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vor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Covenant-Verstößen</w:t>
            </w:r>
            <w:r>
              <w:rPr>
                <w:color w:val="6B7080"/>
                <w:sz w:val="20"/>
                <w:szCs w:val="20"/>
              </w:rPr>
              <w:t xml:space="preserve"> und Ratingveränderungen</w:t>
            </w:r>
          </w:p>
        </w:tc>
        <w:tc>
          <w:tcPr>
            <w:tcW w:type="dxa" w:w="4856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Effizientere Kreditreviews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weniger Zeit für die Sichtung, mehr für die Bewertung</w:t>
            </w:r>
          </w:p>
        </w:tc>
        <w:tc>
          <w:tcPr>
            <w:tcW w:type="dxa" w:w="4858"/>
            <w:tcBorders>
              <w:top w:val="single" w:color="1F6F78" w:sz="10"/>
              <w:left w:val="none" w:color="FFFFFF" w:sz="0"/>
              <w:bottom w:val="none" w:color="FFFFFF" w:sz="0"/>
              <w:right w:val="none" w:color="FFFFFF" w:sz="0"/>
            </w:tcBorders>
            <w:shd w:fill="EAF3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1F6F78"/>
                <w:sz w:val="34"/>
                <w:szCs w:val="34"/>
              </w:rPr>
              <w:t xml:space="preserve">Begrenzung von Verlusten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frühere Maßnahmen bei kritischen Entwicklungen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Quelle: KfW IPEX-Bank, Geschäftszahlen 2025 (Kreditvolumen im Bestand 88,9 Mrd. €). Das System nutzt nur Informationen, die zum jeweiligen Zeitpunkt vorlagen; Bewertungen erfolgen in den bestehenden, validierten Modellen.</w:t>
      </w:r>
    </w:p>
    <w:p>
      <w:pPr>
        <w:keepNext/>
        <w:pageBreakBefore/>
        <w:spacing w:after="40"/>
      </w:pPr>
      <w:r>
        <w:rPr>
          <w:b/>
          <w:bCs/>
          <w:color w:val="8A6D3B"/>
          <w:spacing w:val="20"/>
          <w:sz w:val="19"/>
          <w:szCs w:val="19"/>
        </w:rPr>
        <w:t xml:space="preserve">WACHSTUM   </w:t>
      </w:r>
      <w:r>
        <w:rPr>
          <w:color w:val="6B7080"/>
          <w:sz w:val="19"/>
          <w:szCs w:val="19"/>
        </w:rPr>
        <w:t xml:space="preserve">Anwendungsfall 7  ·  KfW IPEX-Bank, Exportfinanzierung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Strukturierung von Exportfinanzierungen</w:t>
      </w:r>
    </w:p>
    <w:p>
      <w:pPr>
        <w:pBdr>
          <w:bottom w:val="single" w:color="8A6D3B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Für jede Finanzierungsanfrage alternative ECA-Strukturen systematisch prüfen und vergleichen.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ECA-Transaktionsvolumen der KfW IPEX-Bank lag 2025 bei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rund 4,4 Mrd. €</w:t>
            </w:r>
            <w:r>
              <w:rPr>
                <w:sz w:val="22"/>
                <w:szCs w:val="22"/>
              </w:rPr>
              <w:t xml:space="preserve">. Die Zahl der Deckungsprodukte der Exportkreditagenturen hat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deutlich zugenommen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KI-Projekt zur Dokumentenanalyse ist bereits gestartet.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Welche Deckung zu einem Vorhaben passt, hängt von Land, Lieferkette, Risikokonstellation und Förderkriterien ab.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Unter Zeitdruck ist es schwierig, alle Varianten gleichwertig zu prüfen.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Strukturen, die ein Mandat erst ermöglichen würden, bleiben dann ungeprüft.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Jede Anfrage wird gegen die Deckungsbedingungen relevanter Agenturen und gegen vergleichbare historische Transaktionen der Bank geprüft.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stellt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zwei bis drei Strukturvarianten</w:t>
            </w:r>
            <w:r>
              <w:rPr>
                <w:sz w:val="22"/>
                <w:szCs w:val="22"/>
              </w:rPr>
              <w:t xml:space="preserve"> mit Voraussetzungen, Risikoaufteilung und wirtschaftlicher Einschätzung gegenüber.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Strukturierungsexperten entscheiden, welche Variante weiterverfolgt wird.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8A6D3B" w:sz="1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8A6D3B"/>
                <w:sz w:val="34"/>
                <w:szCs w:val="34"/>
              </w:rPr>
              <w:t xml:space="preserve">Zusätzliche Mandate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Strukturen, die heute nicht systematisch geprüft werden</w:t>
            </w:r>
          </w:p>
        </w:tc>
        <w:tc>
          <w:tcPr>
            <w:tcW w:type="dxa" w:w="4856"/>
            <w:tcBorders>
              <w:top w:val="single" w:color="8A6D3B" w:sz="1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8A6D3B"/>
                <w:sz w:val="34"/>
                <w:szCs w:val="34"/>
              </w:rPr>
              <w:t xml:space="preserve">Kürzere Zeit bis zum Finanzierungsangebot (Term Sheet)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durch vorbereitete Strukturvergleiche</w:t>
            </w:r>
          </w:p>
        </w:tc>
        <w:tc>
          <w:tcPr>
            <w:tcW w:type="dxa" w:w="4858"/>
            <w:tcBorders>
              <w:top w:val="single" w:color="8A6D3B" w:sz="1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8A6D3B"/>
                <w:sz w:val="34"/>
                <w:szCs w:val="34"/>
              </w:rPr>
              <w:t xml:space="preserve">300.000 €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Bruttoertrag je Zusatzmandat bei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150 Mio. € Volumen</w:t>
            </w:r>
            <w:r>
              <w:rPr>
                <w:color w:val="6B7080"/>
                <w:sz w:val="20"/>
                <w:szCs w:val="20"/>
              </w:rPr>
              <w:t xml:space="preserve"> und </w:t>
            </w:r>
            <w:r>
              <w:rPr>
                <w:b/>
                <w:bCs/>
                <w:color w:val="050A30"/>
                <w:sz w:val="20"/>
                <w:szCs w:val="20"/>
              </w:rPr>
              <w:t xml:space="preserve">20 bp</w:t>
            </w:r>
            <w:r>
              <w:rPr>
                <w:color w:val="6B7080"/>
                <w:sz w:val="20"/>
                <w:szCs w:val="20"/>
              </w:rPr>
              <w:t xml:space="preserve"> (Annahme)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Quelle: KfW IPEX-Bank, Geschäftszahlen 2025 (ECA-Volumen rund 4,4 Mrd. €). Rechnung: 150 Mio. € × 20 bp = 300.000 €. Der Gebührensatz ist eine Annahme, kein veröffentlichter KfW-Wert; Risiko-, Personal- und Strukturierungskosten sind nicht abgezogen.</w:t>
      </w:r>
    </w:p>
    <w:p>
      <w:pPr>
        <w:keepNext/>
        <w:pageBreakBefore/>
        <w:spacing w:after="40"/>
      </w:pPr>
      <w:r>
        <w:rPr>
          <w:b/>
          <w:bCs/>
          <w:color w:val="8A6D3B"/>
          <w:spacing w:val="20"/>
          <w:sz w:val="19"/>
          <w:szCs w:val="19"/>
        </w:rPr>
        <w:t xml:space="preserve">WACHSTUM   </w:t>
      </w:r>
      <w:r>
        <w:rPr>
          <w:color w:val="6B7080"/>
          <w:sz w:val="19"/>
          <w:szCs w:val="19"/>
        </w:rPr>
        <w:t xml:space="preserve">Anwendungsfall 8  ·  KfW IPEX-Bank, Syndizierung</w:t>
      </w:r>
    </w:p>
    <w:p>
      <w:pPr>
        <w:keepNext/>
        <w:spacing w:after="80" w:line="252" w:lineRule="auto"/>
      </w:pPr>
      <w:r>
        <w:rPr>
          <w:rFonts w:ascii="Cambria" w:cs="Cambria" w:eastAsia="Cambria" w:hAnsi="Cambria"/>
          <w:color w:val="050A30"/>
          <w:sz w:val="52"/>
          <w:szCs w:val="52"/>
        </w:rPr>
        <w:t xml:space="preserve">Syndizierung &amp; Kapitaleinsatz</w:t>
      </w:r>
    </w:p>
    <w:p>
      <w:pPr>
        <w:pBdr>
          <w:bottom w:val="single" w:color="8A6D3B" w:sz="8"/>
        </w:pBdr>
        <w:spacing w:after="360" w:line="264" w:lineRule="auto"/>
      </w:pPr>
      <w:r>
        <w:rPr>
          <w:rFonts w:ascii="Cambria" w:cs="Cambria" w:eastAsia="Cambria" w:hAnsi="Cambria"/>
          <w:i/>
          <w:iCs/>
          <w:color w:val="050A30"/>
          <w:sz w:val="28"/>
          <w:szCs w:val="28"/>
        </w:rPr>
        <w:t xml:space="preserve">Geeignete Konsortialpartner und Syndizierungsstrukturen aus historischen Transaktionen ableiten.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Heute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Die KfW IPEX-Bank wies 2025 ein arrangiertes Syndizierungsvolumen von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6,9 Mrd. €</w:t>
            </w:r>
            <w:r>
              <w:rPr>
                <w:sz w:val="22"/>
                <w:szCs w:val="22"/>
              </w:rPr>
              <w:t xml:space="preserve"> aus. Großvolumige Finanzierungen werden mit Banken und institutionellen Investoren geteilt.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Der Erfolg der Platzierung bestimmt, wie viel Kapazität für weiteres Geschäft verfügbar bleibt.</w:t>
            </w:r>
          </w:p>
        </w:tc>
        <w:tc>
          <w:tcPr>
            <w:tcW w:type="dxa" w:w="4856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Das Problem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Je Transaktion sind Partner nach Sektor, Land, Laufzeit, Ticketgröße und bestehender Beziehung zu bewerten, dazu Strukturvarianten mit unterschiedlicher Kapitalbindung.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Ein großer Teil dieses Wissens liegt in abgeschlossenen Transaktionen und bei einzelnen Personen,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nicht in einem auswertbaren System</w:t>
            </w:r>
            <w:r>
              <w:rPr>
                <w:sz w:val="22"/>
                <w:szCs w:val="22"/>
              </w:rPr>
              <w:t xml:space="preserve">.</w:t>
            </w:r>
          </w:p>
        </w:tc>
        <w:tc>
          <w:tcPr>
            <w:tcW w:type="dxa" w:w="4858"/>
            <w:tcBorders>
              <w:top w:val="none" w:color="FFFFFF" w:sz="0"/>
              <w:left w:val="single" w:color="D6D9E1" w:sz="4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keepNext/>
              <w:spacing w:after="120"/>
            </w:pPr>
            <w:r>
              <w:rPr>
                <w:b/>
                <w:bCs/>
                <w:color w:val="6B7080"/>
                <w:sz w:val="19"/>
                <w:szCs w:val="19"/>
              </w:rPr>
              <w:t xml:space="preserve">Mit KI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System wertet historische Syndizierungen, dokumentierte Partnerpräferenzen und die aktuelle Pipeline aus.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Es schlägt Partner und Strukturvarianten vor und vergleicht Szenarien nach </w:t>
            </w:r>
            <w:r>
              <w:rPr>
                <w:b/>
                <w:bCs/>
                <w:color w:val="050A30"/>
                <w:sz w:val="22"/>
                <w:szCs w:val="22"/>
              </w:rPr>
              <w:t xml:space="preserve">Platzierbarkeit, Kapitalbindung und Ergebnis</w:t>
            </w:r>
            <w:r>
              <w:rPr>
                <w:sz w:val="22"/>
                <w:szCs w:val="22"/>
              </w:rPr>
              <w:t xml:space="preserve">, auf Basis der bestehenden Risikomodelle.</w:t>
            </w:r>
          </w:p>
          <w:p>
            <w:pPr>
              <w:spacing w:after="120" w:before="0" w:line="288" w:lineRule="auto"/>
            </w:pPr>
            <w:r>
              <w:rPr>
                <w:sz w:val="22"/>
                <w:szCs w:val="22"/>
              </w:rPr>
              <w:t xml:space="preserve">Das Syndizierungsteam entscheidet über Ansprache und Struktur.</w:t>
            </w:r>
          </w:p>
        </w:tc>
      </w:tr>
    </w:tbl>
    <w:p>
      <w:pPr>
        <w:spacing w:after="200"/>
      </w:pPr>
    </w:p>
    <w:p>
      <w:pPr>
        <w:keepNext/>
        <w:spacing w:after="120"/>
      </w:pPr>
      <w:r>
        <w:rPr>
          <w:b/>
          <w:bCs/>
          <w:color w:val="6B7080"/>
          <w:sz w:val="19"/>
          <w:szCs w:val="19"/>
        </w:rPr>
        <w:t xml:space="preserve">Was die KfW davon hat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6"/>
        </w:tblBorders>
        <w:tblLayout w:type="fixed"/>
      </w:tblPr>
      <w:tblGrid>
        <w:gridCol w:w="4856"/>
        <w:gridCol w:w="4856"/>
        <w:gridCol w:w="4858"/>
      </w:tblGrid>
      <w:tr>
        <w:trPr>
          <w:cantSplit/>
        </w:trPr>
        <w:tc>
          <w:tcPr>
            <w:tcW w:type="dxa" w:w="4856"/>
            <w:tcBorders>
              <w:top w:val="single" w:color="8A6D3B" w:sz="1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8A6D3B"/>
                <w:sz w:val="34"/>
                <w:szCs w:val="34"/>
              </w:rPr>
              <w:t xml:space="preserve">Höhere Platzierungsquote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und kürzere Zeit bis zur Syndizierung</w:t>
            </w:r>
          </w:p>
        </w:tc>
        <w:tc>
          <w:tcPr>
            <w:tcW w:type="dxa" w:w="4856"/>
            <w:tcBorders>
              <w:top w:val="single" w:color="8A6D3B" w:sz="1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8A6D3B"/>
                <w:sz w:val="34"/>
                <w:szCs w:val="34"/>
              </w:rPr>
              <w:t xml:space="preserve">Geringere Kapitalbindung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je Transaktion durch passendere Strukturen</w:t>
            </w:r>
          </w:p>
        </w:tc>
        <w:tc>
          <w:tcPr>
            <w:tcW w:type="dxa" w:w="4858"/>
            <w:tcBorders>
              <w:top w:val="single" w:color="8A6D3B" w:sz="10"/>
              <w:left w:val="none" w:color="FFFFFF" w:sz="0"/>
              <w:bottom w:val="none" w:color="FFFFFF" w:sz="0"/>
              <w:right w:val="none" w:color="FFFFFF" w:sz="0"/>
            </w:tcBorders>
            <w:shd w:fill="F5F0E8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line="240" w:lineRule="auto"/>
            </w:pPr>
            <w:r>
              <w:rPr>
                <w:rFonts w:ascii="Cambria" w:cs="Cambria" w:eastAsia="Cambria" w:hAnsi="Cambria"/>
                <w:color w:val="8A6D3B"/>
                <w:sz w:val="34"/>
                <w:szCs w:val="34"/>
              </w:rPr>
              <w:t xml:space="preserve">Zusätzliches Geschäft</w:t>
            </w:r>
          </w:p>
          <w:p>
            <w:pPr>
              <w:spacing w:after="0" w:line="276" w:lineRule="auto"/>
            </w:pPr>
            <w:r>
              <w:rPr>
                <w:color w:val="6B7080"/>
                <w:sz w:val="20"/>
                <w:szCs w:val="20"/>
              </w:rPr>
              <w:t xml:space="preserve">innerhalb bestehender Risiko- und Kapitalvorgaben</w:t>
            </w:r>
          </w:p>
        </w:tc>
      </w:tr>
    </w:tbl>
    <w:p>
      <w:pPr>
        <w:spacing w:after="0" w:before="160" w:line="264" w:lineRule="auto"/>
      </w:pPr>
      <w:r>
        <w:rPr>
          <w:color w:val="6B7080"/>
          <w:sz w:val="17"/>
          <w:szCs w:val="17"/>
        </w:rPr>
        <w:t xml:space="preserve">Quelle: KfW IPEX-Bank, Geschäftszahlen 2025 (arrangiertes Syndizierungsvolumen 6,9 Mrd. €). Partnervorschläge basieren auf anonymisierten historischen Transaktionsdaten; Risikobewertung in den bestehenden Modellen.</w:t>
      </w:r>
    </w:p>
    <w:sectPr>
      <w:footerReference w:type="default" r:id="rId7"/>
      <w:pgSz w:w="16838" w:h="11906" w:orient="landscape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570"/>
      </w:tabs>
    </w:pPr>
    <w:r>
      <w:rPr>
        <w:color w:val="6B7080"/>
        <w:sz w:val="15"/>
        <w:szCs w:val="15"/>
      </w:rPr>
      <w:t xml:space="preserve">KfW  ·  KI-Anwendungsfälle</w:t>
    </w:r>
    <w:r>
      <w:t xml:space="preserve">	</w:t>
    </w:r>
    <w:r>
      <w:rPr>
        <w:color w:val="6B7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300"/>
      </w:pPr>
      <w:rPr>
        <w:color w:val="050A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233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e6bee60e59fa09dd2f29a258d93099b13abf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 bei der KfW: Acht Anwendungsfälle für Effizienz, Resilienz und Wachstum</dc:title>
  <dc:creator>Un-named</dc:creator>
  <cp:lastModifiedBy>Un-named</cp:lastModifiedBy>
  <cp:revision>1</cp:revision>
  <dcterms:created xsi:type="dcterms:W3CDTF">2026-10-27T19:44:17.229Z</dcterms:created>
  <dcterms:modified xsi:type="dcterms:W3CDTF">2026-10-27T19:44:17.229Z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