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190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81000"/>
                    </a:xfrm>
                    <a:prstGeom prst="rect">
                      <a:avLst/>
                    </a:prstGeom>
                  </pic:spPr>
                </pic:pic>
              </a:graphicData>
            </a:graphic>
          </wp:inline>
        </w:drawing>
      </w:r>
    </w:p>
    <w:p>
      <w:pPr>
        <w:spacing w:before="3400"/>
      </w:pPr>
    </w:p>
    <w:p>
      <w:pPr>
        <w:spacing w:after="240"/>
      </w:pPr>
      <w:r>
        <w:rPr>
          <w:color w:val="6B7080"/>
          <w:sz w:val="18"/>
          <w:szCs w:val="18"/>
        </w:rPr>
        <w:t xml:space="preserve">KfW Bankengruppe  |  Oktober 2026</w:t>
      </w:r>
    </w:p>
    <w:p>
      <w:pPr>
        <w:spacing w:after="280" w:line="252" w:lineRule="auto"/>
      </w:pPr>
      <w:r>
        <w:rPr>
          <w:rFonts w:ascii="Cambria" w:cs="Cambria" w:eastAsia="Cambria" w:hAnsi="Cambria"/>
          <w:color w:val="050A30"/>
          <w:sz w:val="52"/>
          <w:szCs w:val="52"/>
        </w:rPr>
        <w:t xml:space="preserve">KI in Revision, Compliance, IT-Security und Exportfinanzierung</w:t>
      </w:r>
    </w:p>
    <w:p>
      <w:pPr>
        <w:pBdr>
          <w:top w:val="single" w:color="050A30" w:sz="6" w:space="14"/>
        </w:pBdr>
      </w:pPr>
      <w:r>
        <w:rPr>
          <w:color w:val="6B7080"/>
          <w:sz w:val="26"/>
          <w:szCs w:val="26"/>
        </w:rPr>
        <w:t xml:space="preserve">Acht Anwendungsfälle, vier Pilotvorschläge</w:t>
      </w:r>
    </w:p>
    <w:p>
      <w:pPr>
        <w:spacing w:before="4400"/>
      </w:pPr>
    </w:p>
    <w:p>
      <w:r>
        <w:rPr>
          <w:color w:val="6B7080"/>
          <w:sz w:val="17"/>
          <w:szCs w:val="17"/>
        </w:rPr>
        <w:t xml:space="preserve">SH &amp; Partner  ·  Vertraulich</w:t>
      </w:r>
    </w:p>
    <w:p>
      <w:pPr>
        <w:sectPr>
          <w:headerReference w:type="default" r:id="rId7"/>
          <w:footerReference w:type="default" r:id="rId8"/>
          <w:pgSz w:w="11906" w:h="16838" w:orient="portrait"/>
          <w:pgMar w:top="1418" w:right="1418" w:bottom="1418" w:left="1418" w:header="708" w:footer="708" w:gutter="0"/>
          <w:pgNumType/>
          <w:docGrid w:linePitch="360"/>
        </w:sectPr>
      </w:pPr>
    </w:p>
    <w:p>
      <w:pPr>
        <w:keepNext/>
        <w:spacing w:after="40"/>
      </w:pPr>
      <w:r>
        <w:rPr>
          <w:color w:val="6B7080"/>
          <w:sz w:val="17"/>
          <w:szCs w:val="17"/>
        </w:rPr>
        <w:t xml:space="preserve">Zusammenfassung</w:t>
      </w:r>
    </w:p>
    <w:p>
      <w:pPr>
        <w:keepNext/>
        <w:pBdr>
          <w:bottom w:val="single" w:color="050A30" w:sz="6"/>
        </w:pBdr>
        <w:spacing w:after="160" w:line="264" w:lineRule="auto"/>
      </w:pPr>
      <w:r>
        <w:rPr>
          <w:rFonts w:ascii="Cambria" w:cs="Cambria" w:eastAsia="Cambria" w:hAnsi="Cambria"/>
          <w:color w:val="050A30"/>
          <w:sz w:val="36"/>
          <w:szCs w:val="36"/>
        </w:rPr>
        <w:t xml:space="preserve">Worum es geht</w:t>
      </w:r>
    </w:p>
    <w:p>
      <w:pPr>
        <w:spacing w:after="120" w:before="0" w:line="288" w:lineRule="auto"/>
      </w:pPr>
      <w:r>
        <w:t xml:space="preserve">Die KfW muss heute mehr prüfen, dokumentieren und absichern als noch vor wenigen Jahren. DORA ist seit 2025 anzuwenden, die EBA hat neue Leitlinien zu Drittparteienrisiken finalisiert, und die EZB stellt Cyberresilienz und IT-Kontrollen für 2026–2028 ganz oben auf die Prioritätenliste. Die Kapazität in Revision, Compliance und IT-Security wächst nicht im gleichen Tempo.</w:t>
      </w:r>
    </w:p>
    <w:p>
      <w:pPr>
        <w:spacing w:after="120" w:before="0" w:line="288" w:lineRule="auto"/>
      </w:pPr>
      <w:r>
        <w:t xml:space="preserve">Gleichzeitig hat die KfW IPEX-Bank einen direkten kommerziellen Hebel: Wer Finanzierungen schneller und vollständiger strukturiert, gewinnt mehr Mandate.</w:t>
      </w:r>
    </w:p>
    <w:p>
      <w:pPr>
        <w:spacing w:after="240" w:before="0" w:line="288" w:lineRule="auto"/>
      </w:pPr>
      <w:r>
        <w:t xml:space="preserve">Wir haben acht Stellen identifiziert, an denen KI messbar Arbeit abnimmt oder Risiken früher sichtbar macht. Vier davon schlagen wir als Pilot vor. Alle vier lassen sich auf historischen Daten testen, ohne in laufende Prozesse einzugreifen.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23"/>
        <w:gridCol w:w="3023"/>
        <w:gridCol w:w="3024"/>
      </w:tblGrid>
      <w:tr>
        <w:trPr>
          <w:cantSplit/>
        </w:trPr>
        <w:tc>
          <w:tcPr>
            <w:tcW w:type="dxa" w:w="3023"/>
            <w:tcBorders>
              <w:top w:val="single" w:color="050A30" w:sz="8"/>
              <w:left w:val="none" w:color="FFFFFF" w:sz="0"/>
              <w:bottom w:val="none" w:color="FFFFFF" w:sz="0"/>
              <w:right w:val="none" w:color="FFFFFF" w:sz="0"/>
            </w:tcBorders>
            <w:tcMar>
              <w:top w:type="dxa" w:w="120"/>
              <w:left w:type="dxa" w:w="0"/>
              <w:bottom w:type="dxa" w:w="60"/>
              <w:right w:type="dxa" w:w="160"/>
            </w:tcMar>
          </w:tcPr>
          <w:p>
            <w:pPr>
              <w:spacing w:after="20"/>
            </w:pPr>
            <w:r>
              <w:rPr>
                <w:rFonts w:ascii="Cambria" w:cs="Cambria" w:eastAsia="Cambria" w:hAnsi="Cambria"/>
                <w:color w:val="050A30"/>
                <w:sz w:val="36"/>
                <w:szCs w:val="36"/>
              </w:rPr>
              <w:t xml:space="preserve">~60</w:t>
            </w:r>
          </w:p>
          <w:p>
            <w:pPr>
              <w:spacing w:after="0" w:line="264" w:lineRule="auto"/>
            </w:pPr>
            <w:r>
              <w:rPr>
                <w:color w:val="6B7080"/>
                <w:sz w:val="17"/>
                <w:szCs w:val="17"/>
              </w:rPr>
              <w:t xml:space="preserve">Prüfungen der Konzernrevision pro Jahr</w:t>
            </w:r>
          </w:p>
        </w:tc>
        <w:tc>
          <w:tcPr>
            <w:tcW w:type="dxa" w:w="3023"/>
            <w:tcBorders>
              <w:top w:val="single" w:color="050A30" w:sz="8"/>
              <w:left w:val="none" w:color="FFFFFF" w:sz="0"/>
              <w:bottom w:val="none" w:color="FFFFFF" w:sz="0"/>
              <w:right w:val="none" w:color="FFFFFF" w:sz="0"/>
            </w:tcBorders>
            <w:tcMar>
              <w:top w:type="dxa" w:w="120"/>
              <w:left w:type="dxa" w:w="160"/>
              <w:bottom w:type="dxa" w:w="60"/>
              <w:right w:type="dxa" w:w="160"/>
            </w:tcMar>
          </w:tcPr>
          <w:p>
            <w:pPr>
              <w:spacing w:after="20"/>
            </w:pPr>
            <w:r>
              <w:rPr>
                <w:rFonts w:ascii="Cambria" w:cs="Cambria" w:eastAsia="Cambria" w:hAnsi="Cambria"/>
                <w:color w:val="050A30"/>
                <w:sz w:val="36"/>
                <w:szCs w:val="36"/>
              </w:rPr>
              <w:t xml:space="preserve">24,2 Mrd. €</w:t>
            </w:r>
          </w:p>
          <w:p>
            <w:pPr>
              <w:spacing w:after="0" w:line="264" w:lineRule="auto"/>
            </w:pPr>
            <w:r>
              <w:rPr>
                <w:color w:val="6B7080"/>
                <w:sz w:val="17"/>
                <w:szCs w:val="17"/>
              </w:rPr>
              <w:t xml:space="preserve">Neuzusagen der KfW IPEX-Bank 2025</w:t>
            </w:r>
          </w:p>
        </w:tc>
        <w:tc>
          <w:tcPr>
            <w:tcW w:type="dxa" w:w="3024"/>
            <w:tcBorders>
              <w:top w:val="single" w:color="050A30" w:sz="8"/>
              <w:left w:val="none" w:color="FFFFFF" w:sz="0"/>
              <w:bottom w:val="none" w:color="FFFFFF" w:sz="0"/>
              <w:right w:val="none" w:color="FFFFFF" w:sz="0"/>
            </w:tcBorders>
            <w:tcMar>
              <w:top w:type="dxa" w:w="120"/>
              <w:left w:type="dxa" w:w="160"/>
              <w:bottom w:type="dxa" w:w="60"/>
              <w:right w:type="dxa" w:w="160"/>
            </w:tcMar>
          </w:tcPr>
          <w:p>
            <w:pPr>
              <w:spacing w:after="20"/>
            </w:pPr>
            <w:r>
              <w:rPr>
                <w:rFonts w:ascii="Cambria" w:cs="Cambria" w:eastAsia="Cambria" w:hAnsi="Cambria"/>
                <w:color w:val="050A30"/>
                <w:sz w:val="36"/>
                <w:szCs w:val="36"/>
              </w:rPr>
              <w:t xml:space="preserve">6,9 Mrd. €</w:t>
            </w:r>
          </w:p>
          <w:p>
            <w:pPr>
              <w:spacing w:after="0" w:line="264" w:lineRule="auto"/>
            </w:pPr>
            <w:r>
              <w:rPr>
                <w:color w:val="6B7080"/>
                <w:sz w:val="17"/>
                <w:szCs w:val="17"/>
              </w:rPr>
              <w:t xml:space="preserve">arrangiertes Syndizierungsvolumen 2025</w:t>
            </w:r>
          </w:p>
        </w:tc>
      </w:tr>
    </w:tbl>
    <w:p>
      <w:pPr>
        <w:keepNext/>
        <w:spacing w:after="80" w:before="240" w:line="288" w:lineRule="auto"/>
      </w:pPr>
      <w:r>
        <w:rPr>
          <w:b/>
          <w:bCs/>
          <w:color w:val="050A30"/>
          <w:sz w:val="20"/>
          <w:szCs w:val="20"/>
        </w:rPr>
        <w:t xml:space="preserve">Unser Vorschlag: vier Piloten</w:t>
      </w:r>
    </w:p>
    <w:tbl>
      <w:tblPr>
        <w:tblW w:type="dxa" w:w="9070"/>
        <w:tblBorders>
          <w:top w:val="single" w:color="050A30" w:sz="6"/>
          <w:left w:val="none" w:color="FFFFFF" w:sz="0"/>
          <w:bottom w:val="single" w:color="050A30" w:sz="6"/>
          <w:right w:val="none" w:color="FFFFFF" w:sz="0"/>
          <w:insideH w:val="single" w:color="D6D9E1" w:sz="4"/>
          <w:insideV w:val="none" w:color="FFFFFF" w:sz="0"/>
        </w:tblBorders>
        <w:tblLayout w:type="fixed"/>
      </w:tblPr>
      <w:tblGrid>
        <w:gridCol w:w="2000"/>
        <w:gridCol w:w="3870"/>
        <w:gridCol w:w="3200"/>
      </w:tblGrid>
      <w:tr>
        <w:trPr>
          <w:tblHeader/>
        </w:trPr>
        <w:tc>
          <w:tcPr>
            <w:tcW w:type="dxa" w:w="2000"/>
            <w:tcMar>
              <w:top w:type="dxa" w:w="90"/>
              <w:left w:type="dxa" w:w="0"/>
              <w:bottom w:type="dxa" w:w="90"/>
              <w:right w:type="dxa" w:w="110"/>
            </w:tcMar>
          </w:tcPr>
          <w:p>
            <w:pPr>
              <w:spacing w:after="0"/>
            </w:pPr>
            <w:r>
              <w:rPr>
                <w:b/>
                <w:bCs/>
                <w:color w:val="6B7080"/>
                <w:sz w:val="16"/>
                <w:szCs w:val="16"/>
              </w:rPr>
              <w:t xml:space="preserve">Bereich</w:t>
            </w:r>
          </w:p>
        </w:tc>
        <w:tc>
          <w:tcPr>
            <w:tcW w:type="dxa" w:w="3870"/>
            <w:tcMar>
              <w:top w:type="dxa" w:w="90"/>
              <w:left w:type="dxa" w:w="110"/>
              <w:bottom w:type="dxa" w:w="90"/>
              <w:right w:type="dxa" w:w="110"/>
            </w:tcMar>
          </w:tcPr>
          <w:p>
            <w:pPr>
              <w:spacing w:after="0"/>
            </w:pPr>
            <w:r>
              <w:rPr>
                <w:b/>
                <w:bCs/>
                <w:color w:val="6B7080"/>
                <w:sz w:val="16"/>
                <w:szCs w:val="16"/>
              </w:rPr>
              <w:t xml:space="preserve">Pilot</w:t>
            </w:r>
          </w:p>
        </w:tc>
        <w:tc>
          <w:tcPr>
            <w:tcW w:type="dxa" w:w="3200"/>
            <w:tcMar>
              <w:top w:type="dxa" w:w="90"/>
              <w:left w:type="dxa" w:w="110"/>
              <w:bottom w:type="dxa" w:w="90"/>
              <w:right w:type="dxa" w:w="110"/>
            </w:tcMar>
          </w:tcPr>
          <w:p>
            <w:pPr>
              <w:spacing w:after="0"/>
            </w:pPr>
            <w:r>
              <w:rPr>
                <w:b/>
                <w:bCs/>
                <w:color w:val="6B7080"/>
                <w:sz w:val="16"/>
                <w:szCs w:val="16"/>
              </w:rPr>
              <w:t xml:space="preserve">Go-Kriterium (Vorschlag)</w:t>
            </w:r>
          </w:p>
        </w:tc>
      </w:tr>
      <w:tr>
        <w:trPr>
          <w:cantSplit/>
        </w:trPr>
        <w:tc>
          <w:tcPr>
            <w:tcW w:type="dxa" w:w="2000"/>
            <w:tcMar>
              <w:top w:type="dxa" w:w="90"/>
              <w:left w:type="dxa" w:w="0"/>
              <w:bottom w:type="dxa" w:w="90"/>
              <w:right w:type="dxa" w:w="110"/>
            </w:tcMar>
          </w:tcPr>
          <w:p>
            <w:pPr>
              <w:spacing w:after="0" w:before="0" w:line="264" w:lineRule="auto"/>
            </w:pPr>
            <w:r>
              <w:rPr>
                <w:b/>
                <w:bCs/>
                <w:color w:val="050A30"/>
                <w:sz w:val="18"/>
                <w:szCs w:val="18"/>
              </w:rPr>
              <w:t xml:space="preserve">Konzernrevision</w:t>
            </w:r>
          </w:p>
        </w:tc>
        <w:tc>
          <w:tcPr>
            <w:tcW w:type="dxa" w:w="3870"/>
            <w:tcMar>
              <w:top w:type="dxa" w:w="90"/>
              <w:left w:type="dxa" w:w="110"/>
              <w:bottom w:type="dxa" w:w="90"/>
              <w:right w:type="dxa" w:w="110"/>
            </w:tcMar>
          </w:tcPr>
          <w:p>
            <w:pPr>
              <w:spacing w:after="0" w:before="0" w:line="264" w:lineRule="auto"/>
            </w:pPr>
            <w:r>
              <w:rPr>
                <w:sz w:val="18"/>
                <w:szCs w:val="18"/>
              </w:rPr>
              <w:t xml:space="preserve">Revisionsberichte aus Prüfungsunterlagen entwerfen, jede Aussage mit Nachweis</w:t>
            </w:r>
          </w:p>
        </w:tc>
        <w:tc>
          <w:tcPr>
            <w:tcW w:type="dxa" w:w="3200"/>
            <w:tcMar>
              <w:top w:type="dxa" w:w="90"/>
              <w:left w:type="dxa" w:w="110"/>
              <w:bottom w:type="dxa" w:w="90"/>
              <w:right w:type="dxa" w:w="110"/>
            </w:tcMar>
          </w:tcPr>
          <w:p>
            <w:pPr>
              <w:spacing w:after="0" w:before="0" w:line="264" w:lineRule="auto"/>
            </w:pPr>
            <w:r>
              <w:rPr>
                <w:sz w:val="18"/>
                <w:szCs w:val="18"/>
              </w:rPr>
              <w:t xml:space="preserve">≥ 30 % weniger Zeit für die Berichterstellung bei gleicher Qualität</w:t>
            </w:r>
          </w:p>
        </w:tc>
      </w:tr>
      <w:tr>
        <w:trPr>
          <w:cantSplit/>
        </w:trPr>
        <w:tc>
          <w:tcPr>
            <w:tcW w:type="dxa" w:w="2000"/>
            <w:tcMar>
              <w:top w:type="dxa" w:w="90"/>
              <w:left w:type="dxa" w:w="0"/>
              <w:bottom w:type="dxa" w:w="90"/>
              <w:right w:type="dxa" w:w="110"/>
            </w:tcMar>
          </w:tcPr>
          <w:p>
            <w:pPr>
              <w:spacing w:after="0" w:before="0" w:line="264" w:lineRule="auto"/>
            </w:pPr>
            <w:r>
              <w:rPr>
                <w:b/>
                <w:bCs/>
                <w:color w:val="050A30"/>
                <w:sz w:val="18"/>
                <w:szCs w:val="18"/>
              </w:rPr>
              <w:t xml:space="preserve">CISO / IT-Security</w:t>
            </w:r>
          </w:p>
        </w:tc>
        <w:tc>
          <w:tcPr>
            <w:tcW w:type="dxa" w:w="3870"/>
            <w:tcMar>
              <w:top w:type="dxa" w:w="90"/>
              <w:left w:type="dxa" w:w="110"/>
              <w:bottom w:type="dxa" w:w="90"/>
              <w:right w:type="dxa" w:w="110"/>
            </w:tcMar>
          </w:tcPr>
          <w:p>
            <w:pPr>
              <w:spacing w:after="0" w:before="0" w:line="264" w:lineRule="auto"/>
            </w:pPr>
            <w:r>
              <w:rPr>
                <w:sz w:val="18"/>
                <w:szCs w:val="18"/>
              </w:rPr>
              <w:t xml:space="preserve">Software-Inventar, Altersanalyse und priorisierte Sicherheitstests</w:t>
            </w:r>
          </w:p>
        </w:tc>
        <w:tc>
          <w:tcPr>
            <w:tcW w:type="dxa" w:w="3200"/>
            <w:tcMar>
              <w:top w:type="dxa" w:w="90"/>
              <w:left w:type="dxa" w:w="110"/>
              <w:bottom w:type="dxa" w:w="90"/>
              <w:right w:type="dxa" w:w="110"/>
            </w:tcMar>
          </w:tcPr>
          <w:p>
            <w:pPr>
              <w:spacing w:after="0" w:before="0" w:line="264" w:lineRule="auto"/>
            </w:pPr>
            <w:r>
              <w:rPr>
                <w:sz w:val="18"/>
                <w:szCs w:val="18"/>
              </w:rPr>
              <w:t xml:space="preserve">Vollständiges Komponenteninventar und neue, bestätigte kritische Befunde</w:t>
            </w:r>
          </w:p>
        </w:tc>
      </w:tr>
      <w:tr>
        <w:trPr>
          <w:cantSplit/>
        </w:trPr>
        <w:tc>
          <w:tcPr>
            <w:tcW w:type="dxa" w:w="2000"/>
            <w:tcMar>
              <w:top w:type="dxa" w:w="90"/>
              <w:left w:type="dxa" w:w="0"/>
              <w:bottom w:type="dxa" w:w="90"/>
              <w:right w:type="dxa" w:w="110"/>
            </w:tcMar>
          </w:tcPr>
          <w:p>
            <w:pPr>
              <w:spacing w:after="0" w:before="0" w:line="264" w:lineRule="auto"/>
            </w:pPr>
            <w:r>
              <w:rPr>
                <w:b/>
                <w:bCs/>
                <w:color w:val="050A30"/>
                <w:sz w:val="18"/>
                <w:szCs w:val="18"/>
              </w:rPr>
              <w:t xml:space="preserve">Compliance</w:t>
            </w:r>
          </w:p>
        </w:tc>
        <w:tc>
          <w:tcPr>
            <w:tcW w:type="dxa" w:w="3870"/>
            <w:tcMar>
              <w:top w:type="dxa" w:w="90"/>
              <w:left w:type="dxa" w:w="110"/>
              <w:bottom w:type="dxa" w:w="90"/>
              <w:right w:type="dxa" w:w="110"/>
            </w:tcMar>
          </w:tcPr>
          <w:p>
            <w:pPr>
              <w:spacing w:after="0" w:before="0" w:line="264" w:lineRule="auto"/>
            </w:pPr>
            <w:r>
              <w:rPr>
                <w:sz w:val="18"/>
                <w:szCs w:val="18"/>
              </w:rPr>
              <w:t xml:space="preserve">Neue Regulierung automatisch gegen die SFO abgleichen</w:t>
            </w:r>
          </w:p>
        </w:tc>
        <w:tc>
          <w:tcPr>
            <w:tcW w:type="dxa" w:w="3200"/>
            <w:tcMar>
              <w:top w:type="dxa" w:w="90"/>
              <w:left w:type="dxa" w:w="110"/>
              <w:bottom w:type="dxa" w:w="90"/>
              <w:right w:type="dxa" w:w="110"/>
            </w:tcMar>
          </w:tcPr>
          <w:p>
            <w:pPr>
              <w:spacing w:after="0" w:before="0" w:line="264" w:lineRule="auto"/>
            </w:pPr>
            <w:r>
              <w:rPr>
                <w:sz w:val="18"/>
                <w:szCs w:val="18"/>
              </w:rPr>
              <w:t xml:space="preserve">≥ 90 % der betroffenen Dokumente korrekt erkannt</w:t>
            </w:r>
          </w:p>
        </w:tc>
      </w:tr>
      <w:tr>
        <w:trPr>
          <w:cantSplit/>
        </w:trPr>
        <w:tc>
          <w:tcPr>
            <w:tcW w:type="dxa" w:w="2000"/>
            <w:tcMar>
              <w:top w:type="dxa" w:w="90"/>
              <w:left w:type="dxa" w:w="0"/>
              <w:bottom w:type="dxa" w:w="90"/>
              <w:right w:type="dxa" w:w="110"/>
            </w:tcMar>
          </w:tcPr>
          <w:p>
            <w:pPr>
              <w:spacing w:after="0" w:before="0" w:line="264" w:lineRule="auto"/>
            </w:pPr>
            <w:r>
              <w:rPr>
                <w:b/>
                <w:bCs/>
                <w:color w:val="050A30"/>
                <w:sz w:val="18"/>
                <w:szCs w:val="18"/>
              </w:rPr>
              <w:t xml:space="preserve">KfW IPEX-Bank</w:t>
            </w:r>
          </w:p>
        </w:tc>
        <w:tc>
          <w:tcPr>
            <w:tcW w:type="dxa" w:w="3870"/>
            <w:tcMar>
              <w:top w:type="dxa" w:w="90"/>
              <w:left w:type="dxa" w:w="110"/>
              <w:bottom w:type="dxa" w:w="90"/>
              <w:right w:type="dxa" w:w="110"/>
            </w:tcMar>
          </w:tcPr>
          <w:p>
            <w:pPr>
              <w:spacing w:after="0" w:before="0" w:line="264" w:lineRule="auto"/>
            </w:pPr>
            <w:r>
              <w:rPr>
                <w:sz w:val="18"/>
                <w:szCs w:val="18"/>
              </w:rPr>
              <w:t xml:space="preserve">Alternative ECA-Strukturen für Finanzierungsanfragen vorschlagen</w:t>
            </w:r>
          </w:p>
        </w:tc>
        <w:tc>
          <w:tcPr>
            <w:tcW w:type="dxa" w:w="3200"/>
            <w:tcMar>
              <w:top w:type="dxa" w:w="90"/>
              <w:left w:type="dxa" w:w="110"/>
              <w:bottom w:type="dxa" w:w="90"/>
              <w:right w:type="dxa" w:w="110"/>
            </w:tcMar>
          </w:tcPr>
          <w:p>
            <w:pPr>
              <w:spacing w:after="0" w:before="0" w:line="264" w:lineRule="auto"/>
            </w:pPr>
            <w:r>
              <w:rPr>
                <w:sz w:val="18"/>
                <w:szCs w:val="18"/>
              </w:rPr>
              <w:t xml:space="preserve">Zusätzliche, von Strukturierern als realistisch bewertete Optionen</w:t>
            </w:r>
          </w:p>
        </w:tc>
      </w:tr>
    </w:tbl>
    <w:p>
      <w:pPr>
        <w:spacing w:after="0" w:before="80" w:line="276" w:lineRule="auto"/>
      </w:pPr>
      <w:r>
        <w:rPr>
          <w:color w:val="6B7080"/>
          <w:sz w:val="16"/>
          <w:szCs w:val="16"/>
        </w:rPr>
        <w:t xml:space="preserve">Die Go-Kriterien sind Vorschläge und werden vor Pilotstart gemeinsam festgelegt.</w:t>
      </w:r>
    </w:p>
    <w:p>
      <w:pPr>
        <w:keepNext/>
        <w:pageBreakBefore/>
        <w:spacing w:after="40"/>
      </w:pPr>
      <w:r>
        <w:rPr>
          <w:color w:val="6B7080"/>
          <w:sz w:val="17"/>
          <w:szCs w:val="17"/>
        </w:rPr>
        <w:t xml:space="preserve">Überblick</w:t>
      </w:r>
    </w:p>
    <w:p>
      <w:pPr>
        <w:keepNext/>
        <w:pBdr>
          <w:bottom w:val="single" w:color="050A30" w:sz="6"/>
        </w:pBdr>
        <w:spacing w:after="160" w:line="264" w:lineRule="auto"/>
      </w:pPr>
      <w:r>
        <w:rPr>
          <w:rFonts w:ascii="Cambria" w:cs="Cambria" w:eastAsia="Cambria" w:hAnsi="Cambria"/>
          <w:color w:val="050A30"/>
          <w:sz w:val="36"/>
          <w:szCs w:val="36"/>
        </w:rPr>
        <w:t xml:space="preserve">Acht Anwendungsfälle</w:t>
      </w:r>
    </w:p>
    <w:p>
      <w:pPr>
        <w:spacing w:after="160" w:before="0" w:line="288" w:lineRule="auto"/>
      </w:pPr>
      <w:r>
        <w:t xml:space="preserve">Die ersten vier sind die empfohlenen Piloten. Die übrigen vier bauen auf denselben Bausteinen auf (Dokumente lesen, Quellen verknüpfen, Aussagen belegen) und eignen sich für eine zweite Welle.</w:t>
      </w:r>
    </w:p>
    <w:tbl>
      <w:tblPr>
        <w:tblW w:type="dxa" w:w="9070"/>
        <w:tblBorders>
          <w:top w:val="single" w:color="050A30" w:sz="6"/>
          <w:left w:val="none" w:color="FFFFFF" w:sz="0"/>
          <w:bottom w:val="single" w:color="050A30" w:sz="6"/>
          <w:right w:val="none" w:color="FFFFFF" w:sz="0"/>
          <w:insideH w:val="single" w:color="D6D9E1" w:sz="4"/>
          <w:insideV w:val="none" w:color="FFFFFF" w:sz="0"/>
        </w:tblBorders>
        <w:tblLayout w:type="fixed"/>
      </w:tblPr>
      <w:tblGrid>
        <w:gridCol w:w="450"/>
        <w:gridCol w:w="3000"/>
        <w:gridCol w:w="2300"/>
        <w:gridCol w:w="3320"/>
      </w:tblGrid>
      <w:tr>
        <w:trPr>
          <w:tblHeader/>
        </w:trPr>
        <w:tc>
          <w:tcPr>
            <w:tcW w:type="dxa" w:w="450"/>
            <w:tcMar>
              <w:top w:type="dxa" w:w="90"/>
              <w:left w:type="dxa" w:w="0"/>
              <w:bottom w:type="dxa" w:w="90"/>
              <w:right w:type="dxa" w:w="110"/>
            </w:tcMar>
          </w:tcPr>
          <w:p>
            <w:pPr>
              <w:spacing w:after="0"/>
            </w:pPr>
            <w:r>
              <w:rPr>
                <w:b/>
                <w:bCs/>
                <w:color w:val="6B7080"/>
                <w:sz w:val="16"/>
                <w:szCs w:val="16"/>
              </w:rPr>
              <w:t xml:space="preserve"/>
            </w:r>
          </w:p>
        </w:tc>
        <w:tc>
          <w:tcPr>
            <w:tcW w:type="dxa" w:w="3000"/>
            <w:tcMar>
              <w:top w:type="dxa" w:w="90"/>
              <w:left w:type="dxa" w:w="110"/>
              <w:bottom w:type="dxa" w:w="90"/>
              <w:right w:type="dxa" w:w="110"/>
            </w:tcMar>
          </w:tcPr>
          <w:p>
            <w:pPr>
              <w:spacing w:after="0"/>
            </w:pPr>
            <w:r>
              <w:rPr>
                <w:b/>
                <w:bCs/>
                <w:color w:val="6B7080"/>
                <w:sz w:val="16"/>
                <w:szCs w:val="16"/>
              </w:rPr>
              <w:t xml:space="preserve">Anwendungsfall</w:t>
            </w:r>
          </w:p>
        </w:tc>
        <w:tc>
          <w:tcPr>
            <w:tcW w:type="dxa" w:w="2300"/>
            <w:tcMar>
              <w:top w:type="dxa" w:w="90"/>
              <w:left w:type="dxa" w:w="110"/>
              <w:bottom w:type="dxa" w:w="90"/>
              <w:right w:type="dxa" w:w="110"/>
            </w:tcMar>
          </w:tcPr>
          <w:p>
            <w:pPr>
              <w:spacing w:after="0"/>
            </w:pPr>
            <w:r>
              <w:rPr>
                <w:b/>
                <w:bCs/>
                <w:color w:val="6B7080"/>
                <w:sz w:val="16"/>
                <w:szCs w:val="16"/>
              </w:rPr>
              <w:t xml:space="preserve">Bereich</w:t>
            </w:r>
          </w:p>
        </w:tc>
        <w:tc>
          <w:tcPr>
            <w:tcW w:type="dxa" w:w="3320"/>
            <w:tcMar>
              <w:top w:type="dxa" w:w="90"/>
              <w:left w:type="dxa" w:w="110"/>
              <w:bottom w:type="dxa" w:w="90"/>
              <w:right w:type="dxa" w:w="110"/>
            </w:tcMar>
          </w:tcPr>
          <w:p>
            <w:pPr>
              <w:spacing w:after="0"/>
            </w:pPr>
            <w:r>
              <w:rPr>
                <w:b/>
                <w:bCs/>
                <w:color w:val="6B7080"/>
                <w:sz w:val="16"/>
                <w:szCs w:val="16"/>
              </w:rPr>
              <w:t xml:space="preserve">Was es löst</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1</w:t>
            </w:r>
          </w:p>
        </w:tc>
        <w:tc>
          <w:tcPr>
            <w:tcW w:type="dxa" w:w="3000"/>
            <w:tcMar>
              <w:top w:type="dxa" w:w="90"/>
              <w:left w:type="dxa" w:w="110"/>
              <w:bottom w:type="dxa" w:w="90"/>
              <w:right w:type="dxa" w:w="110"/>
            </w:tcMar>
          </w:tcPr>
          <w:p>
            <w:pPr>
              <w:spacing w:after="0" w:before="0" w:line="264" w:lineRule="auto"/>
            </w:pPr>
            <w:r>
              <w:rPr>
                <w:b/>
                <w:bCs/>
                <w:color w:val="050A30"/>
                <w:sz w:val="19"/>
                <w:szCs w:val="19"/>
              </w:rPr>
              <w:t xml:space="preserve">Revisionsberichte</w:t>
            </w:r>
          </w:p>
        </w:tc>
        <w:tc>
          <w:tcPr>
            <w:tcW w:type="dxa" w:w="2300"/>
            <w:tcMar>
              <w:top w:type="dxa" w:w="90"/>
              <w:left w:type="dxa" w:w="110"/>
              <w:bottom w:type="dxa" w:w="90"/>
              <w:right w:type="dxa" w:w="110"/>
            </w:tcMar>
          </w:tcPr>
          <w:p>
            <w:pPr>
              <w:spacing w:after="0" w:before="0" w:line="264" w:lineRule="auto"/>
            </w:pPr>
            <w:r>
              <w:rPr>
                <w:sz w:val="19"/>
                <w:szCs w:val="19"/>
              </w:rPr>
              <w:t xml:space="preserve">Konzernrevision</w:t>
            </w:r>
          </w:p>
        </w:tc>
        <w:tc>
          <w:tcPr>
            <w:tcW w:type="dxa" w:w="3320"/>
            <w:tcMar>
              <w:top w:type="dxa" w:w="90"/>
              <w:left w:type="dxa" w:w="110"/>
              <w:bottom w:type="dxa" w:w="90"/>
              <w:right w:type="dxa" w:w="110"/>
            </w:tcMar>
          </w:tcPr>
          <w:p>
            <w:pPr>
              <w:spacing w:after="0" w:before="0" w:line="264" w:lineRule="auto"/>
            </w:pPr>
            <w:r>
              <w:rPr>
                <w:sz w:val="19"/>
                <w:szCs w:val="19"/>
              </w:rPr>
              <w:t xml:space="preserve">Weniger Zeit für Dokumentation, mehr für die Prüfung selbst</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2</w:t>
            </w:r>
          </w:p>
        </w:tc>
        <w:tc>
          <w:tcPr>
            <w:tcW w:type="dxa" w:w="3000"/>
            <w:tcMar>
              <w:top w:type="dxa" w:w="90"/>
              <w:left w:type="dxa" w:w="110"/>
              <w:bottom w:type="dxa" w:w="90"/>
              <w:right w:type="dxa" w:w="110"/>
            </w:tcMar>
          </w:tcPr>
          <w:p>
            <w:pPr>
              <w:spacing w:after="0" w:before="0" w:line="264" w:lineRule="auto"/>
            </w:pPr>
            <w:r>
              <w:rPr>
                <w:b/>
                <w:bCs/>
                <w:color w:val="050A30"/>
                <w:sz w:val="19"/>
                <w:szCs w:val="19"/>
              </w:rPr>
              <w:t xml:space="preserve">Security Testing &amp; Software-Alter</w:t>
            </w:r>
          </w:p>
        </w:tc>
        <w:tc>
          <w:tcPr>
            <w:tcW w:type="dxa" w:w="2300"/>
            <w:tcMar>
              <w:top w:type="dxa" w:w="90"/>
              <w:left w:type="dxa" w:w="110"/>
              <w:bottom w:type="dxa" w:w="90"/>
              <w:right w:type="dxa" w:w="110"/>
            </w:tcMar>
          </w:tcPr>
          <w:p>
            <w:pPr>
              <w:spacing w:after="0" w:before="0" w:line="264" w:lineRule="auto"/>
            </w:pPr>
            <w:r>
              <w:rPr>
                <w:sz w:val="19"/>
                <w:szCs w:val="19"/>
              </w:rPr>
              <w:t xml:space="preserve">CISO, IT-Security</w:t>
            </w:r>
          </w:p>
        </w:tc>
        <w:tc>
          <w:tcPr>
            <w:tcW w:type="dxa" w:w="3320"/>
            <w:tcMar>
              <w:top w:type="dxa" w:w="90"/>
              <w:left w:type="dxa" w:w="110"/>
              <w:bottom w:type="dxa" w:w="90"/>
              <w:right w:type="dxa" w:w="110"/>
            </w:tcMar>
          </w:tcPr>
          <w:p>
            <w:pPr>
              <w:spacing w:after="0" w:before="0" w:line="264" w:lineRule="auto"/>
            </w:pPr>
            <w:r>
              <w:rPr>
                <w:sz w:val="19"/>
                <w:szCs w:val="19"/>
              </w:rPr>
              <w:t xml:space="preserve">Laufende Sicht auf veraltete und angreifbare Software</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3</w:t>
            </w:r>
          </w:p>
        </w:tc>
        <w:tc>
          <w:tcPr>
            <w:tcW w:type="dxa" w:w="3000"/>
            <w:tcMar>
              <w:top w:type="dxa" w:w="90"/>
              <w:left w:type="dxa" w:w="110"/>
              <w:bottom w:type="dxa" w:w="90"/>
              <w:right w:type="dxa" w:w="110"/>
            </w:tcMar>
          </w:tcPr>
          <w:p>
            <w:pPr>
              <w:spacing w:after="0" w:before="0" w:line="264" w:lineRule="auto"/>
            </w:pPr>
            <w:r>
              <w:rPr>
                <w:b/>
                <w:bCs/>
                <w:color w:val="050A30"/>
                <w:sz w:val="19"/>
                <w:szCs w:val="19"/>
              </w:rPr>
              <w:t xml:space="preserve">Regulatorische Betroffenheit</w:t>
            </w:r>
          </w:p>
        </w:tc>
        <w:tc>
          <w:tcPr>
            <w:tcW w:type="dxa" w:w="2300"/>
            <w:tcMar>
              <w:top w:type="dxa" w:w="90"/>
              <w:left w:type="dxa" w:w="110"/>
              <w:bottom w:type="dxa" w:w="90"/>
              <w:right w:type="dxa" w:w="110"/>
            </w:tcMar>
          </w:tcPr>
          <w:p>
            <w:pPr>
              <w:spacing w:after="0" w:before="0" w:line="264" w:lineRule="auto"/>
            </w:pPr>
            <w:r>
              <w:rPr>
                <w:sz w:val="19"/>
                <w:szCs w:val="19"/>
              </w:rPr>
              <w:t xml:space="preserve">Compliance</w:t>
            </w:r>
          </w:p>
        </w:tc>
        <w:tc>
          <w:tcPr>
            <w:tcW w:type="dxa" w:w="3320"/>
            <w:tcMar>
              <w:top w:type="dxa" w:w="90"/>
              <w:left w:type="dxa" w:w="110"/>
              <w:bottom w:type="dxa" w:w="90"/>
              <w:right w:type="dxa" w:w="110"/>
            </w:tcMar>
          </w:tcPr>
          <w:p>
            <w:pPr>
              <w:spacing w:after="0" w:before="0" w:line="264" w:lineRule="auto"/>
            </w:pPr>
            <w:r>
              <w:rPr>
                <w:sz w:val="19"/>
                <w:szCs w:val="19"/>
              </w:rPr>
              <w:t xml:space="preserve">Schnell sehen, welche internen Regelungen sich ändern müssen</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4</w:t>
            </w:r>
          </w:p>
        </w:tc>
        <w:tc>
          <w:tcPr>
            <w:tcW w:type="dxa" w:w="3000"/>
            <w:tcMar>
              <w:top w:type="dxa" w:w="90"/>
              <w:left w:type="dxa" w:w="110"/>
              <w:bottom w:type="dxa" w:w="90"/>
              <w:right w:type="dxa" w:w="110"/>
            </w:tcMar>
          </w:tcPr>
          <w:p>
            <w:pPr>
              <w:spacing w:after="0" w:before="0" w:line="264" w:lineRule="auto"/>
            </w:pPr>
            <w:r>
              <w:rPr>
                <w:b/>
                <w:bCs/>
                <w:color w:val="050A30"/>
                <w:sz w:val="19"/>
                <w:szCs w:val="19"/>
              </w:rPr>
              <w:t xml:space="preserve">ECA-Strukturierung</w:t>
            </w:r>
          </w:p>
        </w:tc>
        <w:tc>
          <w:tcPr>
            <w:tcW w:type="dxa" w:w="2300"/>
            <w:tcMar>
              <w:top w:type="dxa" w:w="90"/>
              <w:left w:type="dxa" w:w="110"/>
              <w:bottom w:type="dxa" w:w="90"/>
              <w:right w:type="dxa" w:w="110"/>
            </w:tcMar>
          </w:tcPr>
          <w:p>
            <w:pPr>
              <w:spacing w:after="0" w:before="0" w:line="264" w:lineRule="auto"/>
            </w:pPr>
            <w:r>
              <w:rPr>
                <w:sz w:val="19"/>
                <w:szCs w:val="19"/>
              </w:rPr>
              <w:t xml:space="preserve">KfW IPEX-Bank</w:t>
            </w:r>
          </w:p>
        </w:tc>
        <w:tc>
          <w:tcPr>
            <w:tcW w:type="dxa" w:w="3320"/>
            <w:tcMar>
              <w:top w:type="dxa" w:w="90"/>
              <w:left w:type="dxa" w:w="110"/>
              <w:bottom w:type="dxa" w:w="90"/>
              <w:right w:type="dxa" w:w="110"/>
            </w:tcMar>
          </w:tcPr>
          <w:p>
            <w:pPr>
              <w:spacing w:after="0" w:before="0" w:line="264" w:lineRule="auto"/>
            </w:pPr>
            <w:r>
              <w:rPr>
                <w:sz w:val="19"/>
                <w:szCs w:val="19"/>
              </w:rPr>
              <w:t xml:space="preserve">Mehr Strukturierungsoptionen je Anfrage, mehr Mandate</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5</w:t>
            </w:r>
          </w:p>
        </w:tc>
        <w:tc>
          <w:tcPr>
            <w:tcW w:type="dxa" w:w="3000"/>
            <w:tcMar>
              <w:top w:type="dxa" w:w="90"/>
              <w:left w:type="dxa" w:w="110"/>
              <w:bottom w:type="dxa" w:w="90"/>
              <w:right w:type="dxa" w:w="110"/>
            </w:tcMar>
          </w:tcPr>
          <w:p>
            <w:pPr>
              <w:spacing w:after="0" w:before="0" w:line="264" w:lineRule="auto"/>
            </w:pPr>
            <w:r>
              <w:rPr>
                <w:sz w:val="19"/>
                <w:szCs w:val="19"/>
              </w:rPr>
              <w:t xml:space="preserve">Drittparteien-Abhängigkeiten</w:t>
            </w:r>
          </w:p>
        </w:tc>
        <w:tc>
          <w:tcPr>
            <w:tcW w:type="dxa" w:w="2300"/>
            <w:tcMar>
              <w:top w:type="dxa" w:w="90"/>
              <w:left w:type="dxa" w:w="110"/>
              <w:bottom w:type="dxa" w:w="90"/>
              <w:right w:type="dxa" w:w="110"/>
            </w:tcMar>
          </w:tcPr>
          <w:p>
            <w:pPr>
              <w:spacing w:after="0" w:before="0" w:line="264" w:lineRule="auto"/>
            </w:pPr>
            <w:r>
              <w:rPr>
                <w:sz w:val="19"/>
                <w:szCs w:val="19"/>
              </w:rPr>
              <w:t xml:space="preserve">IT-Risiko, Auslagerung</w:t>
            </w:r>
          </w:p>
        </w:tc>
        <w:tc>
          <w:tcPr>
            <w:tcW w:type="dxa" w:w="3320"/>
            <w:tcMar>
              <w:top w:type="dxa" w:w="90"/>
              <w:left w:type="dxa" w:w="110"/>
              <w:bottom w:type="dxa" w:w="90"/>
              <w:right w:type="dxa" w:w="110"/>
            </w:tcMar>
          </w:tcPr>
          <w:p>
            <w:pPr>
              <w:spacing w:after="0" w:before="0" w:line="264" w:lineRule="auto"/>
            </w:pPr>
            <w:r>
              <w:rPr>
                <w:sz w:val="19"/>
                <w:szCs w:val="19"/>
              </w:rPr>
              <w:t xml:space="preserve">Bei einem Dienstleisterausfall sofort wissen, was betroffen ist</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6</w:t>
            </w:r>
          </w:p>
        </w:tc>
        <w:tc>
          <w:tcPr>
            <w:tcW w:type="dxa" w:w="3000"/>
            <w:tcMar>
              <w:top w:type="dxa" w:w="90"/>
              <w:left w:type="dxa" w:w="110"/>
              <w:bottom w:type="dxa" w:w="90"/>
              <w:right w:type="dxa" w:w="110"/>
            </w:tcMar>
          </w:tcPr>
          <w:p>
            <w:pPr>
              <w:spacing w:after="0" w:before="0" w:line="264" w:lineRule="auto"/>
            </w:pPr>
            <w:r>
              <w:rPr>
                <w:sz w:val="19"/>
                <w:szCs w:val="19"/>
              </w:rPr>
              <w:t xml:space="preserve">Laufende Kontrollüberwachung</w:t>
            </w:r>
          </w:p>
        </w:tc>
        <w:tc>
          <w:tcPr>
            <w:tcW w:type="dxa" w:w="2300"/>
            <w:tcMar>
              <w:top w:type="dxa" w:w="90"/>
              <w:left w:type="dxa" w:w="110"/>
              <w:bottom w:type="dxa" w:w="90"/>
              <w:right w:type="dxa" w:w="110"/>
            </w:tcMar>
          </w:tcPr>
          <w:p>
            <w:pPr>
              <w:spacing w:after="0" w:before="0" w:line="264" w:lineRule="auto"/>
            </w:pPr>
            <w:r>
              <w:rPr>
                <w:sz w:val="19"/>
                <w:szCs w:val="19"/>
              </w:rPr>
              <w:t xml:space="preserve">IKS, OpRisk</w:t>
            </w:r>
          </w:p>
        </w:tc>
        <w:tc>
          <w:tcPr>
            <w:tcW w:type="dxa" w:w="3320"/>
            <w:tcMar>
              <w:top w:type="dxa" w:w="90"/>
              <w:left w:type="dxa" w:w="110"/>
              <w:bottom w:type="dxa" w:w="90"/>
              <w:right w:type="dxa" w:w="110"/>
            </w:tcMar>
          </w:tcPr>
          <w:p>
            <w:pPr>
              <w:spacing w:after="0" w:before="0" w:line="264" w:lineRule="auto"/>
            </w:pPr>
            <w:r>
              <w:rPr>
                <w:sz w:val="19"/>
                <w:szCs w:val="19"/>
              </w:rPr>
              <w:t xml:space="preserve">Abweichungen erkennen, wenn sie entstehen</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7</w:t>
            </w:r>
          </w:p>
        </w:tc>
        <w:tc>
          <w:tcPr>
            <w:tcW w:type="dxa" w:w="3000"/>
            <w:tcMar>
              <w:top w:type="dxa" w:w="90"/>
              <w:left w:type="dxa" w:w="110"/>
              <w:bottom w:type="dxa" w:w="90"/>
              <w:right w:type="dxa" w:w="110"/>
            </w:tcMar>
          </w:tcPr>
          <w:p>
            <w:pPr>
              <w:spacing w:after="0" w:before="0" w:line="264" w:lineRule="auto"/>
            </w:pPr>
            <w:r>
              <w:rPr>
                <w:sz w:val="19"/>
                <w:szCs w:val="19"/>
              </w:rPr>
              <w:t xml:space="preserve">Frühwarnung Projektfinanzierung</w:t>
            </w:r>
          </w:p>
        </w:tc>
        <w:tc>
          <w:tcPr>
            <w:tcW w:type="dxa" w:w="2300"/>
            <w:tcMar>
              <w:top w:type="dxa" w:w="90"/>
              <w:left w:type="dxa" w:w="110"/>
              <w:bottom w:type="dxa" w:w="90"/>
              <w:right w:type="dxa" w:w="110"/>
            </w:tcMar>
          </w:tcPr>
          <w:p>
            <w:pPr>
              <w:spacing w:after="0" w:before="0" w:line="264" w:lineRule="auto"/>
            </w:pPr>
            <w:r>
              <w:rPr>
                <w:sz w:val="19"/>
                <w:szCs w:val="19"/>
              </w:rPr>
              <w:t xml:space="preserve">IPEX Kreditrisiko</w:t>
            </w:r>
          </w:p>
        </w:tc>
        <w:tc>
          <w:tcPr>
            <w:tcW w:type="dxa" w:w="3320"/>
            <w:tcMar>
              <w:top w:type="dxa" w:w="90"/>
              <w:left w:type="dxa" w:w="110"/>
              <w:bottom w:type="dxa" w:w="90"/>
              <w:right w:type="dxa" w:w="110"/>
            </w:tcMar>
          </w:tcPr>
          <w:p>
            <w:pPr>
              <w:spacing w:after="0" w:before="0" w:line="264" w:lineRule="auto"/>
            </w:pPr>
            <w:r>
              <w:rPr>
                <w:sz w:val="19"/>
                <w:szCs w:val="19"/>
              </w:rPr>
              <w:t xml:space="preserve">Warnsignale im Portfolio früher zusammenführen</w:t>
            </w:r>
          </w:p>
        </w:tc>
      </w:tr>
      <w:tr>
        <w:trPr>
          <w:cantSplit/>
        </w:trPr>
        <w:tc>
          <w:tcPr>
            <w:tcW w:type="dxa" w:w="450"/>
            <w:tcMar>
              <w:top w:type="dxa" w:w="90"/>
              <w:left w:type="dxa" w:w="0"/>
              <w:bottom w:type="dxa" w:w="90"/>
              <w:right w:type="dxa" w:w="110"/>
            </w:tcMar>
          </w:tcPr>
          <w:p>
            <w:pPr>
              <w:spacing w:after="0" w:before="0" w:line="264" w:lineRule="auto"/>
            </w:pPr>
            <w:r>
              <w:rPr>
                <w:sz w:val="19"/>
                <w:szCs w:val="19"/>
              </w:rPr>
              <w:t xml:space="preserve">8</w:t>
            </w:r>
          </w:p>
        </w:tc>
        <w:tc>
          <w:tcPr>
            <w:tcW w:type="dxa" w:w="3000"/>
            <w:tcMar>
              <w:top w:type="dxa" w:w="90"/>
              <w:left w:type="dxa" w:w="110"/>
              <w:bottom w:type="dxa" w:w="90"/>
              <w:right w:type="dxa" w:w="110"/>
            </w:tcMar>
          </w:tcPr>
          <w:p>
            <w:pPr>
              <w:spacing w:after="0" w:before="0" w:line="264" w:lineRule="auto"/>
            </w:pPr>
            <w:r>
              <w:rPr>
                <w:sz w:val="19"/>
                <w:szCs w:val="19"/>
              </w:rPr>
              <w:t xml:space="preserve">Syndizierung</w:t>
            </w:r>
          </w:p>
        </w:tc>
        <w:tc>
          <w:tcPr>
            <w:tcW w:type="dxa" w:w="2300"/>
            <w:tcMar>
              <w:top w:type="dxa" w:w="90"/>
              <w:left w:type="dxa" w:w="110"/>
              <w:bottom w:type="dxa" w:w="90"/>
              <w:right w:type="dxa" w:w="110"/>
            </w:tcMar>
          </w:tcPr>
          <w:p>
            <w:pPr>
              <w:spacing w:after="0" w:before="0" w:line="264" w:lineRule="auto"/>
            </w:pPr>
            <w:r>
              <w:rPr>
                <w:sz w:val="19"/>
                <w:szCs w:val="19"/>
              </w:rPr>
              <w:t xml:space="preserve">IPEX Syndizierung, Treasury</w:t>
            </w:r>
          </w:p>
        </w:tc>
        <w:tc>
          <w:tcPr>
            <w:tcW w:type="dxa" w:w="3320"/>
            <w:tcMar>
              <w:top w:type="dxa" w:w="90"/>
              <w:left w:type="dxa" w:w="110"/>
              <w:bottom w:type="dxa" w:w="90"/>
              <w:right w:type="dxa" w:w="110"/>
            </w:tcMar>
          </w:tcPr>
          <w:p>
            <w:pPr>
              <w:spacing w:after="0" w:before="0" w:line="264" w:lineRule="auto"/>
            </w:pPr>
            <w:r>
              <w:rPr>
                <w:sz w:val="19"/>
                <w:szCs w:val="19"/>
              </w:rPr>
              <w:t xml:space="preserve">Passende Partner und Strukturen schneller finden</w:t>
            </w:r>
          </w:p>
        </w:tc>
      </w:tr>
    </w:tbl>
    <w:p>
      <w:pPr>
        <w:keepNext/>
        <w:pageBreakBefore/>
        <w:spacing w:after="40"/>
      </w:pPr>
      <w:r>
        <w:rPr>
          <w:color w:val="6B7080"/>
          <w:sz w:val="17"/>
          <w:szCs w:val="17"/>
        </w:rPr>
        <w:t xml:space="preserve">Pilot 1 von 4</w:t>
      </w:r>
    </w:p>
    <w:p>
      <w:pPr>
        <w:keepNext/>
        <w:pBdr>
          <w:bottom w:val="single" w:color="050A30" w:sz="6"/>
        </w:pBdr>
        <w:spacing w:after="160" w:line="264" w:lineRule="auto"/>
      </w:pPr>
      <w:r>
        <w:rPr>
          <w:rFonts w:ascii="Cambria" w:cs="Cambria" w:eastAsia="Cambria" w:hAnsi="Cambria"/>
          <w:color w:val="050A30"/>
          <w:sz w:val="36"/>
          <w:szCs w:val="36"/>
        </w:rPr>
        <w:t xml:space="preserve">Revisionsberichte</w:t>
      </w:r>
    </w:p>
    <w:p>
      <w:pPr>
        <w:spacing w:after="60"/>
      </w:pPr>
      <w:r>
        <w:rPr>
          <w:color w:val="6B7080"/>
          <w:sz w:val="18"/>
          <w:szCs w:val="18"/>
        </w:rPr>
        <w:t xml:space="preserve">Konzernrevision</w:t>
      </w:r>
    </w:p>
    <w:p>
      <w:pPr>
        <w:keepNext/>
        <w:spacing w:after="80" w:before="240" w:line="288" w:lineRule="auto"/>
      </w:pPr>
      <w:r>
        <w:rPr>
          <w:b/>
          <w:bCs/>
          <w:color w:val="050A30"/>
          <w:sz w:val="20"/>
          <w:szCs w:val="20"/>
        </w:rPr>
        <w:t xml:space="preserve">Problem</w:t>
      </w:r>
    </w:p>
    <w:p>
      <w:pPr>
        <w:spacing w:after="120" w:before="0" w:line="288" w:lineRule="auto"/>
      </w:pPr>
      <w:r>
        <w:t xml:space="preserve">Die Konzernrevision hat rund 100 Beschäftigte und führt etwa 60 Prüfungen im Jahr durch. Ein großer Teil der Arbeit fällt nach der eigentlichen Prüfung an: Protokolle ordnen, Nachweise zuordnen, Feststellungen formulieren, Berichte abstimmen. Diese Zeit fehlt für die Risikobewertung.</w:t>
      </w:r>
    </w:p>
    <w:p>
      <w:pPr>
        <w:keepNext/>
        <w:spacing w:after="80" w:before="240" w:line="288" w:lineRule="auto"/>
      </w:pPr>
      <w:r>
        <w:rPr>
          <w:b/>
          <w:bCs/>
          <w:color w:val="050A30"/>
          <w:sz w:val="20"/>
          <w:szCs w:val="20"/>
        </w:rPr>
        <w:t xml:space="preserve">Lösung</w:t>
      </w:r>
    </w:p>
    <w:p>
      <w:pPr>
        <w:pStyle w:val="ListParagraph"/>
        <w:keepLines/>
        <w:numPr>
          <w:ilvl w:val="0"/>
          <w:numId w:val="2"/>
        </w:numPr>
        <w:spacing w:after="60" w:line="288" w:lineRule="auto"/>
      </w:pPr>
      <w:r>
        <w:t xml:space="preserve">Das System liest Prüfprogramm, einschlägige Richtlinien, Nachweise, Interviewprotokolle und Testergebnisse ein.</w:t>
      </w:r>
    </w:p>
    <w:p>
      <w:pPr>
        <w:pStyle w:val="ListParagraph"/>
        <w:keepLines/>
        <w:numPr>
          <w:ilvl w:val="0"/>
          <w:numId w:val="2"/>
        </w:numPr>
        <w:spacing w:after="60" w:line="288" w:lineRule="auto"/>
      </w:pPr>
      <w:r>
        <w:t xml:space="preserve">Es entwirft Feststellungen und Bericht. Jede Aussage verweist auf den zugehörigen Nachweis.</w:t>
      </w:r>
    </w:p>
    <w:p>
      <w:pPr>
        <w:pStyle w:val="ListParagraph"/>
        <w:keepLines/>
        <w:numPr>
          <w:ilvl w:val="0"/>
          <w:numId w:val="2"/>
        </w:numPr>
        <w:spacing w:after="60" w:line="288" w:lineRule="auto"/>
      </w:pPr>
      <w:r>
        <w:t xml:space="preserve">Aussagen ohne Beleg und widersprüchliche Angaben werden markiert.</w:t>
      </w:r>
    </w:p>
    <w:p>
      <w:pPr>
        <w:pStyle w:val="ListParagraph"/>
        <w:keepLines/>
        <w:numPr>
          <w:ilvl w:val="0"/>
          <w:numId w:val="2"/>
        </w:numPr>
        <w:spacing w:after="60" w:line="288" w:lineRule="auto"/>
      </w:pPr>
      <w:r>
        <w:t xml:space="preserve">Bewertung und Freigabe bleiben bei den Revisorinnen und Revisoren.</w:t>
      </w:r>
    </w:p>
    <w:p>
      <w:pPr>
        <w:spacing w:after="140"/>
      </w:pPr>
    </w:p>
    <w:tbl>
      <w:tblPr>
        <w:tblW w:type="dxa" w:w="9070"/>
        <w:tblBorders>
          <w:top w:val="single" w:color="050A30" w:sz="6"/>
          <w:left w:val="none" w:color="FFFFFF" w:sz="0"/>
          <w:bottom w:val="single" w:color="D6D9E1" w:sz="4"/>
          <w:right w:val="none" w:color="FFFFFF" w:sz="0"/>
          <w:insideH w:val="single" w:color="D6D9E1" w:sz="4"/>
          <w:insideV w:val="none" w:color="FFFFFF" w:sz="0"/>
        </w:tblBorders>
        <w:tblLayout w:type="fixed"/>
      </w:tblPr>
      <w:tblGrid>
        <w:gridCol w:w="1900"/>
        <w:gridCol w:w="7170"/>
      </w:tblGrid>
      <w:tr>
        <w:trPr>
          <w:cantSplit/>
        </w:trPr>
        <w:tc>
          <w:tcPr>
            <w:tcW w:type="dxa" w:w="1900"/>
            <w:tcMar>
              <w:top w:type="dxa" w:w="100"/>
              <w:left w:type="dxa" w:w="0"/>
              <w:bottom w:type="dxa" w:w="100"/>
              <w:right w:type="dxa" w:w="120"/>
            </w:tcMar>
          </w:tcPr>
          <w:p>
            <w:r>
              <w:rPr>
                <w:b/>
                <w:bCs/>
                <w:color w:val="050A30"/>
                <w:sz w:val="18"/>
                <w:szCs w:val="18"/>
              </w:rPr>
              <w:t xml:space="preserve">Pilot</w:t>
            </w:r>
          </w:p>
        </w:tc>
        <w:tc>
          <w:tcPr>
            <w:tcW w:type="dxa" w:w="7170"/>
            <w:tcMar>
              <w:top w:type="dxa" w:w="100"/>
              <w:left w:type="dxa" w:w="120"/>
              <w:bottom w:type="dxa" w:w="100"/>
              <w:right w:type="dxa" w:w="0"/>
            </w:tcMar>
          </w:tcPr>
          <w:p>
            <w:pPr>
              <w:spacing w:after="0" w:line="276" w:lineRule="auto"/>
            </w:pPr>
            <w:r>
              <w:rPr>
                <w:sz w:val="19"/>
                <w:szCs w:val="19"/>
              </w:rPr>
              <w:t xml:space="preserve">Fünf bis zehn abgeschlossene Prüfungen mit den Originalunterlagen nachbauen. Ergebnis mit den freigegebenen Berichten vergleichen.</w:t>
            </w:r>
          </w:p>
        </w:tc>
      </w:tr>
      <w:tr>
        <w:trPr>
          <w:cantSplit/>
        </w:trPr>
        <w:tc>
          <w:tcPr>
            <w:tcW w:type="dxa" w:w="1900"/>
            <w:tcMar>
              <w:top w:type="dxa" w:w="100"/>
              <w:left w:type="dxa" w:w="0"/>
              <w:bottom w:type="dxa" w:w="100"/>
              <w:right w:type="dxa" w:w="120"/>
            </w:tcMar>
          </w:tcPr>
          <w:p>
            <w:r>
              <w:rPr>
                <w:b/>
                <w:bCs/>
                <w:color w:val="050A30"/>
                <w:sz w:val="18"/>
                <w:szCs w:val="18"/>
              </w:rPr>
              <w:t xml:space="preserve">Messgrößen</w:t>
            </w:r>
          </w:p>
        </w:tc>
        <w:tc>
          <w:tcPr>
            <w:tcW w:type="dxa" w:w="7170"/>
            <w:tcMar>
              <w:top w:type="dxa" w:w="100"/>
              <w:left w:type="dxa" w:w="120"/>
              <w:bottom w:type="dxa" w:w="100"/>
              <w:right w:type="dxa" w:w="0"/>
            </w:tcMar>
          </w:tcPr>
          <w:p>
            <w:pPr>
              <w:spacing w:after="0" w:line="276" w:lineRule="auto"/>
            </w:pPr>
            <w:r>
              <w:rPr>
                <w:sz w:val="19"/>
                <w:szCs w:val="19"/>
              </w:rPr>
              <w:t xml:space="preserve">Zeit je Bericht, Überarbeitungsschleifen, Anteil belegter Aussagen, Zeit von Prüfungsende bis Freigabe.</w:t>
            </w:r>
          </w:p>
        </w:tc>
      </w:tr>
      <w:tr>
        <w:trPr>
          <w:cantSplit/>
        </w:trPr>
        <w:tc>
          <w:tcPr>
            <w:tcW w:type="dxa" w:w="1900"/>
            <w:tcMar>
              <w:top w:type="dxa" w:w="100"/>
              <w:left w:type="dxa" w:w="0"/>
              <w:bottom w:type="dxa" w:w="100"/>
              <w:right w:type="dxa" w:w="120"/>
            </w:tcMar>
          </w:tcPr>
          <w:p>
            <w:r>
              <w:rPr>
                <w:b/>
                <w:bCs/>
                <w:color w:val="050A30"/>
                <w:sz w:val="18"/>
                <w:szCs w:val="18"/>
              </w:rPr>
              <w:t xml:space="preserve">Rechnung</w:t>
            </w:r>
          </w:p>
        </w:tc>
        <w:tc>
          <w:tcPr>
            <w:tcW w:type="dxa" w:w="7170"/>
            <w:tcMar>
              <w:top w:type="dxa" w:w="100"/>
              <w:left w:type="dxa" w:w="120"/>
              <w:bottom w:type="dxa" w:w="100"/>
              <w:right w:type="dxa" w:w="0"/>
            </w:tcMar>
          </w:tcPr>
          <w:p>
            <w:pPr>
              <w:spacing w:after="0" w:line="276" w:lineRule="auto"/>
            </w:pPr>
            <w:r>
              <w:rPr>
                <w:sz w:val="19"/>
                <w:szCs w:val="19"/>
              </w:rPr>
              <w:t xml:space="preserve">60 Prüfungen × 20 Stunden Ersparnis = </w:t>
            </w:r>
            <w:r>
              <w:rPr>
                <w:b/>
                <w:bCs/>
                <w:color w:val="050A30"/>
                <w:sz w:val="19"/>
                <w:szCs w:val="19"/>
              </w:rPr>
              <w:t xml:space="preserve">1.200 Stunden pro Jahr</w:t>
            </w:r>
            <w:r>
              <w:rPr>
                <w:sz w:val="19"/>
                <w:szCs w:val="19"/>
              </w:rPr>
              <w:t xml:space="preserve">, bei 100 € je Stunde </w:t>
            </w:r>
            <w:r>
              <w:rPr>
                <w:b/>
                <w:bCs/>
                <w:color w:val="050A30"/>
                <w:sz w:val="19"/>
                <w:szCs w:val="19"/>
              </w:rPr>
              <w:t xml:space="preserve">rund 120.000 €</w:t>
            </w:r>
            <w:r>
              <w:rPr>
                <w:sz w:val="19"/>
                <w:szCs w:val="19"/>
              </w:rPr>
              <w:t xml:space="preserve">. Beides sind Annahmen, die der Pilot prüft.</w:t>
            </w:r>
          </w:p>
        </w:tc>
      </w:tr>
    </w:tbl>
    <w:p>
      <w:pPr>
        <w:keepNext/>
        <w:pageBreakBefore/>
        <w:spacing w:after="40"/>
      </w:pPr>
      <w:r>
        <w:rPr>
          <w:color w:val="6B7080"/>
          <w:sz w:val="17"/>
          <w:szCs w:val="17"/>
        </w:rPr>
        <w:t xml:space="preserve">Pilot 2 von 4</w:t>
      </w:r>
    </w:p>
    <w:p>
      <w:pPr>
        <w:keepNext/>
        <w:pBdr>
          <w:bottom w:val="single" w:color="050A30" w:sz="6"/>
        </w:pBdr>
        <w:spacing w:after="160" w:line="264" w:lineRule="auto"/>
      </w:pPr>
      <w:r>
        <w:rPr>
          <w:rFonts w:ascii="Cambria" w:cs="Cambria" w:eastAsia="Cambria" w:hAnsi="Cambria"/>
          <w:color w:val="050A30"/>
          <w:sz w:val="36"/>
          <w:szCs w:val="36"/>
        </w:rPr>
        <w:t xml:space="preserve">Security Testing und Software-Alter</w:t>
      </w:r>
    </w:p>
    <w:p>
      <w:pPr>
        <w:spacing w:after="60"/>
      </w:pPr>
      <w:r>
        <w:rPr>
          <w:color w:val="6B7080"/>
          <w:sz w:val="18"/>
          <w:szCs w:val="18"/>
        </w:rPr>
        <w:t xml:space="preserve">CISO, IT-Security, IT-Risikomanagement</w:t>
      </w:r>
    </w:p>
    <w:p>
      <w:pPr>
        <w:keepNext/>
        <w:spacing w:after="80" w:before="240" w:line="288" w:lineRule="auto"/>
      </w:pPr>
      <w:r>
        <w:rPr>
          <w:b/>
          <w:bCs/>
          <w:color w:val="050A30"/>
          <w:sz w:val="20"/>
          <w:szCs w:val="20"/>
        </w:rPr>
        <w:t xml:space="preserve">Problem</w:t>
      </w:r>
    </w:p>
    <w:p>
      <w:pPr>
        <w:spacing w:after="120" w:before="0" w:line="288" w:lineRule="auto"/>
      </w:pPr>
      <w:r>
        <w:t xml:space="preserve">Im Finanzbericht 2025 nennt die KfW Cyberangriffe und fehlerhafte Systemänderungen als zentrale IKT-Risiken. Penetrationstests geben ein Bild zu einem Zeitpunkt. Was oft fehlt, ist eine laufende Antwort auf einfache Fragen: Welche Anwendungen nutzen Komponenten ohne Herstellersupport? Welche haben bekannte, ausnutzbare Schwachstellen? Welche davon sind von außen erreichbar?</w:t>
      </w:r>
    </w:p>
    <w:p>
      <w:pPr>
        <w:keepNext/>
        <w:spacing w:after="80" w:before="240" w:line="288" w:lineRule="auto"/>
      </w:pPr>
      <w:r>
        <w:rPr>
          <w:b/>
          <w:bCs/>
          <w:color w:val="050A30"/>
          <w:sz w:val="20"/>
          <w:szCs w:val="20"/>
        </w:rPr>
        <w:t xml:space="preserve">Lösung</w:t>
      </w:r>
    </w:p>
    <w:p>
      <w:pPr>
        <w:pStyle w:val="ListParagraph"/>
        <w:keepLines/>
        <w:numPr>
          <w:ilvl w:val="0"/>
          <w:numId w:val="3"/>
        </w:numPr>
        <w:spacing w:after="60" w:line="288" w:lineRule="auto"/>
      </w:pPr>
      <w:r>
        <w:t xml:space="preserve">Komponenteninventar (SBOM) je Anwendung aus Repositories und Build-Artefakten erstellen.</w:t>
      </w:r>
    </w:p>
    <w:p>
      <w:pPr>
        <w:pStyle w:val="ListParagraph"/>
        <w:keepLines/>
        <w:numPr>
          <w:ilvl w:val="0"/>
          <w:numId w:val="3"/>
        </w:numPr>
        <w:spacing w:after="60" w:line="288" w:lineRule="auto"/>
      </w:pPr>
      <w:r>
        <w:t xml:space="preserve">Abgleich mit Schwachstellendatenbanken, Supportstatus und dem CISA-Katalog aktiv ausgenutzter Schwachstellen.</w:t>
      </w:r>
    </w:p>
    <w:p>
      <w:pPr>
        <w:pStyle w:val="ListParagraph"/>
        <w:keepLines/>
        <w:numPr>
          <w:ilvl w:val="0"/>
          <w:numId w:val="3"/>
        </w:numPr>
        <w:spacing w:after="60" w:line="288" w:lineRule="auto"/>
      </w:pPr>
      <w:r>
        <w:t xml:space="preserve">Priorisierung nach Erreichbarkeit und Schutzbedarf der Anwendung.</w:t>
      </w:r>
    </w:p>
    <w:p>
      <w:pPr>
        <w:pStyle w:val="ListParagraph"/>
        <w:keepLines/>
        <w:numPr>
          <w:ilvl w:val="0"/>
          <w:numId w:val="3"/>
        </w:numPr>
        <w:spacing w:after="60" w:line="288" w:lineRule="auto"/>
      </w:pPr>
      <w:r>
        <w:t xml:space="preserve">Automatisierte Tests nur in freigegebenen, isolierten Umgebungen; Nachtest nach jeder Behebung.</w:t>
      </w:r>
    </w:p>
    <w:p>
      <w:pPr>
        <w:keepNext/>
        <w:spacing w:after="80" w:before="240" w:line="288" w:lineRule="auto"/>
      </w:pPr>
      <w:r>
        <w:rPr>
          <w:b/>
          <w:bCs/>
          <w:color w:val="050A30"/>
          <w:sz w:val="20"/>
          <w:szCs w:val="20"/>
        </w:rPr>
        <w:t xml:space="preserve">Neu: Software- und Code-Alter je Anwendung</w:t>
      </w:r>
    </w:p>
    <w:tbl>
      <w:tblPr>
        <w:tblW w:type="dxa" w:w="9070"/>
        <w:tblBorders>
          <w:top w:val="single" w:color="050A30" w:sz="6"/>
          <w:left w:val="none" w:color="FFFFFF" w:sz="0"/>
          <w:bottom w:val="single" w:color="050A30" w:sz="6"/>
          <w:right w:val="none" w:color="FFFFFF" w:sz="0"/>
          <w:insideH w:val="single" w:color="D6D9E1" w:sz="4"/>
          <w:insideV w:val="none" w:color="FFFFFF" w:sz="0"/>
        </w:tblBorders>
        <w:tblLayout w:type="fixed"/>
      </w:tblPr>
      <w:tblGrid>
        <w:gridCol w:w="3000"/>
        <w:gridCol w:w="6070"/>
      </w:tblGrid>
      <w:tr>
        <w:trPr>
          <w:tblHeader/>
        </w:trPr>
        <w:tc>
          <w:tcPr>
            <w:tcW w:type="dxa" w:w="3000"/>
            <w:tcMar>
              <w:top w:type="dxa" w:w="90"/>
              <w:left w:type="dxa" w:w="0"/>
              <w:bottom w:type="dxa" w:w="90"/>
              <w:right w:type="dxa" w:w="110"/>
            </w:tcMar>
          </w:tcPr>
          <w:p>
            <w:pPr>
              <w:spacing w:after="0"/>
            </w:pPr>
            <w:r>
              <w:rPr>
                <w:b/>
                <w:bCs/>
                <w:color w:val="6B7080"/>
                <w:sz w:val="16"/>
                <w:szCs w:val="16"/>
              </w:rPr>
              <w:t xml:space="preserve">Kennzahl</w:t>
            </w:r>
          </w:p>
        </w:tc>
        <w:tc>
          <w:tcPr>
            <w:tcW w:type="dxa" w:w="6070"/>
            <w:tcMar>
              <w:top w:type="dxa" w:w="90"/>
              <w:left w:type="dxa" w:w="110"/>
              <w:bottom w:type="dxa" w:w="90"/>
              <w:right w:type="dxa" w:w="110"/>
            </w:tcMar>
          </w:tcPr>
          <w:p>
            <w:pPr>
              <w:spacing w:after="0"/>
            </w:pPr>
            <w:r>
              <w:rPr>
                <w:b/>
                <w:bCs/>
                <w:color w:val="6B7080"/>
                <w:sz w:val="16"/>
                <w:szCs w:val="16"/>
              </w:rPr>
              <w:t xml:space="preserve">Bedeutung</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Software-Alter</w:t>
            </w:r>
          </w:p>
        </w:tc>
        <w:tc>
          <w:tcPr>
            <w:tcW w:type="dxa" w:w="6070"/>
            <w:tcMar>
              <w:top w:type="dxa" w:w="90"/>
              <w:left w:type="dxa" w:w="110"/>
              <w:bottom w:type="dxa" w:w="90"/>
              <w:right w:type="dxa" w:w="110"/>
            </w:tcMar>
          </w:tcPr>
          <w:p>
            <w:pPr>
              <w:spacing w:after="0" w:before="0" w:line="264" w:lineRule="auto"/>
            </w:pPr>
            <w:r>
              <w:rPr>
                <w:sz w:val="18"/>
                <w:szCs w:val="18"/>
              </w:rPr>
              <w:t xml:space="preserve">Zeit seit Erstinbetriebnahme</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Code-Alter</w:t>
            </w:r>
          </w:p>
        </w:tc>
        <w:tc>
          <w:tcPr>
            <w:tcW w:type="dxa" w:w="6070"/>
            <w:tcMar>
              <w:top w:type="dxa" w:w="90"/>
              <w:left w:type="dxa" w:w="110"/>
              <w:bottom w:type="dxa" w:w="90"/>
              <w:right w:type="dxa" w:w="110"/>
            </w:tcMar>
          </w:tcPr>
          <w:p>
            <w:pPr>
              <w:spacing w:after="0" w:before="0" w:line="264" w:lineRule="auto"/>
            </w:pPr>
            <w:r>
              <w:rPr>
                <w:sz w:val="18"/>
                <w:szCs w:val="18"/>
              </w:rPr>
              <w:t xml:space="preserve">Mittleres Alter des produktiven Codes laut Versionshistorie</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Veraltete Abhängigkeiten</w:t>
            </w:r>
          </w:p>
        </w:tc>
        <w:tc>
          <w:tcPr>
            <w:tcW w:type="dxa" w:w="6070"/>
            <w:tcMar>
              <w:top w:type="dxa" w:w="90"/>
              <w:left w:type="dxa" w:w="110"/>
              <w:bottom w:type="dxa" w:w="90"/>
              <w:right w:type="dxa" w:w="110"/>
            </w:tcMar>
          </w:tcPr>
          <w:p>
            <w:pPr>
              <w:spacing w:after="0" w:before="0" w:line="264" w:lineRule="auto"/>
            </w:pPr>
            <w:r>
              <w:rPr>
                <w:sz w:val="18"/>
                <w:szCs w:val="18"/>
              </w:rPr>
              <w:t xml:space="preserve">Anteil der Bibliotheken mit neuerem Release</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End-of-Life-Quote</w:t>
            </w:r>
          </w:p>
        </w:tc>
        <w:tc>
          <w:tcPr>
            <w:tcW w:type="dxa" w:w="6070"/>
            <w:tcMar>
              <w:top w:type="dxa" w:w="90"/>
              <w:left w:type="dxa" w:w="110"/>
              <w:bottom w:type="dxa" w:w="90"/>
              <w:right w:type="dxa" w:w="110"/>
            </w:tcMar>
          </w:tcPr>
          <w:p>
            <w:pPr>
              <w:spacing w:after="0" w:before="0" w:line="264" w:lineRule="auto"/>
            </w:pPr>
            <w:r>
              <w:rPr>
                <w:sz w:val="18"/>
                <w:szCs w:val="18"/>
              </w:rPr>
              <w:t xml:space="preserve">Anteil der Komponenten ohne Herstellersupport</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Kritische Exposure</w:t>
            </w:r>
          </w:p>
        </w:tc>
        <w:tc>
          <w:tcPr>
            <w:tcW w:type="dxa" w:w="6070"/>
            <w:tcMar>
              <w:top w:type="dxa" w:w="90"/>
              <w:left w:type="dxa" w:w="110"/>
              <w:bottom w:type="dxa" w:w="90"/>
              <w:right w:type="dxa" w:w="110"/>
            </w:tcMar>
          </w:tcPr>
          <w:p>
            <w:pPr>
              <w:spacing w:after="0" w:before="0" w:line="264" w:lineRule="auto"/>
            </w:pPr>
            <w:r>
              <w:rPr>
                <w:sz w:val="18"/>
                <w:szCs w:val="18"/>
              </w:rPr>
              <w:t xml:space="preserve">Erreichbare, hochkritische Schwachstellen</w:t>
            </w:r>
          </w:p>
        </w:tc>
      </w:tr>
      <w:tr>
        <w:trPr>
          <w:cantSplit/>
        </w:trPr>
        <w:tc>
          <w:tcPr>
            <w:tcW w:type="dxa" w:w="3000"/>
            <w:tcMar>
              <w:top w:type="dxa" w:w="90"/>
              <w:left w:type="dxa" w:w="0"/>
              <w:bottom w:type="dxa" w:w="90"/>
              <w:right w:type="dxa" w:w="110"/>
            </w:tcMar>
          </w:tcPr>
          <w:p>
            <w:pPr>
              <w:spacing w:after="0" w:before="0" w:line="264" w:lineRule="auto"/>
            </w:pPr>
            <w:r>
              <w:rPr>
                <w:sz w:val="18"/>
                <w:szCs w:val="18"/>
              </w:rPr>
              <w:t xml:space="preserve">Remediation Time</w:t>
            </w:r>
          </w:p>
        </w:tc>
        <w:tc>
          <w:tcPr>
            <w:tcW w:type="dxa" w:w="6070"/>
            <w:tcMar>
              <w:top w:type="dxa" w:w="90"/>
              <w:left w:type="dxa" w:w="110"/>
              <w:bottom w:type="dxa" w:w="90"/>
              <w:right w:type="dxa" w:w="110"/>
            </w:tcMar>
          </w:tcPr>
          <w:p>
            <w:pPr>
              <w:spacing w:after="0" w:before="0" w:line="264" w:lineRule="auto"/>
            </w:pPr>
            <w:r>
              <w:rPr>
                <w:sz w:val="18"/>
                <w:szCs w:val="18"/>
              </w:rPr>
              <w:t xml:space="preserve">Tage von Erkennung bis verifizierter Behebung</w:t>
            </w:r>
          </w:p>
        </w:tc>
      </w:tr>
    </w:tbl>
    <w:p>
      <w:pPr>
        <w:spacing w:after="0" w:before="80" w:line="276" w:lineRule="auto"/>
      </w:pPr>
      <w:r>
        <w:rPr>
          <w:color w:val="6B7080"/>
          <w:sz w:val="16"/>
          <w:szCs w:val="16"/>
        </w:rPr>
        <w:t xml:space="preserve">Hohes Alter allein ist keine Schwachstelle, zeigt aber, wo sich Prüfaufwand lohnt.</w:t>
      </w:r>
    </w:p>
    <w:p>
      <w:pPr>
        <w:spacing w:after="140"/>
      </w:pPr>
    </w:p>
    <w:tbl>
      <w:tblPr>
        <w:tblW w:type="dxa" w:w="9070"/>
        <w:tblBorders>
          <w:top w:val="single" w:color="050A30" w:sz="6"/>
          <w:left w:val="none" w:color="FFFFFF" w:sz="0"/>
          <w:bottom w:val="single" w:color="D6D9E1" w:sz="4"/>
          <w:right w:val="none" w:color="FFFFFF" w:sz="0"/>
          <w:insideH w:val="single" w:color="D6D9E1" w:sz="4"/>
          <w:insideV w:val="none" w:color="FFFFFF" w:sz="0"/>
        </w:tblBorders>
        <w:tblLayout w:type="fixed"/>
      </w:tblPr>
      <w:tblGrid>
        <w:gridCol w:w="1900"/>
        <w:gridCol w:w="7170"/>
      </w:tblGrid>
      <w:tr>
        <w:trPr>
          <w:cantSplit/>
        </w:trPr>
        <w:tc>
          <w:tcPr>
            <w:tcW w:type="dxa" w:w="1900"/>
            <w:tcMar>
              <w:top w:type="dxa" w:w="100"/>
              <w:left w:type="dxa" w:w="0"/>
              <w:bottom w:type="dxa" w:w="100"/>
              <w:right w:type="dxa" w:w="120"/>
            </w:tcMar>
          </w:tcPr>
          <w:p>
            <w:r>
              <w:rPr>
                <w:b/>
                <w:bCs/>
                <w:color w:val="050A30"/>
                <w:sz w:val="18"/>
                <w:szCs w:val="18"/>
              </w:rPr>
              <w:t xml:space="preserve">Pilot</w:t>
            </w:r>
          </w:p>
        </w:tc>
        <w:tc>
          <w:tcPr>
            <w:tcW w:type="dxa" w:w="7170"/>
            <w:tcMar>
              <w:top w:type="dxa" w:w="100"/>
              <w:left w:type="dxa" w:w="120"/>
              <w:bottom w:type="dxa" w:w="100"/>
              <w:right w:type="dxa" w:w="0"/>
            </w:tcMar>
          </w:tcPr>
          <w:p>
            <w:pPr>
              <w:spacing w:after="0" w:line="276" w:lineRule="auto"/>
            </w:pPr>
            <w:r>
              <w:rPr>
                <w:sz w:val="19"/>
                <w:szCs w:val="19"/>
              </w:rPr>
              <w:t xml:space="preserve">10–15 Anwendungen inklusive Abhängigkeiten und Codehistorie. Ergebnisse mit den letzten Pentests vergleichen.</w:t>
            </w:r>
          </w:p>
        </w:tc>
      </w:tr>
      <w:tr>
        <w:trPr>
          <w:cantSplit/>
        </w:trPr>
        <w:tc>
          <w:tcPr>
            <w:tcW w:type="dxa" w:w="1900"/>
            <w:tcMar>
              <w:top w:type="dxa" w:w="100"/>
              <w:left w:type="dxa" w:w="0"/>
              <w:bottom w:type="dxa" w:w="100"/>
              <w:right w:type="dxa" w:w="120"/>
            </w:tcMar>
          </w:tcPr>
          <w:p>
            <w:r>
              <w:rPr>
                <w:b/>
                <w:bCs/>
                <w:color w:val="050A30"/>
                <w:sz w:val="18"/>
                <w:szCs w:val="18"/>
              </w:rPr>
              <w:t xml:space="preserve">Messgrößen</w:t>
            </w:r>
          </w:p>
        </w:tc>
        <w:tc>
          <w:tcPr>
            <w:tcW w:type="dxa" w:w="7170"/>
            <w:tcMar>
              <w:top w:type="dxa" w:w="100"/>
              <w:left w:type="dxa" w:w="120"/>
              <w:bottom w:type="dxa" w:w="100"/>
              <w:right w:type="dxa" w:w="0"/>
            </w:tcMar>
          </w:tcPr>
          <w:p>
            <w:pPr>
              <w:spacing w:after="0" w:line="276" w:lineRule="auto"/>
            </w:pPr>
            <w:r>
              <w:rPr>
                <w:sz w:val="19"/>
                <w:szCs w:val="19"/>
              </w:rPr>
              <w:t xml:space="preserve">Abdeckung des Inventars, End-of-Life-Quote, neu bestätigte kritische Befunde, Mean Time to Remediate.</w:t>
            </w:r>
          </w:p>
        </w:tc>
      </w:tr>
      <w:tr>
        <w:trPr>
          <w:cantSplit/>
        </w:trPr>
        <w:tc>
          <w:tcPr>
            <w:tcW w:type="dxa" w:w="1900"/>
            <w:tcMar>
              <w:top w:type="dxa" w:w="100"/>
              <w:left w:type="dxa" w:w="0"/>
              <w:bottom w:type="dxa" w:w="100"/>
              <w:right w:type="dxa" w:w="120"/>
            </w:tcMar>
          </w:tcPr>
          <w:p>
            <w:r>
              <w:rPr>
                <w:b/>
                <w:bCs/>
                <w:color w:val="050A30"/>
                <w:sz w:val="18"/>
                <w:szCs w:val="18"/>
              </w:rPr>
              <w:t xml:space="preserve">Abgrenzung</w:t>
            </w:r>
          </w:p>
        </w:tc>
        <w:tc>
          <w:tcPr>
            <w:tcW w:type="dxa" w:w="7170"/>
            <w:tcMar>
              <w:top w:type="dxa" w:w="100"/>
              <w:left w:type="dxa" w:w="120"/>
              <w:bottom w:type="dxa" w:w="100"/>
              <w:right w:type="dxa" w:w="0"/>
            </w:tcMar>
          </w:tcPr>
          <w:p>
            <w:pPr>
              <w:spacing w:after="0" w:line="276" w:lineRule="auto"/>
            </w:pPr>
            <w:r>
              <w:rPr>
                <w:sz w:val="19"/>
                <w:szCs w:val="19"/>
              </w:rPr>
              <w:t xml:space="preserve">Ergänzt manuelle Pentests und bedrohungsorientierte Tests (TLPT) nach DORA. Ersetzt sie nicht.</w:t>
            </w:r>
          </w:p>
        </w:tc>
      </w:tr>
    </w:tbl>
    <w:p>
      <w:pPr>
        <w:keepNext/>
        <w:pageBreakBefore/>
        <w:spacing w:after="40"/>
      </w:pPr>
      <w:r>
        <w:rPr>
          <w:color w:val="6B7080"/>
          <w:sz w:val="17"/>
          <w:szCs w:val="17"/>
        </w:rPr>
        <w:t xml:space="preserve">Pilot 3 von 4</w:t>
      </w:r>
    </w:p>
    <w:p>
      <w:pPr>
        <w:keepNext/>
        <w:pBdr>
          <w:bottom w:val="single" w:color="050A30" w:sz="6"/>
        </w:pBdr>
        <w:spacing w:after="160" w:line="264" w:lineRule="auto"/>
      </w:pPr>
      <w:r>
        <w:rPr>
          <w:rFonts w:ascii="Cambria" w:cs="Cambria" w:eastAsia="Cambria" w:hAnsi="Cambria"/>
          <w:color w:val="050A30"/>
          <w:sz w:val="36"/>
          <w:szCs w:val="36"/>
        </w:rPr>
        <w:t xml:space="preserve">Regulatorische Betroffenheit</w:t>
      </w:r>
    </w:p>
    <w:p>
      <w:pPr>
        <w:spacing w:after="60"/>
      </w:pPr>
      <w:r>
        <w:rPr>
          <w:color w:val="6B7080"/>
          <w:sz w:val="18"/>
          <w:szCs w:val="18"/>
        </w:rPr>
        <w:t xml:space="preserve">Compliance, Regulatory Affairs, Organisation</w:t>
      </w:r>
    </w:p>
    <w:p>
      <w:pPr>
        <w:keepNext/>
        <w:spacing w:after="80" w:before="240" w:line="288" w:lineRule="auto"/>
      </w:pPr>
      <w:r>
        <w:rPr>
          <w:b/>
          <w:bCs/>
          <w:color w:val="050A30"/>
          <w:sz w:val="20"/>
          <w:szCs w:val="20"/>
        </w:rPr>
        <w:t xml:space="preserve">Problem</w:t>
      </w:r>
    </w:p>
    <w:p>
      <w:pPr>
        <w:spacing w:after="120" w:before="0" w:line="288" w:lineRule="auto"/>
      </w:pPr>
      <w:r>
        <w:t xml:space="preserve">Neue Veröffentlichungen zu finden ist nicht das Problem. Aufwendig ist die Frage danach: Gilt das für uns, für welche Konzerngesellschaft, ab wann, und welche Dokumente der schriftlich fixierten Ordnung (SFO) müssen sich ändern? Eine einzelne Änderung kann viele Regelungen betreffen. Die Analyse muss nachvollziehbar dokumentiert sein.</w:t>
      </w:r>
    </w:p>
    <w:p>
      <w:pPr>
        <w:keepNext/>
        <w:spacing w:after="80" w:before="240" w:line="288" w:lineRule="auto"/>
      </w:pPr>
      <w:r>
        <w:rPr>
          <w:b/>
          <w:bCs/>
          <w:color w:val="050A30"/>
          <w:sz w:val="20"/>
          <w:szCs w:val="20"/>
        </w:rPr>
        <w:t xml:space="preserve">Lösung</w:t>
      </w:r>
    </w:p>
    <w:p>
      <w:pPr>
        <w:pStyle w:val="ListParagraph"/>
        <w:keepLines/>
        <w:numPr>
          <w:ilvl w:val="0"/>
          <w:numId w:val="4"/>
        </w:numPr>
        <w:spacing w:after="60" w:line="288" w:lineRule="auto"/>
      </w:pPr>
      <w:r>
        <w:t xml:space="preserve">Veröffentlichungen von EU, EBA, EZB und BaFin erfassen, mit Status: Konsultation, final, anwendbar ab.</w:t>
      </w:r>
    </w:p>
    <w:p>
      <w:pPr>
        <w:pStyle w:val="ListParagraph"/>
        <w:keepLines/>
        <w:numPr>
          <w:ilvl w:val="0"/>
          <w:numId w:val="4"/>
        </w:numPr>
        <w:spacing w:after="60" w:line="288" w:lineRule="auto"/>
      </w:pPr>
      <w:r>
        <w:t xml:space="preserve">Anwendbarkeit je Konzerngesellschaft prüfen.</w:t>
      </w:r>
    </w:p>
    <w:p>
      <w:pPr>
        <w:pStyle w:val="ListParagraph"/>
        <w:keepLines/>
        <w:numPr>
          <w:ilvl w:val="0"/>
          <w:numId w:val="4"/>
        </w:numPr>
        <w:spacing w:after="60" w:line="288" w:lineRule="auto"/>
      </w:pPr>
      <w:r>
        <w:t xml:space="preserve">Mit der SFO abgleichen, betroffene Passagen markieren, Änderungstext vorschlagen.</w:t>
      </w:r>
    </w:p>
    <w:p>
      <w:pPr>
        <w:pStyle w:val="ListParagraph"/>
        <w:keepLines/>
        <w:numPr>
          <w:ilvl w:val="0"/>
          <w:numId w:val="4"/>
        </w:numPr>
        <w:spacing w:after="60" w:line="288" w:lineRule="auto"/>
      </w:pPr>
      <w:r>
        <w:t xml:space="preserve">Der Fachbereich prüft und gibt frei.</w:t>
      </w:r>
    </w:p>
    <w:p>
      <w:pPr>
        <w:spacing w:after="120" w:before="120" w:line="288" w:lineRule="auto"/>
      </w:pPr>
      <w:r>
        <w:rPr>
          <w:b/>
          <w:bCs/>
          <w:color w:val="050A30"/>
        </w:rPr>
        <w:t xml:space="preserve">Testfall:</w:t>
      </w:r>
      <w:r>
        <w:t xml:space="preserve"> die EBA-Leitlinien zu Drittparteienrisiken, finalisiert am 18. September 2026. Das System muss erkennen, dass sie noch nicht anwendbar sind, und den Umsetzungsbedarf entsprechend terminieren.</w:t>
      </w:r>
    </w:p>
    <w:p>
      <w:pPr>
        <w:spacing w:after="140"/>
      </w:pPr>
    </w:p>
    <w:tbl>
      <w:tblPr>
        <w:tblW w:type="dxa" w:w="9070"/>
        <w:tblBorders>
          <w:top w:val="single" w:color="050A30" w:sz="6"/>
          <w:left w:val="none" w:color="FFFFFF" w:sz="0"/>
          <w:bottom w:val="single" w:color="D6D9E1" w:sz="4"/>
          <w:right w:val="none" w:color="FFFFFF" w:sz="0"/>
          <w:insideH w:val="single" w:color="D6D9E1" w:sz="4"/>
          <w:insideV w:val="none" w:color="FFFFFF" w:sz="0"/>
        </w:tblBorders>
        <w:tblLayout w:type="fixed"/>
      </w:tblPr>
      <w:tblGrid>
        <w:gridCol w:w="1900"/>
        <w:gridCol w:w="7170"/>
      </w:tblGrid>
      <w:tr>
        <w:trPr>
          <w:cantSplit/>
        </w:trPr>
        <w:tc>
          <w:tcPr>
            <w:tcW w:type="dxa" w:w="1900"/>
            <w:tcMar>
              <w:top w:type="dxa" w:w="100"/>
              <w:left w:type="dxa" w:w="0"/>
              <w:bottom w:type="dxa" w:w="100"/>
              <w:right w:type="dxa" w:w="120"/>
            </w:tcMar>
          </w:tcPr>
          <w:p>
            <w:r>
              <w:rPr>
                <w:b/>
                <w:bCs/>
                <w:color w:val="050A30"/>
                <w:sz w:val="18"/>
                <w:szCs w:val="18"/>
              </w:rPr>
              <w:t xml:space="preserve">Pilot</w:t>
            </w:r>
          </w:p>
        </w:tc>
        <w:tc>
          <w:tcPr>
            <w:tcW w:type="dxa" w:w="7170"/>
            <w:tcMar>
              <w:top w:type="dxa" w:w="100"/>
              <w:left w:type="dxa" w:w="120"/>
              <w:bottom w:type="dxa" w:w="100"/>
              <w:right w:type="dxa" w:w="0"/>
            </w:tcMar>
          </w:tcPr>
          <w:p>
            <w:pPr>
              <w:spacing w:after="0" w:line="276" w:lineRule="auto"/>
            </w:pPr>
            <w:r>
              <w:rPr>
                <w:sz w:val="19"/>
                <w:szCs w:val="19"/>
              </w:rPr>
              <w:t xml:space="preserve">20 vergangene regulatorische Änderungen gegen die damaligen SFO-Versionen laufen lassen. Mit den freigegebenen Bewertungen vergleichen.</w:t>
            </w:r>
          </w:p>
        </w:tc>
      </w:tr>
      <w:tr>
        <w:trPr>
          <w:cantSplit/>
        </w:trPr>
        <w:tc>
          <w:tcPr>
            <w:tcW w:type="dxa" w:w="1900"/>
            <w:tcMar>
              <w:top w:type="dxa" w:w="100"/>
              <w:left w:type="dxa" w:w="0"/>
              <w:bottom w:type="dxa" w:w="100"/>
              <w:right w:type="dxa" w:w="120"/>
            </w:tcMar>
          </w:tcPr>
          <w:p>
            <w:r>
              <w:rPr>
                <w:b/>
                <w:bCs/>
                <w:color w:val="050A30"/>
                <w:sz w:val="18"/>
                <w:szCs w:val="18"/>
              </w:rPr>
              <w:t xml:space="preserve">Messgrößen</w:t>
            </w:r>
          </w:p>
        </w:tc>
        <w:tc>
          <w:tcPr>
            <w:tcW w:type="dxa" w:w="7170"/>
            <w:tcMar>
              <w:top w:type="dxa" w:w="100"/>
              <w:left w:type="dxa" w:w="120"/>
              <w:bottom w:type="dxa" w:w="100"/>
              <w:right w:type="dxa" w:w="0"/>
            </w:tcMar>
          </w:tcPr>
          <w:p>
            <w:pPr>
              <w:spacing w:after="0" w:line="276" w:lineRule="auto"/>
            </w:pPr>
            <w:r>
              <w:rPr>
                <w:sz w:val="19"/>
                <w:szCs w:val="19"/>
              </w:rPr>
              <w:t xml:space="preserve">Trefferquote betroffener Dokumente, Durchlaufzeit je Bewertung, Anteil fristgerecht umgesetzter Änderungen.</w:t>
            </w:r>
          </w:p>
        </w:tc>
      </w:tr>
    </w:tbl>
    <w:p>
      <w:pPr>
        <w:keepNext/>
        <w:pageBreakBefore/>
        <w:spacing w:after="40"/>
      </w:pPr>
      <w:r>
        <w:rPr>
          <w:color w:val="6B7080"/>
          <w:sz w:val="17"/>
          <w:szCs w:val="17"/>
        </w:rPr>
        <w:t xml:space="preserve">Pilot 4 von 4</w:t>
      </w:r>
    </w:p>
    <w:p>
      <w:pPr>
        <w:keepNext/>
        <w:pBdr>
          <w:bottom w:val="single" w:color="050A30" w:sz="6"/>
        </w:pBdr>
        <w:spacing w:after="160" w:line="264" w:lineRule="auto"/>
      </w:pPr>
      <w:r>
        <w:rPr>
          <w:rFonts w:ascii="Cambria" w:cs="Cambria" w:eastAsia="Cambria" w:hAnsi="Cambria"/>
          <w:color w:val="050A30"/>
          <w:sz w:val="36"/>
          <w:szCs w:val="36"/>
        </w:rPr>
        <w:t xml:space="preserve">ECA-Strukturierung</w:t>
      </w:r>
    </w:p>
    <w:p>
      <w:pPr>
        <w:spacing w:after="60"/>
      </w:pPr>
      <w:r>
        <w:rPr>
          <w:color w:val="6B7080"/>
          <w:sz w:val="18"/>
          <w:szCs w:val="18"/>
        </w:rPr>
        <w:t xml:space="preserve">KfW IPEX-Bank, Export- und Projektfinanzierung</w:t>
      </w:r>
    </w:p>
    <w:p>
      <w:pPr>
        <w:keepNext/>
        <w:spacing w:after="80" w:before="240" w:line="288" w:lineRule="auto"/>
      </w:pPr>
      <w:r>
        <w:rPr>
          <w:b/>
          <w:bCs/>
          <w:color w:val="050A30"/>
          <w:sz w:val="20"/>
          <w:szCs w:val="20"/>
        </w:rPr>
        <w:t xml:space="preserve">Problem</w:t>
      </w:r>
    </w:p>
    <w:p>
      <w:pPr>
        <w:spacing w:after="120" w:before="0" w:line="288" w:lineRule="auto"/>
      </w:pPr>
      <w:r>
        <w:t xml:space="preserve">Die KfW IPEX-Bank hat 2025 rund 4,4 Mrd. € ECA-gedeckte Finanzierungen abgeschlossen. Die Zahl der Deckungsprodukte bei den Exportkreditagenturen ist stark gewachsen. Welche Deckung zu einem Projekt passt, hängt von Land, Lieferkette, Risikoprofil und Förderkriterien ab. Unter Zeitdruck ist es schwer, jede Variante systematisch zu prüfen.</w:t>
      </w:r>
    </w:p>
    <w:p>
      <w:pPr>
        <w:keepNext/>
        <w:spacing w:after="80" w:before="240" w:line="288" w:lineRule="auto"/>
      </w:pPr>
      <w:r>
        <w:rPr>
          <w:b/>
          <w:bCs/>
          <w:color w:val="050A30"/>
          <w:sz w:val="20"/>
          <w:szCs w:val="20"/>
        </w:rPr>
        <w:t xml:space="preserve">Lösung</w:t>
      </w:r>
    </w:p>
    <w:p>
      <w:pPr>
        <w:pStyle w:val="ListParagraph"/>
        <w:keepLines/>
        <w:numPr>
          <w:ilvl w:val="0"/>
          <w:numId w:val="5"/>
        </w:numPr>
        <w:spacing w:after="60" w:line="288" w:lineRule="auto"/>
      </w:pPr>
      <w:r>
        <w:t xml:space="preserve">Neue Anfrage gegen die Deckungsbedingungen relevanter Exportkreditagenturen prüfen.</w:t>
      </w:r>
    </w:p>
    <w:p>
      <w:pPr>
        <w:pStyle w:val="ListParagraph"/>
        <w:keepLines/>
        <w:numPr>
          <w:ilvl w:val="0"/>
          <w:numId w:val="5"/>
        </w:numPr>
        <w:spacing w:after="60" w:line="288" w:lineRule="auto"/>
      </w:pPr>
      <w:r>
        <w:t xml:space="preserve">Zwei bis drei Strukturvarianten vorschlagen, mit Voraussetzungen und Risikoaufteilung.</w:t>
      </w:r>
    </w:p>
    <w:p>
      <w:pPr>
        <w:pStyle w:val="ListParagraph"/>
        <w:keepLines/>
        <w:numPr>
          <w:ilvl w:val="0"/>
          <w:numId w:val="5"/>
        </w:numPr>
        <w:spacing w:after="60" w:line="288" w:lineRule="auto"/>
      </w:pPr>
      <w:r>
        <w:t xml:space="preserve">Mit vergleichbaren historischen Transaktionen der Bank abgleichen.</w:t>
      </w:r>
    </w:p>
    <w:p>
      <w:pPr>
        <w:pStyle w:val="ListParagraph"/>
        <w:keepLines/>
        <w:numPr>
          <w:ilvl w:val="0"/>
          <w:numId w:val="5"/>
        </w:numPr>
        <w:spacing w:after="60" w:line="288" w:lineRule="auto"/>
      </w:pPr>
      <w:r>
        <w:t xml:space="preserve">Die Strukturierer bewerten und entscheiden.</w:t>
      </w:r>
    </w:p>
    <w:p>
      <w:pPr>
        <w:spacing w:after="120" w:before="120" w:line="288" w:lineRule="auto"/>
      </w:pPr>
      <w:r>
        <w:t xml:space="preserve">Der Ansatz baut auf dem bereits gestarteten KI-Projekt der IPEX-Bank zur Dokumentenanalyse auf und erweitert es um die Bewertung von Deal-Strukturen.</w:t>
      </w:r>
    </w:p>
    <w:p>
      <w:pPr>
        <w:spacing w:after="140"/>
      </w:pPr>
    </w:p>
    <w:tbl>
      <w:tblPr>
        <w:tblW w:type="dxa" w:w="9070"/>
        <w:tblBorders>
          <w:top w:val="single" w:color="050A30" w:sz="6"/>
          <w:left w:val="none" w:color="FFFFFF" w:sz="0"/>
          <w:bottom w:val="single" w:color="D6D9E1" w:sz="4"/>
          <w:right w:val="none" w:color="FFFFFF" w:sz="0"/>
          <w:insideH w:val="single" w:color="D6D9E1" w:sz="4"/>
          <w:insideV w:val="none" w:color="FFFFFF" w:sz="0"/>
        </w:tblBorders>
        <w:tblLayout w:type="fixed"/>
      </w:tblPr>
      <w:tblGrid>
        <w:gridCol w:w="1900"/>
        <w:gridCol w:w="7170"/>
      </w:tblGrid>
      <w:tr>
        <w:trPr>
          <w:cantSplit/>
        </w:trPr>
        <w:tc>
          <w:tcPr>
            <w:tcW w:type="dxa" w:w="1900"/>
            <w:tcMar>
              <w:top w:type="dxa" w:w="100"/>
              <w:left w:type="dxa" w:w="0"/>
              <w:bottom w:type="dxa" w:w="100"/>
              <w:right w:type="dxa" w:w="120"/>
            </w:tcMar>
          </w:tcPr>
          <w:p>
            <w:r>
              <w:rPr>
                <w:b/>
                <w:bCs/>
                <w:color w:val="050A30"/>
                <w:sz w:val="18"/>
                <w:szCs w:val="18"/>
              </w:rPr>
              <w:t xml:space="preserve">Pilot</w:t>
            </w:r>
          </w:p>
        </w:tc>
        <w:tc>
          <w:tcPr>
            <w:tcW w:type="dxa" w:w="7170"/>
            <w:tcMar>
              <w:top w:type="dxa" w:w="100"/>
              <w:left w:type="dxa" w:w="120"/>
              <w:bottom w:type="dxa" w:w="100"/>
              <w:right w:type="dxa" w:w="0"/>
            </w:tcMar>
          </w:tcPr>
          <w:p>
            <w:pPr>
              <w:spacing w:after="0" w:line="276" w:lineRule="auto"/>
            </w:pPr>
            <w:r>
              <w:rPr>
                <w:sz w:val="19"/>
                <w:szCs w:val="19"/>
              </w:rPr>
              <w:t xml:space="preserve">20 historische Anfragen, auch verlorene und nicht realisierte. Strukturierer bewerten, ob das System realistische zusätzliche Optionen gefunden hätte.</w:t>
            </w:r>
          </w:p>
        </w:tc>
      </w:tr>
      <w:tr>
        <w:trPr>
          <w:cantSplit/>
        </w:trPr>
        <w:tc>
          <w:tcPr>
            <w:tcW w:type="dxa" w:w="1900"/>
            <w:tcMar>
              <w:top w:type="dxa" w:w="100"/>
              <w:left w:type="dxa" w:w="0"/>
              <w:bottom w:type="dxa" w:w="100"/>
              <w:right w:type="dxa" w:w="120"/>
            </w:tcMar>
          </w:tcPr>
          <w:p>
            <w:r>
              <w:rPr>
                <w:b/>
                <w:bCs/>
                <w:color w:val="050A30"/>
                <w:sz w:val="18"/>
                <w:szCs w:val="18"/>
              </w:rPr>
              <w:t xml:space="preserve">Messgrößen</w:t>
            </w:r>
          </w:p>
        </w:tc>
        <w:tc>
          <w:tcPr>
            <w:tcW w:type="dxa" w:w="7170"/>
            <w:tcMar>
              <w:top w:type="dxa" w:w="100"/>
              <w:left w:type="dxa" w:w="120"/>
              <w:bottom w:type="dxa" w:w="100"/>
              <w:right w:type="dxa" w:w="0"/>
            </w:tcMar>
          </w:tcPr>
          <w:p>
            <w:pPr>
              <w:spacing w:after="0" w:line="276" w:lineRule="auto"/>
            </w:pPr>
            <w:r>
              <w:rPr>
                <w:sz w:val="19"/>
                <w:szCs w:val="19"/>
              </w:rPr>
              <w:t xml:space="preserve">Zusätzliche Mandate, Conversion Rate, Zeit bis zum Term Sheet, Gebührenertrag.</w:t>
            </w:r>
          </w:p>
        </w:tc>
      </w:tr>
      <w:tr>
        <w:trPr>
          <w:cantSplit/>
        </w:trPr>
        <w:tc>
          <w:tcPr>
            <w:tcW w:type="dxa" w:w="1900"/>
            <w:tcMar>
              <w:top w:type="dxa" w:w="100"/>
              <w:left w:type="dxa" w:w="0"/>
              <w:bottom w:type="dxa" w:w="100"/>
              <w:right w:type="dxa" w:w="120"/>
            </w:tcMar>
          </w:tcPr>
          <w:p>
            <w:r>
              <w:rPr>
                <w:b/>
                <w:bCs/>
                <w:color w:val="050A30"/>
                <w:sz w:val="18"/>
                <w:szCs w:val="18"/>
              </w:rPr>
              <w:t xml:space="preserve">Rechnung</w:t>
            </w:r>
          </w:p>
        </w:tc>
        <w:tc>
          <w:tcPr>
            <w:tcW w:type="dxa" w:w="7170"/>
            <w:tcMar>
              <w:top w:type="dxa" w:w="100"/>
              <w:left w:type="dxa" w:w="120"/>
              <w:bottom w:type="dxa" w:w="100"/>
              <w:right w:type="dxa" w:w="0"/>
            </w:tcMar>
          </w:tcPr>
          <w:p>
            <w:pPr>
              <w:spacing w:after="0" w:line="276" w:lineRule="auto"/>
            </w:pPr>
            <w:r>
              <w:rPr>
                <w:sz w:val="19"/>
                <w:szCs w:val="19"/>
              </w:rPr>
              <w:t xml:space="preserve">Ein zusätzliches Mandat mit 150 Mio. € Volumen bei 20 Basispunkten Gebühr ergibt </w:t>
            </w:r>
            <w:r>
              <w:rPr>
                <w:b/>
                <w:bCs/>
                <w:color w:val="050A30"/>
                <w:sz w:val="19"/>
                <w:szCs w:val="19"/>
              </w:rPr>
              <w:t xml:space="preserve">300.000 € Bruttoertrag</w:t>
            </w:r>
            <w:r>
              <w:rPr>
                <w:sz w:val="19"/>
                <w:szCs w:val="19"/>
              </w:rPr>
              <w:t xml:space="preserve">. Der Gebührensatz ist eine Annahme.</w:t>
            </w:r>
          </w:p>
        </w:tc>
      </w:tr>
    </w:tbl>
    <w:p>
      <w:pPr>
        <w:keepNext/>
        <w:pageBreakBefore/>
        <w:spacing w:after="40"/>
      </w:pPr>
      <w:r>
        <w:rPr>
          <w:color w:val="6B7080"/>
          <w:sz w:val="17"/>
          <w:szCs w:val="17"/>
        </w:rPr>
        <w:t xml:space="preserve">Zweite Welle</w:t>
      </w:r>
    </w:p>
    <w:p>
      <w:pPr>
        <w:keepNext/>
        <w:pBdr>
          <w:bottom w:val="single" w:color="050A30" w:sz="6"/>
        </w:pBdr>
        <w:spacing w:after="160" w:line="264" w:lineRule="auto"/>
      </w:pPr>
      <w:r>
        <w:rPr>
          <w:rFonts w:ascii="Cambria" w:cs="Cambria" w:eastAsia="Cambria" w:hAnsi="Cambria"/>
          <w:color w:val="050A30"/>
          <w:sz w:val="36"/>
          <w:szCs w:val="36"/>
        </w:rPr>
        <w:t xml:space="preserve">Vier weitere Anwendungsfälle</w:t>
      </w:r>
    </w:p>
    <w:tbl>
      <w:tblPr>
        <w:tblW w:type="dxa" w:w="9070"/>
        <w:tblBorders>
          <w:top w:val="single" w:color="050A30" w:sz="6"/>
          <w:left w:val="none" w:color="FFFFFF" w:sz="0"/>
          <w:bottom w:val="single" w:color="050A30" w:sz="6"/>
          <w:right w:val="none" w:color="FFFFFF" w:sz="0"/>
          <w:insideH w:val="single" w:color="D6D9E1" w:sz="4"/>
          <w:insideV w:val="none" w:color="FFFFFF" w:sz="0"/>
        </w:tblBorders>
        <w:tblLayout w:type="fixed"/>
      </w:tblPr>
      <w:tblGrid>
        <w:gridCol w:w="2150"/>
        <w:gridCol w:w="2300"/>
        <w:gridCol w:w="2620"/>
        <w:gridCol w:w="2000"/>
      </w:tblGrid>
      <w:tr>
        <w:trPr>
          <w:tblHeader/>
        </w:trPr>
        <w:tc>
          <w:tcPr>
            <w:tcW w:type="dxa" w:w="2150"/>
            <w:tcMar>
              <w:top w:type="dxa" w:w="90"/>
              <w:left w:type="dxa" w:w="0"/>
              <w:bottom w:type="dxa" w:w="90"/>
              <w:right w:type="dxa" w:w="110"/>
            </w:tcMar>
          </w:tcPr>
          <w:p>
            <w:pPr>
              <w:spacing w:after="0"/>
            </w:pPr>
            <w:r>
              <w:rPr>
                <w:b/>
                <w:bCs/>
                <w:color w:val="6B7080"/>
                <w:sz w:val="16"/>
                <w:szCs w:val="16"/>
              </w:rPr>
              <w:t xml:space="preserve">Anwendungsfall</w:t>
            </w:r>
          </w:p>
        </w:tc>
        <w:tc>
          <w:tcPr>
            <w:tcW w:type="dxa" w:w="2300"/>
            <w:tcMar>
              <w:top w:type="dxa" w:w="90"/>
              <w:left w:type="dxa" w:w="110"/>
              <w:bottom w:type="dxa" w:w="90"/>
              <w:right w:type="dxa" w:w="110"/>
            </w:tcMar>
          </w:tcPr>
          <w:p>
            <w:pPr>
              <w:spacing w:after="0"/>
            </w:pPr>
            <w:r>
              <w:rPr>
                <w:b/>
                <w:bCs/>
                <w:color w:val="6B7080"/>
                <w:sz w:val="16"/>
                <w:szCs w:val="16"/>
              </w:rPr>
              <w:t xml:space="preserve">Problem</w:t>
            </w:r>
          </w:p>
        </w:tc>
        <w:tc>
          <w:tcPr>
            <w:tcW w:type="dxa" w:w="2620"/>
            <w:tcMar>
              <w:top w:type="dxa" w:w="90"/>
              <w:left w:type="dxa" w:w="110"/>
              <w:bottom w:type="dxa" w:w="90"/>
              <w:right w:type="dxa" w:w="110"/>
            </w:tcMar>
          </w:tcPr>
          <w:p>
            <w:pPr>
              <w:spacing w:after="0"/>
            </w:pPr>
            <w:r>
              <w:rPr>
                <w:b/>
                <w:bCs/>
                <w:color w:val="6B7080"/>
                <w:sz w:val="16"/>
                <w:szCs w:val="16"/>
              </w:rPr>
              <w:t xml:space="preserve">Lösung</w:t>
            </w:r>
          </w:p>
        </w:tc>
        <w:tc>
          <w:tcPr>
            <w:tcW w:type="dxa" w:w="2000"/>
            <w:tcMar>
              <w:top w:type="dxa" w:w="90"/>
              <w:left w:type="dxa" w:w="110"/>
              <w:bottom w:type="dxa" w:w="90"/>
              <w:right w:type="dxa" w:w="110"/>
            </w:tcMar>
          </w:tcPr>
          <w:p>
            <w:pPr>
              <w:spacing w:after="0"/>
            </w:pPr>
            <w:r>
              <w:rPr>
                <w:b/>
                <w:bCs/>
                <w:color w:val="6B7080"/>
                <w:sz w:val="16"/>
                <w:szCs w:val="16"/>
              </w:rPr>
              <w:t xml:space="preserve">Pilot</w:t>
            </w:r>
          </w:p>
        </w:tc>
      </w:tr>
      <w:tr>
        <w:trPr>
          <w:cantSplit/>
        </w:trPr>
        <w:tc>
          <w:tcPr>
            <w:tcW w:type="dxa" w:w="2150"/>
            <w:tcMar>
              <w:top w:type="dxa" w:w="90"/>
              <w:left w:type="dxa" w:w="0"/>
              <w:bottom w:type="dxa" w:w="90"/>
              <w:right w:type="dxa" w:w="110"/>
            </w:tcMar>
          </w:tcPr>
          <w:p>
            <w:pPr>
              <w:spacing w:after="0" w:before="0" w:line="264" w:lineRule="auto"/>
            </w:pPr>
            <w:r>
              <w:rPr>
                <w:b/>
                <w:bCs/>
                <w:color w:val="050A30"/>
                <w:sz w:val="17"/>
                <w:szCs w:val="17"/>
              </w:rPr>
              <w:t xml:space="preserve">Drittparteien-Abhängigkeiten</w:t>
            </w:r>
          </w:p>
          <w:p>
            <w:pPr>
              <w:spacing w:after="0" w:before="30" w:line="264" w:lineRule="auto"/>
            </w:pPr>
            <w:r>
              <w:rPr>
                <w:color w:val="6B7080"/>
                <w:sz w:val="15"/>
                <w:szCs w:val="15"/>
              </w:rPr>
              <w:t xml:space="preserve">IT-Risiko, Auslagerung</w:t>
            </w:r>
          </w:p>
        </w:tc>
        <w:tc>
          <w:tcPr>
            <w:tcW w:type="dxa" w:w="2300"/>
            <w:tcMar>
              <w:top w:type="dxa" w:w="90"/>
              <w:left w:type="dxa" w:w="110"/>
              <w:bottom w:type="dxa" w:w="90"/>
              <w:right w:type="dxa" w:w="110"/>
            </w:tcMar>
          </w:tcPr>
          <w:p>
            <w:pPr>
              <w:spacing w:after="0" w:before="0" w:line="264" w:lineRule="auto"/>
            </w:pPr>
            <w:r>
              <w:rPr>
                <w:sz w:val="17"/>
                <w:szCs w:val="17"/>
              </w:rPr>
              <w:t xml:space="preserve">Informationen zu Dienstleistern, Subdienstleistern, Systemen und Prozessen liegen in verschiedenen Systemen. DORA und EBA fordern eine Gesamtsicht.</w:t>
            </w:r>
          </w:p>
        </w:tc>
        <w:tc>
          <w:tcPr>
            <w:tcW w:type="dxa" w:w="2620"/>
            <w:tcMar>
              <w:top w:type="dxa" w:w="90"/>
              <w:left w:type="dxa" w:w="110"/>
              <w:bottom w:type="dxa" w:w="90"/>
              <w:right w:type="dxa" w:w="110"/>
            </w:tcMar>
          </w:tcPr>
          <w:p>
            <w:pPr>
              <w:spacing w:after="0" w:before="0" w:line="264" w:lineRule="auto"/>
            </w:pPr>
            <w:r>
              <w:rPr>
                <w:sz w:val="17"/>
                <w:szCs w:val="17"/>
              </w:rPr>
              <w:t xml:space="preserve">Abhängigkeitsmodell aus Verträgen, IT-Architektur und Prozessdoku. Bei einem Vorfall sofort sichtbar, welche Prozesse betroffen sind und ob ein Exit-Plan existiert.</w:t>
            </w:r>
          </w:p>
        </w:tc>
        <w:tc>
          <w:tcPr>
            <w:tcW w:type="dxa" w:w="2000"/>
            <w:tcMar>
              <w:top w:type="dxa" w:w="90"/>
              <w:left w:type="dxa" w:w="110"/>
              <w:bottom w:type="dxa" w:w="90"/>
              <w:right w:type="dxa" w:w="110"/>
            </w:tcMar>
          </w:tcPr>
          <w:p>
            <w:pPr>
              <w:spacing w:after="0" w:before="0" w:line="264" w:lineRule="auto"/>
            </w:pPr>
            <w:r>
              <w:rPr>
                <w:sz w:val="17"/>
                <w:szCs w:val="17"/>
              </w:rPr>
              <w:t xml:space="preserve">Eine kritische Prozesskette erfassen, an einem dokumentierten Ausfallszenario testen.</w:t>
            </w:r>
          </w:p>
        </w:tc>
      </w:tr>
      <w:tr>
        <w:trPr>
          <w:cantSplit/>
        </w:trPr>
        <w:tc>
          <w:tcPr>
            <w:tcW w:type="dxa" w:w="2150"/>
            <w:tcMar>
              <w:top w:type="dxa" w:w="90"/>
              <w:left w:type="dxa" w:w="0"/>
              <w:bottom w:type="dxa" w:w="90"/>
              <w:right w:type="dxa" w:w="110"/>
            </w:tcMar>
          </w:tcPr>
          <w:p>
            <w:pPr>
              <w:spacing w:after="0" w:before="0" w:line="264" w:lineRule="auto"/>
            </w:pPr>
            <w:r>
              <w:rPr>
                <w:b/>
                <w:bCs/>
                <w:color w:val="050A30"/>
                <w:sz w:val="17"/>
                <w:szCs w:val="17"/>
              </w:rPr>
              <w:t xml:space="preserve">Laufende Kontrollüberwachung</w:t>
            </w:r>
          </w:p>
          <w:p>
            <w:pPr>
              <w:spacing w:after="0" w:before="30" w:line="264" w:lineRule="auto"/>
            </w:pPr>
            <w:r>
              <w:rPr>
                <w:color w:val="6B7080"/>
                <w:sz w:val="15"/>
                <w:szCs w:val="15"/>
              </w:rPr>
              <w:t xml:space="preserve">IKS, OpRisk</w:t>
            </w:r>
          </w:p>
        </w:tc>
        <w:tc>
          <w:tcPr>
            <w:tcW w:type="dxa" w:w="2300"/>
            <w:tcMar>
              <w:top w:type="dxa" w:w="90"/>
              <w:left w:type="dxa" w:w="110"/>
              <w:bottom w:type="dxa" w:w="90"/>
              <w:right w:type="dxa" w:w="110"/>
            </w:tcMar>
          </w:tcPr>
          <w:p>
            <w:pPr>
              <w:spacing w:after="0" w:before="0" w:line="264" w:lineRule="auto"/>
            </w:pPr>
            <w:r>
              <w:rPr>
                <w:sz w:val="17"/>
                <w:szCs w:val="17"/>
              </w:rPr>
              <w:t xml:space="preserve">Kontrollen prüfen zu Zeitpunkten. Dazwischen entstehen Abweichungen, die erst bei der nächsten Prüfung auffallen.</w:t>
            </w:r>
          </w:p>
        </w:tc>
        <w:tc>
          <w:tcPr>
            <w:tcW w:type="dxa" w:w="2620"/>
            <w:tcMar>
              <w:top w:type="dxa" w:w="90"/>
              <w:left w:type="dxa" w:w="110"/>
              <w:bottom w:type="dxa" w:w="90"/>
              <w:right w:type="dxa" w:w="110"/>
            </w:tcMar>
          </w:tcPr>
          <w:p>
            <w:pPr>
              <w:spacing w:after="0" w:before="0" w:line="264" w:lineRule="auto"/>
            </w:pPr>
            <w:r>
              <w:rPr>
                <w:sz w:val="17"/>
                <w:szCs w:val="17"/>
              </w:rPr>
              <w:t xml:space="preserve">Laufende Prüfung definierter Regeln, etwa Berechtigungen ohne Freigabe oder verletzte Funktionstrennung. Fälle gehen an die Kontrollverantwortlichen.</w:t>
            </w:r>
          </w:p>
        </w:tc>
        <w:tc>
          <w:tcPr>
            <w:tcW w:type="dxa" w:w="2000"/>
            <w:tcMar>
              <w:top w:type="dxa" w:w="90"/>
              <w:left w:type="dxa" w:w="110"/>
              <w:bottom w:type="dxa" w:w="90"/>
              <w:right w:type="dxa" w:w="110"/>
            </w:tcMar>
          </w:tcPr>
          <w:p>
            <w:pPr>
              <w:spacing w:after="0" w:before="0" w:line="264" w:lineRule="auto"/>
            </w:pPr>
            <w:r>
              <w:rPr>
                <w:sz w:val="17"/>
                <w:szCs w:val="17"/>
              </w:rPr>
              <w:t xml:space="preserve">Zwei bis drei Kontrollen parallel zum bestehenden Verfahren laufen lassen.</w:t>
            </w:r>
          </w:p>
        </w:tc>
      </w:tr>
      <w:tr>
        <w:trPr>
          <w:cantSplit/>
        </w:trPr>
        <w:tc>
          <w:tcPr>
            <w:tcW w:type="dxa" w:w="2150"/>
            <w:tcMar>
              <w:top w:type="dxa" w:w="90"/>
              <w:left w:type="dxa" w:w="0"/>
              <w:bottom w:type="dxa" w:w="90"/>
              <w:right w:type="dxa" w:w="110"/>
            </w:tcMar>
          </w:tcPr>
          <w:p>
            <w:pPr>
              <w:spacing w:after="0" w:before="0" w:line="264" w:lineRule="auto"/>
            </w:pPr>
            <w:r>
              <w:rPr>
                <w:b/>
                <w:bCs/>
                <w:color w:val="050A30"/>
                <w:sz w:val="17"/>
                <w:szCs w:val="17"/>
              </w:rPr>
              <w:t xml:space="preserve">Frühwarnung Projektfinanzierung</w:t>
            </w:r>
          </w:p>
          <w:p>
            <w:pPr>
              <w:spacing w:after="0" w:before="30" w:line="264" w:lineRule="auto"/>
            </w:pPr>
            <w:r>
              <w:rPr>
                <w:color w:val="6B7080"/>
                <w:sz w:val="15"/>
                <w:szCs w:val="15"/>
              </w:rPr>
              <w:t xml:space="preserve">IPEX Kreditrisiko</w:t>
            </w:r>
          </w:p>
        </w:tc>
        <w:tc>
          <w:tcPr>
            <w:tcW w:type="dxa" w:w="2300"/>
            <w:tcMar>
              <w:top w:type="dxa" w:w="90"/>
              <w:left w:type="dxa" w:w="110"/>
              <w:bottom w:type="dxa" w:w="90"/>
              <w:right w:type="dxa" w:w="110"/>
            </w:tcMar>
          </w:tcPr>
          <w:p>
            <w:pPr>
              <w:spacing w:after="0" w:before="0" w:line="264" w:lineRule="auto"/>
            </w:pPr>
            <w:r>
              <w:rPr>
                <w:sz w:val="17"/>
                <w:szCs w:val="17"/>
              </w:rPr>
              <w:t xml:space="preserve">88,9 Mrd. € Kreditbestand. Warnsignale verteilen sich auf Finanzberichte, Baufortschritt, Covenants und Marktdaten.</w:t>
            </w:r>
          </w:p>
        </w:tc>
        <w:tc>
          <w:tcPr>
            <w:tcW w:type="dxa" w:w="2620"/>
            <w:tcMar>
              <w:top w:type="dxa" w:w="90"/>
              <w:left w:type="dxa" w:w="110"/>
              <w:bottom w:type="dxa" w:w="90"/>
              <w:right w:type="dxa" w:w="110"/>
            </w:tcMar>
          </w:tcPr>
          <w:p>
            <w:pPr>
              <w:spacing w:after="0" w:before="0" w:line="264" w:lineRule="auto"/>
            </w:pPr>
            <w:r>
              <w:rPr>
                <w:sz w:val="17"/>
                <w:szCs w:val="17"/>
              </w:rPr>
              <w:t xml:space="preserve">Signale bündeln und mit Covenants und Modellannahmen verknüpfen. Berechnungen bleiben in den validierten Modellen.</w:t>
            </w:r>
          </w:p>
        </w:tc>
        <w:tc>
          <w:tcPr>
            <w:tcW w:type="dxa" w:w="2000"/>
            <w:tcMar>
              <w:top w:type="dxa" w:w="90"/>
              <w:left w:type="dxa" w:w="110"/>
              <w:bottom w:type="dxa" w:w="90"/>
              <w:right w:type="dxa" w:w="110"/>
            </w:tcMar>
          </w:tcPr>
          <w:p>
            <w:pPr>
              <w:spacing w:after="0" w:before="0" w:line="264" w:lineRule="auto"/>
            </w:pPr>
            <w:r>
              <w:rPr>
                <w:sz w:val="17"/>
                <w:szCs w:val="17"/>
              </w:rPr>
              <w:t xml:space="preserve">20–30 historische Fälle, nur mit den Informationen, die damals verfügbar waren.</w:t>
            </w:r>
          </w:p>
        </w:tc>
      </w:tr>
      <w:tr>
        <w:trPr>
          <w:cantSplit/>
        </w:trPr>
        <w:tc>
          <w:tcPr>
            <w:tcW w:type="dxa" w:w="2150"/>
            <w:tcMar>
              <w:top w:type="dxa" w:w="90"/>
              <w:left w:type="dxa" w:w="0"/>
              <w:bottom w:type="dxa" w:w="90"/>
              <w:right w:type="dxa" w:w="110"/>
            </w:tcMar>
          </w:tcPr>
          <w:p>
            <w:pPr>
              <w:spacing w:after="0" w:before="0" w:line="264" w:lineRule="auto"/>
            </w:pPr>
            <w:r>
              <w:rPr>
                <w:b/>
                <w:bCs/>
                <w:color w:val="050A30"/>
                <w:sz w:val="17"/>
                <w:szCs w:val="17"/>
              </w:rPr>
              <w:t xml:space="preserve">Syndizierung</w:t>
            </w:r>
          </w:p>
          <w:p>
            <w:pPr>
              <w:spacing w:after="0" w:before="30" w:line="264" w:lineRule="auto"/>
            </w:pPr>
            <w:r>
              <w:rPr>
                <w:color w:val="6B7080"/>
                <w:sz w:val="15"/>
                <w:szCs w:val="15"/>
              </w:rPr>
              <w:t xml:space="preserve">IPEX Syndizierung, Treasury</w:t>
            </w:r>
          </w:p>
        </w:tc>
        <w:tc>
          <w:tcPr>
            <w:tcW w:type="dxa" w:w="2300"/>
            <w:tcMar>
              <w:top w:type="dxa" w:w="90"/>
              <w:left w:type="dxa" w:w="110"/>
              <w:bottom w:type="dxa" w:w="90"/>
              <w:right w:type="dxa" w:w="110"/>
            </w:tcMar>
          </w:tcPr>
          <w:p>
            <w:pPr>
              <w:spacing w:after="0" w:before="0" w:line="264" w:lineRule="auto"/>
            </w:pPr>
            <w:r>
              <w:rPr>
                <w:sz w:val="17"/>
                <w:szCs w:val="17"/>
              </w:rPr>
              <w:t xml:space="preserve">6,9 Mrd. € Syndizierungsvolumen 2025. Partnerauswahl und Vergleich von Strukturen kosten Zeit.</w:t>
            </w:r>
          </w:p>
        </w:tc>
        <w:tc>
          <w:tcPr>
            <w:tcW w:type="dxa" w:w="2620"/>
            <w:tcMar>
              <w:top w:type="dxa" w:w="90"/>
              <w:left w:type="dxa" w:w="110"/>
              <w:bottom w:type="dxa" w:w="90"/>
              <w:right w:type="dxa" w:w="110"/>
            </w:tcMar>
          </w:tcPr>
          <w:p>
            <w:pPr>
              <w:spacing w:after="0" w:before="0" w:line="264" w:lineRule="auto"/>
            </w:pPr>
            <w:r>
              <w:rPr>
                <w:sz w:val="17"/>
                <w:szCs w:val="17"/>
              </w:rPr>
              <w:t xml:space="preserve">Partnervorschläge aus historischen Syndizierungen und bekannten Präferenzen, Strukturvarianten mit Kapitalwirkung.</w:t>
            </w:r>
          </w:p>
        </w:tc>
        <w:tc>
          <w:tcPr>
            <w:tcW w:type="dxa" w:w="2000"/>
            <w:tcMar>
              <w:top w:type="dxa" w:w="90"/>
              <w:left w:type="dxa" w:w="110"/>
              <w:bottom w:type="dxa" w:w="90"/>
              <w:right w:type="dxa" w:w="110"/>
            </w:tcMar>
          </w:tcPr>
          <w:p>
            <w:pPr>
              <w:spacing w:after="0" w:before="0" w:line="264" w:lineRule="auto"/>
            </w:pPr>
            <w:r>
              <w:rPr>
                <w:sz w:val="17"/>
                <w:szCs w:val="17"/>
              </w:rPr>
              <w:t xml:space="preserve">Historische Syndizierungen; Experten bewerten Vorschläge ohne Kenntnis des tatsächlichen Konsortiums.</w:t>
            </w:r>
          </w:p>
        </w:tc>
      </w:tr>
    </w:tbl>
    <w:p>
      <w:pPr>
        <w:keepNext/>
        <w:pageBreakBefore/>
        <w:spacing w:after="40"/>
      </w:pPr>
      <w:r>
        <w:rPr>
          <w:color w:val="6B7080"/>
          <w:sz w:val="17"/>
          <w:szCs w:val="17"/>
        </w:rPr>
        <w:t xml:space="preserve">Vorgehen</w:t>
      </w:r>
    </w:p>
    <w:p>
      <w:pPr>
        <w:keepNext/>
        <w:pBdr>
          <w:bottom w:val="single" w:color="050A30" w:sz="6"/>
        </w:pBdr>
        <w:spacing w:after="160" w:line="264" w:lineRule="auto"/>
      </w:pPr>
      <w:r>
        <w:rPr>
          <w:rFonts w:ascii="Cambria" w:cs="Cambria" w:eastAsia="Cambria" w:hAnsi="Cambria"/>
          <w:color w:val="050A30"/>
          <w:sz w:val="36"/>
          <w:szCs w:val="36"/>
        </w:rPr>
        <w:t xml:space="preserve">So würden wir starten</w:t>
      </w:r>
    </w:p>
    <w:tbl>
      <w:tblPr>
        <w:tblW w:type="dxa" w:w="9070"/>
        <w:tblBorders>
          <w:top w:val="single" w:color="050A30" w:sz="6"/>
          <w:left w:val="none" w:color="FFFFFF" w:sz="0"/>
          <w:bottom w:val="single" w:color="050A30" w:sz="6"/>
          <w:right w:val="none" w:color="FFFFFF" w:sz="0"/>
          <w:insideH w:val="single" w:color="D6D9E1" w:sz="4"/>
          <w:insideV w:val="none" w:color="FFFFFF" w:sz="0"/>
        </w:tblBorders>
        <w:tblLayout w:type="fixed"/>
      </w:tblPr>
      <w:tblGrid>
        <w:gridCol w:w="1700"/>
        <w:gridCol w:w="1300"/>
        <w:gridCol w:w="3670"/>
        <w:gridCol w:w="2400"/>
      </w:tblGrid>
      <w:tr>
        <w:trPr>
          <w:tblHeader/>
        </w:trPr>
        <w:tc>
          <w:tcPr>
            <w:tcW w:type="dxa" w:w="1700"/>
            <w:tcMar>
              <w:top w:type="dxa" w:w="90"/>
              <w:left w:type="dxa" w:w="0"/>
              <w:bottom w:type="dxa" w:w="90"/>
              <w:right w:type="dxa" w:w="110"/>
            </w:tcMar>
          </w:tcPr>
          <w:p>
            <w:pPr>
              <w:spacing w:after="0"/>
            </w:pPr>
            <w:r>
              <w:rPr>
                <w:b/>
                <w:bCs/>
                <w:color w:val="6B7080"/>
                <w:sz w:val="16"/>
                <w:szCs w:val="16"/>
              </w:rPr>
              <w:t xml:space="preserve">Phase</w:t>
            </w:r>
          </w:p>
        </w:tc>
        <w:tc>
          <w:tcPr>
            <w:tcW w:type="dxa" w:w="1300"/>
            <w:tcMar>
              <w:top w:type="dxa" w:w="90"/>
              <w:left w:type="dxa" w:w="110"/>
              <w:bottom w:type="dxa" w:w="90"/>
              <w:right w:type="dxa" w:w="110"/>
            </w:tcMar>
          </w:tcPr>
          <w:p>
            <w:pPr>
              <w:spacing w:after="0"/>
            </w:pPr>
            <w:r>
              <w:rPr>
                <w:b/>
                <w:bCs/>
                <w:color w:val="6B7080"/>
                <w:sz w:val="16"/>
                <w:szCs w:val="16"/>
              </w:rPr>
              <w:t xml:space="preserve">Dauer</w:t>
            </w:r>
          </w:p>
        </w:tc>
        <w:tc>
          <w:tcPr>
            <w:tcW w:type="dxa" w:w="3670"/>
            <w:tcMar>
              <w:top w:type="dxa" w:w="90"/>
              <w:left w:type="dxa" w:w="110"/>
              <w:bottom w:type="dxa" w:w="90"/>
              <w:right w:type="dxa" w:w="110"/>
            </w:tcMar>
          </w:tcPr>
          <w:p>
            <w:pPr>
              <w:spacing w:after="0"/>
            </w:pPr>
            <w:r>
              <w:rPr>
                <w:b/>
                <w:bCs/>
                <w:color w:val="6B7080"/>
                <w:sz w:val="16"/>
                <w:szCs w:val="16"/>
              </w:rPr>
              <w:t xml:space="preserve">Inhalt</w:t>
            </w:r>
          </w:p>
        </w:tc>
        <w:tc>
          <w:tcPr>
            <w:tcW w:type="dxa" w:w="2400"/>
            <w:tcMar>
              <w:top w:type="dxa" w:w="90"/>
              <w:left w:type="dxa" w:w="110"/>
              <w:bottom w:type="dxa" w:w="90"/>
              <w:right w:type="dxa" w:w="110"/>
            </w:tcMar>
          </w:tcPr>
          <w:p>
            <w:pPr>
              <w:spacing w:after="0"/>
            </w:pPr>
            <w:r>
              <w:rPr>
                <w:b/>
                <w:bCs/>
                <w:color w:val="6B7080"/>
                <w:sz w:val="16"/>
                <w:szCs w:val="16"/>
              </w:rPr>
              <w:t xml:space="preserve">Ergebnis</w:t>
            </w:r>
          </w:p>
        </w:tc>
      </w:tr>
      <w:tr>
        <w:trPr>
          <w:cantSplit/>
        </w:trPr>
        <w:tc>
          <w:tcPr>
            <w:tcW w:type="dxa" w:w="1700"/>
            <w:tcMar>
              <w:top w:type="dxa" w:w="90"/>
              <w:left w:type="dxa" w:w="0"/>
              <w:bottom w:type="dxa" w:w="90"/>
              <w:right w:type="dxa" w:w="110"/>
            </w:tcMar>
          </w:tcPr>
          <w:p>
            <w:pPr>
              <w:spacing w:after="0" w:before="0" w:line="264" w:lineRule="auto"/>
            </w:pPr>
            <w:r>
              <w:rPr>
                <w:b/>
                <w:bCs/>
                <w:color w:val="050A30"/>
                <w:sz w:val="18"/>
                <w:szCs w:val="18"/>
              </w:rPr>
              <w:t xml:space="preserve">Auswahl</w:t>
            </w:r>
          </w:p>
        </w:tc>
        <w:tc>
          <w:tcPr>
            <w:tcW w:type="dxa" w:w="1300"/>
            <w:tcMar>
              <w:top w:type="dxa" w:w="90"/>
              <w:left w:type="dxa" w:w="110"/>
              <w:bottom w:type="dxa" w:w="90"/>
              <w:right w:type="dxa" w:w="110"/>
            </w:tcMar>
          </w:tcPr>
          <w:p>
            <w:pPr>
              <w:spacing w:after="0" w:before="0" w:line="264" w:lineRule="auto"/>
            </w:pPr>
            <w:r>
              <w:rPr>
                <w:sz w:val="18"/>
                <w:szCs w:val="18"/>
              </w:rPr>
              <w:t xml:space="preserve">2 Wochen</w:t>
            </w:r>
          </w:p>
        </w:tc>
        <w:tc>
          <w:tcPr>
            <w:tcW w:type="dxa" w:w="3670"/>
            <w:tcMar>
              <w:top w:type="dxa" w:w="90"/>
              <w:left w:type="dxa" w:w="110"/>
              <w:bottom w:type="dxa" w:w="90"/>
              <w:right w:type="dxa" w:w="110"/>
            </w:tcMar>
          </w:tcPr>
          <w:p>
            <w:pPr>
              <w:spacing w:after="0" w:before="0" w:line="264" w:lineRule="auto"/>
            </w:pPr>
            <w:r>
              <w:rPr>
                <w:sz w:val="18"/>
                <w:szCs w:val="18"/>
              </w:rPr>
              <w:t xml:space="preserve">Workshop mit Revision, CISO, Compliance und IPEX. Abgleich mit laufenden Initiativen.</w:t>
            </w:r>
          </w:p>
        </w:tc>
        <w:tc>
          <w:tcPr>
            <w:tcW w:type="dxa" w:w="2400"/>
            <w:tcMar>
              <w:top w:type="dxa" w:w="90"/>
              <w:left w:type="dxa" w:w="110"/>
              <w:bottom w:type="dxa" w:w="90"/>
              <w:right w:type="dxa" w:w="110"/>
            </w:tcMar>
          </w:tcPr>
          <w:p>
            <w:pPr>
              <w:spacing w:after="0" w:before="0" w:line="264" w:lineRule="auto"/>
            </w:pPr>
            <w:r>
              <w:rPr>
                <w:sz w:val="18"/>
                <w:szCs w:val="18"/>
              </w:rPr>
              <w:t xml:space="preserve">Ein bis zwei Piloten mit festem Scope</w:t>
            </w:r>
          </w:p>
        </w:tc>
      </w:tr>
      <w:tr>
        <w:trPr>
          <w:cantSplit/>
        </w:trPr>
        <w:tc>
          <w:tcPr>
            <w:tcW w:type="dxa" w:w="1700"/>
            <w:tcMar>
              <w:top w:type="dxa" w:w="90"/>
              <w:left w:type="dxa" w:w="0"/>
              <w:bottom w:type="dxa" w:w="90"/>
              <w:right w:type="dxa" w:w="110"/>
            </w:tcMar>
          </w:tcPr>
          <w:p>
            <w:pPr>
              <w:spacing w:after="0" w:before="0" w:line="264" w:lineRule="auto"/>
            </w:pPr>
            <w:r>
              <w:rPr>
                <w:b/>
                <w:bCs/>
                <w:color w:val="050A30"/>
                <w:sz w:val="18"/>
                <w:szCs w:val="18"/>
              </w:rPr>
              <w:t xml:space="preserve">Baseline</w:t>
            </w:r>
          </w:p>
        </w:tc>
        <w:tc>
          <w:tcPr>
            <w:tcW w:type="dxa" w:w="1300"/>
            <w:tcMar>
              <w:top w:type="dxa" w:w="90"/>
              <w:left w:type="dxa" w:w="110"/>
              <w:bottom w:type="dxa" w:w="90"/>
              <w:right w:type="dxa" w:w="110"/>
            </w:tcMar>
          </w:tcPr>
          <w:p>
            <w:pPr>
              <w:spacing w:after="0" w:before="0" w:line="264" w:lineRule="auto"/>
            </w:pPr>
            <w:r>
              <w:rPr>
                <w:sz w:val="18"/>
                <w:szCs w:val="18"/>
              </w:rPr>
              <w:t xml:space="preserve">2 Wochen</w:t>
            </w:r>
          </w:p>
        </w:tc>
        <w:tc>
          <w:tcPr>
            <w:tcW w:type="dxa" w:w="3670"/>
            <w:tcMar>
              <w:top w:type="dxa" w:w="90"/>
              <w:left w:type="dxa" w:w="110"/>
              <w:bottom w:type="dxa" w:w="90"/>
              <w:right w:type="dxa" w:w="110"/>
            </w:tcMar>
          </w:tcPr>
          <w:p>
            <w:pPr>
              <w:spacing w:after="0" w:before="0" w:line="264" w:lineRule="auto"/>
            </w:pPr>
            <w:r>
              <w:rPr>
                <w:sz w:val="18"/>
                <w:szCs w:val="18"/>
              </w:rPr>
              <w:t xml:space="preserve">Datenzugang in geschützter Umgebung klären, heutigen Aufwand messen.</w:t>
            </w:r>
          </w:p>
        </w:tc>
        <w:tc>
          <w:tcPr>
            <w:tcW w:type="dxa" w:w="2400"/>
            <w:tcMar>
              <w:top w:type="dxa" w:w="90"/>
              <w:left w:type="dxa" w:w="110"/>
              <w:bottom w:type="dxa" w:w="90"/>
              <w:right w:type="dxa" w:w="110"/>
            </w:tcMar>
          </w:tcPr>
          <w:p>
            <w:pPr>
              <w:spacing w:after="0" w:before="0" w:line="264" w:lineRule="auto"/>
            </w:pPr>
            <w:r>
              <w:rPr>
                <w:sz w:val="18"/>
                <w:szCs w:val="18"/>
              </w:rPr>
              <w:t xml:space="preserve">Ausgangswerte und Go-Kriterien</w:t>
            </w:r>
          </w:p>
        </w:tc>
      </w:tr>
      <w:tr>
        <w:trPr>
          <w:cantSplit/>
        </w:trPr>
        <w:tc>
          <w:tcPr>
            <w:tcW w:type="dxa" w:w="1700"/>
            <w:tcMar>
              <w:top w:type="dxa" w:w="90"/>
              <w:left w:type="dxa" w:w="0"/>
              <w:bottom w:type="dxa" w:w="90"/>
              <w:right w:type="dxa" w:w="110"/>
            </w:tcMar>
          </w:tcPr>
          <w:p>
            <w:pPr>
              <w:spacing w:after="0" w:before="0" w:line="264" w:lineRule="auto"/>
            </w:pPr>
            <w:r>
              <w:rPr>
                <w:b/>
                <w:bCs/>
                <w:color w:val="050A30"/>
                <w:sz w:val="18"/>
                <w:szCs w:val="18"/>
              </w:rPr>
              <w:t xml:space="preserve">Pilot</w:t>
            </w:r>
          </w:p>
        </w:tc>
        <w:tc>
          <w:tcPr>
            <w:tcW w:type="dxa" w:w="1300"/>
            <w:tcMar>
              <w:top w:type="dxa" w:w="90"/>
              <w:left w:type="dxa" w:w="110"/>
              <w:bottom w:type="dxa" w:w="90"/>
              <w:right w:type="dxa" w:w="110"/>
            </w:tcMar>
          </w:tcPr>
          <w:p>
            <w:pPr>
              <w:spacing w:after="0" w:before="0" w:line="264" w:lineRule="auto"/>
            </w:pPr>
            <w:r>
              <w:rPr>
                <w:sz w:val="18"/>
                <w:szCs w:val="18"/>
              </w:rPr>
              <w:t xml:space="preserve">6–8 Wochen</w:t>
            </w:r>
          </w:p>
        </w:tc>
        <w:tc>
          <w:tcPr>
            <w:tcW w:type="dxa" w:w="3670"/>
            <w:tcMar>
              <w:top w:type="dxa" w:w="90"/>
              <w:left w:type="dxa" w:w="110"/>
              <w:bottom w:type="dxa" w:w="90"/>
              <w:right w:type="dxa" w:w="110"/>
            </w:tcMar>
          </w:tcPr>
          <w:p>
            <w:pPr>
              <w:spacing w:after="0" w:before="0" w:line="264" w:lineRule="auto"/>
            </w:pPr>
            <w:r>
              <w:rPr>
                <w:sz w:val="18"/>
                <w:szCs w:val="18"/>
              </w:rPr>
              <w:t xml:space="preserve">Betrieb auf historischen Daten, Bewertung durch die Fachexperten.</w:t>
            </w:r>
          </w:p>
        </w:tc>
        <w:tc>
          <w:tcPr>
            <w:tcW w:type="dxa" w:w="2400"/>
            <w:tcMar>
              <w:top w:type="dxa" w:w="90"/>
              <w:left w:type="dxa" w:w="110"/>
              <w:bottom w:type="dxa" w:w="90"/>
              <w:right w:type="dxa" w:w="110"/>
            </w:tcMar>
          </w:tcPr>
          <w:p>
            <w:pPr>
              <w:spacing w:after="0" w:before="0" w:line="264" w:lineRule="auto"/>
            </w:pPr>
            <w:r>
              <w:rPr>
                <w:sz w:val="18"/>
                <w:szCs w:val="18"/>
              </w:rPr>
              <w:t xml:space="preserve">Gemessene Ergebnisse</w:t>
            </w:r>
          </w:p>
        </w:tc>
      </w:tr>
      <w:tr>
        <w:trPr>
          <w:cantSplit/>
        </w:trPr>
        <w:tc>
          <w:tcPr>
            <w:tcW w:type="dxa" w:w="1700"/>
            <w:tcMar>
              <w:top w:type="dxa" w:w="90"/>
              <w:left w:type="dxa" w:w="0"/>
              <w:bottom w:type="dxa" w:w="90"/>
              <w:right w:type="dxa" w:w="110"/>
            </w:tcMar>
          </w:tcPr>
          <w:p>
            <w:pPr>
              <w:spacing w:after="0" w:before="0" w:line="264" w:lineRule="auto"/>
            </w:pPr>
            <w:r>
              <w:rPr>
                <w:b/>
                <w:bCs/>
                <w:color w:val="050A30"/>
                <w:sz w:val="18"/>
                <w:szCs w:val="18"/>
              </w:rPr>
              <w:t xml:space="preserve">Entscheidung</w:t>
            </w:r>
          </w:p>
        </w:tc>
        <w:tc>
          <w:tcPr>
            <w:tcW w:type="dxa" w:w="1300"/>
            <w:tcMar>
              <w:top w:type="dxa" w:w="90"/>
              <w:left w:type="dxa" w:w="110"/>
              <w:bottom w:type="dxa" w:w="90"/>
              <w:right w:type="dxa" w:w="110"/>
            </w:tcMar>
          </w:tcPr>
          <w:p>
            <w:pPr>
              <w:spacing w:after="0" w:before="0" w:line="264" w:lineRule="auto"/>
            </w:pPr>
            <w:r>
              <w:rPr>
                <w:sz w:val="18"/>
                <w:szCs w:val="18"/>
              </w:rPr>
              <w:t xml:space="preserve">1 Woche</w:t>
            </w:r>
          </w:p>
        </w:tc>
        <w:tc>
          <w:tcPr>
            <w:tcW w:type="dxa" w:w="3670"/>
            <w:tcMar>
              <w:top w:type="dxa" w:w="90"/>
              <w:left w:type="dxa" w:w="110"/>
              <w:bottom w:type="dxa" w:w="90"/>
              <w:right w:type="dxa" w:w="110"/>
            </w:tcMar>
          </w:tcPr>
          <w:p>
            <w:pPr>
              <w:spacing w:after="0" w:before="0" w:line="264" w:lineRule="auto"/>
            </w:pPr>
            <w:r>
              <w:rPr>
                <w:sz w:val="18"/>
                <w:szCs w:val="18"/>
              </w:rPr>
              <w:t xml:space="preserve">Nutzen, Qualität, Risiken und Kosten bewerten.</w:t>
            </w:r>
          </w:p>
        </w:tc>
        <w:tc>
          <w:tcPr>
            <w:tcW w:type="dxa" w:w="2400"/>
            <w:tcMar>
              <w:top w:type="dxa" w:w="90"/>
              <w:left w:type="dxa" w:w="110"/>
              <w:bottom w:type="dxa" w:w="90"/>
              <w:right w:type="dxa" w:w="110"/>
            </w:tcMar>
          </w:tcPr>
          <w:p>
            <w:pPr>
              <w:spacing w:after="0" w:before="0" w:line="264" w:lineRule="auto"/>
            </w:pPr>
            <w:r>
              <w:rPr>
                <w:sz w:val="18"/>
                <w:szCs w:val="18"/>
              </w:rPr>
              <w:t xml:space="preserve">Go/No-Go und Umsetzungsplan</w:t>
            </w:r>
          </w:p>
        </w:tc>
      </w:tr>
    </w:tbl>
    <w:p>
      <w:pPr>
        <w:keepNext/>
        <w:spacing w:after="80" w:before="240" w:line="288" w:lineRule="auto"/>
      </w:pPr>
      <w:r>
        <w:rPr>
          <w:b/>
          <w:bCs/>
          <w:color w:val="050A30"/>
          <w:sz w:val="20"/>
          <w:szCs w:val="20"/>
        </w:rPr>
        <w:t xml:space="preserve">Was wir von der KfW brauchen</w:t>
      </w:r>
    </w:p>
    <w:p>
      <w:pPr>
        <w:pStyle w:val="ListParagraph"/>
        <w:keepLines/>
        <w:numPr>
          <w:ilvl w:val="0"/>
          <w:numId w:val="6"/>
        </w:numPr>
        <w:spacing w:after="60" w:line="288" w:lineRule="auto"/>
      </w:pPr>
      <w:r>
        <w:t xml:space="preserve">Je Pilot eine fachliche Ansprechperson.</w:t>
      </w:r>
    </w:p>
    <w:p>
      <w:pPr>
        <w:pStyle w:val="ListParagraph"/>
        <w:keepLines/>
        <w:numPr>
          <w:ilvl w:val="0"/>
          <w:numId w:val="6"/>
        </w:numPr>
        <w:spacing w:after="60" w:line="288" w:lineRule="auto"/>
      </w:pPr>
      <w:r>
        <w:t xml:space="preserve">Zugang zu historischen Unterlagen in einer geschützten Umgebung.</w:t>
      </w:r>
    </w:p>
    <w:p>
      <w:pPr>
        <w:pStyle w:val="ListParagraph"/>
        <w:keepLines/>
        <w:numPr>
          <w:ilvl w:val="0"/>
          <w:numId w:val="6"/>
        </w:numPr>
        <w:spacing w:after="60" w:line="288" w:lineRule="auto"/>
      </w:pPr>
      <w:r>
        <w:t xml:space="preserve">Zwei bis drei Stunden Expertenzeit pro Woche für die Bewertung der Ergebnisse.</w:t>
      </w:r>
    </w:p>
    <w:p>
      <w:pPr>
        <w:keepNext/>
        <w:spacing w:after="80" w:before="240" w:line="288" w:lineRule="auto"/>
      </w:pPr>
      <w:r>
        <w:rPr>
          <w:b/>
          <w:bCs/>
          <w:color w:val="050A30"/>
          <w:sz w:val="20"/>
          <w:szCs w:val="20"/>
        </w:rPr>
        <w:t xml:space="preserve">Grundsätze</w:t>
      </w:r>
    </w:p>
    <w:p>
      <w:pPr>
        <w:pStyle w:val="ListParagraph"/>
        <w:keepLines/>
        <w:numPr>
          <w:ilvl w:val="0"/>
          <w:numId w:val="6"/>
        </w:numPr>
        <w:spacing w:after="60" w:line="288" w:lineRule="auto"/>
      </w:pPr>
      <w:r>
        <w:t xml:space="preserve">Das System schlägt vor, Menschen entscheiden.</w:t>
      </w:r>
    </w:p>
    <w:p>
      <w:pPr>
        <w:pStyle w:val="ListParagraph"/>
        <w:keepLines/>
        <w:numPr>
          <w:ilvl w:val="0"/>
          <w:numId w:val="6"/>
        </w:numPr>
        <w:spacing w:after="60" w:line="288" w:lineRule="auto"/>
      </w:pPr>
      <w:r>
        <w:t xml:space="preserve">Jede Aussage ist auf eine Quelle zurückführbar.</w:t>
      </w:r>
    </w:p>
    <w:p>
      <w:pPr>
        <w:pStyle w:val="ListParagraph"/>
        <w:keepLines/>
        <w:numPr>
          <w:ilvl w:val="0"/>
          <w:numId w:val="6"/>
        </w:numPr>
        <w:spacing w:after="60" w:line="288" w:lineRule="auto"/>
      </w:pPr>
      <w:r>
        <w:t xml:space="preserve">Bestehende Modelle, Kontrollen und Prüfmethoden bleiben unverändert.</w:t>
      </w:r>
    </w:p>
    <w:p>
      <w:pPr>
        <w:pStyle w:val="ListParagraph"/>
        <w:keepLines/>
        <w:numPr>
          <w:ilvl w:val="0"/>
          <w:numId w:val="6"/>
        </w:numPr>
        <w:spacing w:after="60" w:line="288" w:lineRule="auto"/>
      </w:pPr>
      <w:r>
        <w:t xml:space="preserve">Aufsichtsrechtliche Anforderungen (u. a. DORA, MaRisk) und der EU AI Act sind von Anfang an berücksichtigt.</w:t>
      </w:r>
    </w:p>
    <w:p>
      <w:pPr>
        <w:keepNext/>
        <w:spacing w:after="80" w:before="240" w:line="288" w:lineRule="auto"/>
      </w:pPr>
      <w:r>
        <w:rPr>
          <w:b/>
          <w:bCs/>
          <w:color w:val="050A30"/>
          <w:sz w:val="20"/>
          <w:szCs w:val="20"/>
        </w:rPr>
        <w:t xml:space="preserve">Nächster Schritt</w:t>
      </w:r>
    </w:p>
    <w:p>
      <w:pPr>
        <w:spacing w:after="120" w:before="0" w:line="288" w:lineRule="auto"/>
      </w:pPr>
      <w:r>
        <w:t xml:space="preserve">Ein 90-minütiger Termin mit den Verantwortlichen der vier Bereiche, um den Stand bei der KfW abzugleichen und ein bis zwei Piloten auszuwählen.</w:t>
      </w:r>
    </w:p>
    <w:p>
      <w:pPr>
        <w:keepNext/>
        <w:pageBreakBefore/>
        <w:spacing w:after="40"/>
      </w:pPr>
      <w:r>
        <w:rPr>
          <w:color w:val="6B7080"/>
          <w:sz w:val="17"/>
          <w:szCs w:val="17"/>
        </w:rPr>
        <w:t xml:space="preserve">Anhang</w:t>
      </w:r>
    </w:p>
    <w:p>
      <w:pPr>
        <w:keepNext/>
        <w:pBdr>
          <w:bottom w:val="single" w:color="050A30" w:sz="6"/>
        </w:pBdr>
        <w:spacing w:after="160" w:line="264" w:lineRule="auto"/>
      </w:pPr>
      <w:r>
        <w:rPr>
          <w:rFonts w:ascii="Cambria" w:cs="Cambria" w:eastAsia="Cambria" w:hAnsi="Cambria"/>
          <w:color w:val="050A30"/>
          <w:sz w:val="36"/>
          <w:szCs w:val="36"/>
        </w:rPr>
        <w:t xml:space="preserve">Quellen und Annahmen</w:t>
      </w:r>
    </w:p>
    <w:p>
      <w:pPr>
        <w:pStyle w:val="ListParagraph"/>
        <w:keepLines/>
        <w:numPr>
          <w:ilvl w:val="0"/>
          <w:numId w:val="6"/>
        </w:numPr>
        <w:spacing w:after="60" w:line="288" w:lineRule="auto"/>
      </w:pPr>
      <w:r>
        <w:rPr>
          <w:sz w:val="18"/>
          <w:szCs w:val="18"/>
        </w:rPr>
        <w:t xml:space="preserve">KfW: Darstellung der Konzernrevision (rund 100 Beschäftigte, vier Abteilungen, ca. 60 Prüfungen p. a.)</w:t>
      </w:r>
    </w:p>
    <w:p>
      <w:pPr>
        <w:pStyle w:val="ListParagraph"/>
        <w:keepLines/>
        <w:numPr>
          <w:ilvl w:val="0"/>
          <w:numId w:val="6"/>
        </w:numPr>
        <w:spacing w:after="60" w:line="288" w:lineRule="auto"/>
      </w:pPr>
      <w:r>
        <w:rPr>
          <w:sz w:val="18"/>
          <w:szCs w:val="18"/>
        </w:rPr>
        <w:t xml:space="preserve">KfW: Finanzbericht 2025 (IKT-Risiken, IKS, OpRisk-Dashboards); Schriftlich fixierte Ordnung (SFO)</w:t>
      </w:r>
    </w:p>
    <w:p>
      <w:pPr>
        <w:pStyle w:val="ListParagraph"/>
        <w:keepLines/>
        <w:numPr>
          <w:ilvl w:val="0"/>
          <w:numId w:val="6"/>
        </w:numPr>
        <w:spacing w:after="60" w:line="288" w:lineRule="auto"/>
      </w:pPr>
      <w:r>
        <w:rPr>
          <w:sz w:val="18"/>
          <w:szCs w:val="18"/>
        </w:rPr>
        <w:t xml:space="preserve">KfW IPEX-Bank: Geschäftszahlen 2025 (Neuzusagen 24,2 Mrd. €, Kreditbestand 88,9 Mrd. €, ECA-Volumen ca. 4,4 Mrd. €, Syndizierungsvolumen 6,9 Mrd. €); Darstellung zur ECA-Produktlandschaft</w:t>
      </w:r>
    </w:p>
    <w:p>
      <w:pPr>
        <w:pStyle w:val="ListParagraph"/>
        <w:keepLines/>
        <w:numPr>
          <w:ilvl w:val="0"/>
          <w:numId w:val="6"/>
        </w:numPr>
        <w:spacing w:after="60" w:line="288" w:lineRule="auto"/>
      </w:pPr>
      <w:r>
        <w:rPr>
          <w:sz w:val="18"/>
          <w:szCs w:val="18"/>
        </w:rPr>
        <w:t xml:space="preserve">EZB-Bankenaufsicht: Aufsichtsprioritäten 2026–2028</w:t>
      </w:r>
    </w:p>
    <w:p>
      <w:pPr>
        <w:pStyle w:val="ListParagraph"/>
        <w:keepLines/>
        <w:numPr>
          <w:ilvl w:val="0"/>
          <w:numId w:val="6"/>
        </w:numPr>
        <w:spacing w:after="60" w:line="288" w:lineRule="auto"/>
      </w:pPr>
      <w:r>
        <w:rPr>
          <w:sz w:val="18"/>
          <w:szCs w:val="18"/>
        </w:rPr>
        <w:t xml:space="preserve">EBA: Leitlinien zum Management von Drittparteienrisiken, finalisiert am 18.09.2026</w:t>
      </w:r>
    </w:p>
    <w:p>
      <w:pPr>
        <w:pStyle w:val="ListParagraph"/>
        <w:keepLines/>
        <w:numPr>
          <w:ilvl w:val="0"/>
          <w:numId w:val="6"/>
        </w:numPr>
        <w:spacing w:after="60" w:line="288" w:lineRule="auto"/>
      </w:pPr>
      <w:r>
        <w:rPr>
          <w:sz w:val="18"/>
          <w:szCs w:val="18"/>
        </w:rPr>
        <w:t xml:space="preserve">Verordnung (EU) 2022/2554 (DORA)</w:t>
      </w:r>
    </w:p>
    <w:p>
      <w:pPr>
        <w:pStyle w:val="ListParagraph"/>
        <w:keepLines/>
        <w:numPr>
          <w:ilvl w:val="0"/>
          <w:numId w:val="6"/>
        </w:numPr>
        <w:spacing w:after="60" w:line="288" w:lineRule="auto"/>
      </w:pPr>
      <w:r>
        <w:rPr>
          <w:sz w:val="18"/>
          <w:szCs w:val="18"/>
        </w:rPr>
        <w:t xml:space="preserve">CISA: Known Exploited Vulnerabilities Catalog; OWASP Top 10:2021, A06; ENISA: Empfehlungen zu SBOM, 22.10.2026</w:t>
      </w:r>
    </w:p>
    <w:p>
      <w:pPr>
        <w:spacing w:after="120"/>
      </w:pPr>
    </w:p>
    <w:p>
      <w:pPr>
        <w:pStyle w:val="ListParagraph"/>
        <w:keepLines/>
        <w:numPr>
          <w:ilvl w:val="0"/>
          <w:numId w:val="6"/>
        </w:numPr>
        <w:spacing w:after="60" w:line="288" w:lineRule="auto"/>
      </w:pPr>
      <w:r>
        <w:rPr>
          <w:sz w:val="18"/>
          <w:szCs w:val="18"/>
        </w:rPr>
        <w:t xml:space="preserve">Rechenbeispiele sind illustrativ. Stunden, Stundensätze und Gebührensätze sind Annahmen, keine KfW-Werte. Implementierungs- und Betriebskosten sind nicht abgezogen.</w:t>
      </w:r>
    </w:p>
    <w:p>
      <w:pPr>
        <w:pStyle w:val="ListParagraph"/>
        <w:keepLines/>
        <w:numPr>
          <w:ilvl w:val="0"/>
          <w:numId w:val="6"/>
        </w:numPr>
        <w:spacing w:after="60" w:line="288" w:lineRule="auto"/>
      </w:pPr>
      <w:r>
        <w:rPr>
          <w:sz w:val="18"/>
          <w:szCs w:val="18"/>
        </w:rPr>
        <w:t xml:space="preserve">Die Priorisierung ist unsere Einschätzung auf Basis öffentlicher Informationen. Den internen Projektstand der KfW kennen wir nicht.</w:t>
      </w:r>
    </w:p>
    <w:p>
      <w:pPr>
        <w:pStyle w:val="ListParagraph"/>
        <w:keepLines/>
        <w:numPr>
          <w:ilvl w:val="0"/>
          <w:numId w:val="6"/>
        </w:numPr>
        <w:spacing w:after="60" w:line="288" w:lineRule="auto"/>
      </w:pPr>
      <w:r>
        <w:rPr>
          <w:sz w:val="18"/>
          <w:szCs w:val="18"/>
        </w:rPr>
        <w:t xml:space="preserve">Stand aller Angaben: Oktober 2026.</w:t>
      </w:r>
    </w:p>
    <w:sectPr>
      <w:headerReference w:type="default" r:id="rId9"/>
      <w:footerReference w:type="default" r:id="rId10"/>
      <w:pgSz w:w="11906" w:h="16838" w:orient="portrait"/>
      <w:pgMar w:top="1418" w:right="1418" w:bottom="1300" w:left="1418" w:header="708"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6B7080"/>
        <w:sz w:val="15"/>
        <w:szCs w:val="15"/>
      </w:rPr>
      <w:t xml:space="preserve">Vertraulich</w:t>
    </w:r>
    <w:r>
      <w:t xml:space="preserve">	</w:t>
    </w:r>
    <w:r>
      <w:rPr>
        <w:color w:val="050A3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9E1" w:sz="4"/>
      </w:pBdr>
      <w:tabs>
        <w:tab w:val="right" w:pos="9070"/>
      </w:tabs>
    </w:pPr>
    <w:r>
      <w:rPr>
        <w:color w:val="6B7080"/>
        <w:sz w:val="15"/>
        <w:szCs w:val="15"/>
      </w:rPr>
      <w:t xml:space="preserve">KfW  |  KI-Anwendungsfälle</w:t>
    </w:r>
    <w:r>
      <w:t xml:space="preserve">	</w:t>
    </w:r>
    <w:r>
      <w:drawing>
        <wp:inline distT="0" distB="0" distL="0" distR="0">
          <wp:extent cx="8572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color w:val="050A30"/>
      </w:rPr>
    </w:lvl>
  </w:abstractNum>
  <w:abstractNum w:abstractNumId="3" w15:restartNumberingAfterBreak="0">
    <w:multiLevelType w:val="hybridMultilevel"/>
    <w:lvl w:ilvl="0" w15:tentative="1">
      <w:start w:val="1"/>
      <w:numFmt w:val="decimal"/>
      <w:lvlText w:val="%1."/>
      <w:lvlJc w:val="left"/>
      <w:pPr>
        <w:ind w:left="360" w:hanging="360"/>
      </w:pPr>
      <w:rPr>
        <w:b/>
        <w:bCs/>
        <w:color w:val="050A30"/>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233"/>
        <w:sz w:val="20"/>
        <w:szCs w:val="20"/>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ce6bee60e59fa09dd2f29a258d93099b13abf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ce6bee60e59fa09dd2f29a258d93099b13abfb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KfW – KI-Anwendungsfälle</dc:title>
  <dc:creator>SH &amp; Partner</dc:creator>
  <cp:lastModifiedBy>Un-named</cp:lastModifiedBy>
  <cp:revision>1</cp:revision>
  <dcterms:created xsi:type="dcterms:W3CDTF">2026-10-26T21:49:52.444Z</dcterms:created>
  <dcterms:modified xsi:type="dcterms:W3CDTF">2026-10-26T21:49:52.445Z</dcterms:modified>
</cp:coreProperties>
</file>

<file path=docProps/custom.xml><?xml version="1.0" encoding="utf-8"?>
<Properties xmlns="http://schemas.openxmlformats.org/officeDocument/2006/custom-properties" xmlns:vt="http://schemas.openxmlformats.org/officeDocument/2006/docPropsVTypes"/>
</file>