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4a53fef06068dbac798a274d9928a7a7b6877d"/>
    <w:p>
      <w:pPr>
        <w:pStyle w:val="Heading1"/>
      </w:pPr>
      <w:r>
        <w:t xml:space="preserve">EXPEDIENTE MAESTRO DE CUMPLIMIENTO — MIRË CENTRO DE BELLEZA INTEGRAL Y DISEÑO</w:t>
      </w:r>
    </w:p>
    <w:p>
      <w:pPr>
        <w:pStyle w:val="FirstParagraph"/>
      </w:pPr>
      <w:r>
        <w:rPr>
          <w:b/>
          <w:bCs/>
        </w:rPr>
        <w:t xml:space="preserve">Establecimiento:</w:t>
      </w:r>
      <w:r>
        <w:t xml:space="preserve"> </w:t>
      </w:r>
      <w:r>
        <w:t xml:space="preserve">MIRË CENTRO DE BELLEZA INTEGRAL Y DISEÑO</w:t>
      </w:r>
      <w:r>
        <w:t xml:space="preserve"> </w:t>
      </w:r>
      <w:r>
        <w:rPr>
          <w:b/>
          <w:bCs/>
        </w:rPr>
        <w:t xml:space="preserve">Giro autorizado:</w:t>
      </w:r>
      <w:r>
        <w:t xml:space="preserve"> </w:t>
      </w:r>
      <w:r>
        <w:t xml:space="preserve">SCIAN 812110 — Salones y clínicas de belleza y peluquerías</w:t>
      </w:r>
      <w:r>
        <w:t xml:space="preserve"> </w:t>
      </w:r>
      <w:r>
        <w:rPr>
          <w:b/>
          <w:bCs/>
        </w:rPr>
        <w:t xml:space="preserve">Aviso de Funcionamiento COFEPRIS:</w:t>
      </w:r>
      <w:r>
        <w:t xml:space="preserve"> </w:t>
      </w:r>
      <w:r>
        <w:t xml:space="preserve">2609135018A00247</w:t>
      </w:r>
      <w:r>
        <w:t xml:space="preserve"> </w:t>
      </w:r>
      <w:r>
        <w:rPr>
          <w:b/>
          <w:bCs/>
        </w:rPr>
        <w:t xml:space="preserve">Domicilio:</w:t>
      </w:r>
      <w:r>
        <w:t xml:space="preserve"> </w:t>
      </w:r>
      <w:r>
        <w:t xml:space="preserve">Av. del Conscripto 13, Col. Manuel Ávila Camacho, C.P. 11610, Alcaldía Miguel Hidalgo, Ciudad de México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— reestructurada por destinatario</w:t>
      </w:r>
      <w:r>
        <w:t xml:space="preserve"> </w:t>
      </w:r>
      <w:r>
        <w:rPr>
          <w:b/>
          <w:bCs/>
        </w:rPr>
        <w:t xml:space="preserve">Documento de control interno. No se entrega a clientes ni a terceros.</w:t>
      </w:r>
    </w:p>
    <w:p>
      <w:r>
        <w:pict>
          <v:rect style="width:0;height:1.5pt" o:hralign="center" o:hrstd="t" o:hr="t"/>
        </w:pict>
      </w:r>
    </w:p>
    <w:bookmarkStart w:id="21" w:name="cómo-está-armado-este-expediente"/>
    <w:p>
      <w:pPr>
        <w:pStyle w:val="Heading2"/>
      </w:pPr>
      <w:r>
        <w:t xml:space="preserve">1. CÓMO ESTÁ ARMADO ESTE EXPEDIENTE</w:t>
      </w:r>
    </w:p>
    <w:p>
      <w:pPr>
        <w:pStyle w:val="FirstParagraph"/>
      </w:pPr>
      <w:r>
        <w:t xml:space="preserve">Seis tomos. Cada tomo es</w:t>
      </w:r>
      <w:r>
        <w:t xml:space="preserve"> </w:t>
      </w:r>
      <w:r>
        <w:rPr>
          <w:b/>
          <w:bCs/>
        </w:rPr>
        <w:t xml:space="preserve">un solo PDF continuo, en blanco y negro, listo para imprimir sin edición previa</w:t>
      </w:r>
      <w:r>
        <w:t xml:space="preserve">. No hay documentos sueltos que haya que buscar ni combinar.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Tomo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Se imprime</w:t>
            </w:r>
          </w:p>
        </w:tc>
        <w:tc>
          <w:tcPr/>
          <w:p>
            <w:pPr>
              <w:pStyle w:val="Compac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</w:pPr>
            <w:r>
              <w:t xml:space="preserve">¿Aparece el nombre de la titular?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Ficha de cliente con ficha clínica, valoración y consentimiento; control de sesiones y dos anexos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hoja</w:t>
            </w:r>
            <w:r>
              <w:t xml:space="preserve"> </w:t>
            </w:r>
            <w:r>
              <w:t xml:space="preserve">por cliente nuevo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Dictamen de riesgo, matriz de procedimientos, plan de acción, protección patrimonial</w:t>
            </w:r>
          </w:p>
        </w:tc>
        <w:tc>
          <w:tcPr/>
          <w:p>
            <w:pPr>
              <w:pStyle w:val="Compact"/>
            </w:pPr>
            <w:r>
              <w:t xml:space="preserve">Un ejemplar, uso reservado</w:t>
            </w:r>
          </w:p>
        </w:tc>
        <w:tc>
          <w:tcPr/>
          <w:p>
            <w:pPr>
              <w:pStyle w:val="Compact"/>
            </w:pPr>
            <w:r>
              <w:t xml:space="preserve">Titular y sus asesores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(es su documento)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Convenio de colaboración e indicación médica</w:t>
            </w:r>
          </w:p>
        </w:tc>
        <w:tc>
          <w:tcPr/>
          <w:p>
            <w:pPr>
              <w:pStyle w:val="Compact"/>
            </w:pPr>
            <w:r>
              <w:t xml:space="preserve">Un juego por médico</w:t>
            </w:r>
          </w:p>
        </w:tc>
        <w:tc>
          <w:tcPr/>
          <w:p>
            <w:pPr>
              <w:pStyle w:val="Compact"/>
            </w:pPr>
            <w:r>
              <w:t xml:space="preserve">Médico que refiere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(es parte contratante)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Política de servicios, guiones, POE de higiene, urgencias, conducta ante autoridad, confidencialidad</w:t>
            </w:r>
          </w:p>
        </w:tc>
        <w:tc>
          <w:tcPr/>
          <w:p>
            <w:pPr>
              <w:pStyle w:val="Compact"/>
            </w:pPr>
            <w:r>
              <w:t xml:space="preserve">Un juego por persona que trabaja en el centro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(se firma como</w:t>
            </w:r>
            <w:r>
              <w:t xml:space="preserve"> </w:t>
            </w:r>
            <w:r>
              <w:t xml:space="preserve">“la Titular”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Carpeta de verificación: ficha del establecimiento, checklist, inventarios y bitácoras</w:t>
            </w:r>
          </w:p>
        </w:tc>
        <w:tc>
          <w:tcPr/>
          <w:p>
            <w:pPr>
              <w:pStyle w:val="Compact"/>
            </w:pPr>
            <w:r>
              <w:t xml:space="preserve">Un ejemplar en carpeta física + copia digital</w:t>
            </w:r>
          </w:p>
        </w:tc>
        <w:tc>
          <w:tcPr/>
          <w:p>
            <w:pPr>
              <w:pStyle w:val="Compact"/>
            </w:pPr>
            <w:r>
              <w:t xml:space="preserve">Autoridad sanitaria en visita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(obligatorio ante autoridad)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Avisos y rótulos para fijar a la vista, y aviso de privacidad integral de recepción</w:t>
            </w:r>
          </w:p>
        </w:tc>
        <w:tc>
          <w:tcPr/>
          <w:p>
            <w:pPr>
              <w:pStyle w:val="Compact"/>
            </w:pPr>
            <w:r>
              <w:t xml:space="preserve">Un ejemplar de cada uno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operativa:</w:t>
      </w:r>
      <w:r>
        <w:t xml:space="preserve"> </w:t>
      </w:r>
      <w:r>
        <w:t xml:space="preserve">la hoja de ficha y consentimiento se llena y se firma</w:t>
      </w:r>
      <w:r>
        <w:t xml:space="preserve"> </w:t>
      </w:r>
      <w:r>
        <w:rPr>
          <w:b/>
          <w:bCs/>
        </w:rPr>
        <w:t xml:space="preserve">completa</w:t>
      </w:r>
      <w:r>
        <w:t xml:space="preserve"> </w:t>
      </w:r>
      <w:r>
        <w:t xml:space="preserve">antes del servicio, por los dos lados. Nunca se atiende sin ella.</w:t>
      </w:r>
    </w:p>
    <w:bookmarkStart w:id="20" w:name="X5e9b29bb43fdb32332498111f19f31d5ee4d92f"/>
    <w:p>
      <w:pPr>
        <w:pStyle w:val="Heading3"/>
      </w:pPr>
      <w:r>
        <w:t xml:space="preserve">1.1 Instrucciones de impresión (ahorro de papel)</w:t>
      </w:r>
    </w:p>
    <w:p>
      <w:pPr>
        <w:pStyle w:val="FirstParagraph"/>
      </w:pPr>
      <w:r>
        <w:t xml:space="preserve">Compuestos para gastar el mínimo de hojas: sin portadas en los tomos de tiraje repetido y con los documentos uno tras otro, separados por línea de corte. Cada uno conserva título y folio, así que sigue siendo identificable aunque comparta hoja.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Tomo</w:t>
            </w:r>
          </w:p>
        </w:tc>
        <w:tc>
          <w:tcPr/>
          <w:p>
            <w:pPr>
              <w:pStyle w:val="Compact"/>
            </w:pPr>
            <w:r>
              <w:t xml:space="preserve">Págs.</w:t>
            </w:r>
          </w:p>
        </w:tc>
        <w:tc>
          <w:tcPr/>
          <w:p>
            <w:pPr>
              <w:pStyle w:val="Compact"/>
            </w:pPr>
            <w:r>
              <w:t xml:space="preserve">Cómo imprimirlo</w:t>
            </w:r>
          </w:p>
        </w:tc>
        <w:tc>
          <w:tcPr/>
          <w:p>
            <w:pPr>
              <w:pStyle w:val="Compact"/>
            </w:pPr>
            <w:r>
              <w:t xml:space="preserve">Hojas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Cliente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Doble cara.</w:t>
            </w:r>
            <w:r>
              <w:t xml:space="preserve"> </w:t>
            </w:r>
            <w:r>
              <w:t xml:space="preserve">Juego base:</w:t>
            </w:r>
            <w:r>
              <w:t xml:space="preserve"> </w:t>
            </w:r>
            <w:r>
              <w:rPr>
                <w:b/>
                <w:bCs/>
              </w:rPr>
              <w:t xml:space="preserve">páginas 1 y 2</w:t>
            </w:r>
            <w:r>
              <w:t xml:space="preserve">, una hoja por cliente. Control de sesiones: página 3,</w:t>
            </w:r>
            <w:r>
              <w:t xml:space="preserve"> </w:t>
            </w:r>
            <w:r>
              <w:rPr>
                <w:b/>
                <w:bCs/>
              </w:rPr>
              <w:t xml:space="preserve">horizontal</w:t>
            </w:r>
            <w:r>
              <w:t xml:space="preserve">, solo si habrá varias sesiones. Anexo A: página 4, solo si viene de cirugía. Anexo B: página 5, solo si autoriza imagen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Titular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Doble cara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Médico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Doble cara. Convenio con su verificación de cédulas, indicación médica por paciente y carta de alcance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Personal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Doble cara. Solo el protocolo de urgencias inicia hoja, porque se fija en el área de servicio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Verificación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Doble cara. Inventario y bitácoras van en</w:t>
            </w:r>
            <w:r>
              <w:t xml:space="preserve"> </w:t>
            </w:r>
            <w:r>
              <w:rPr>
                <w:b/>
                <w:bCs/>
              </w:rPr>
              <w:t xml:space="preserve">hoja horizontal</w:t>
            </w:r>
            <w:r>
              <w:t xml:space="preserve">, una tabla por hoja, y se reemplazan cada mes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· Avisos al público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cara</w:t>
            </w:r>
            <w:r>
              <w:t xml:space="preserve">, un aviso por hoja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de privacidad integral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PDF suelto: se imprime una vez y se deja en recepción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Versiones editables.</w:t>
      </w:r>
      <w:r>
        <w:t xml:space="preserve"> </w:t>
      </w:r>
      <w:r>
        <w:t xml:space="preserve">Cada tomo existe también en Word, en</w:t>
      </w:r>
      <w:r>
        <w:t xml:space="preserve"> </w:t>
      </w:r>
      <w:r>
        <w:rPr>
          <w:rStyle w:val="VerbatimChar"/>
        </w:rPr>
        <w:t xml:space="preserve">EXPEDIENTE_MAESTRO/WORD/</w:t>
      </w:r>
      <w:r>
        <w:t xml:space="preserve">, generado desde la misma fuente. Los documentos de hoja horizontal van en archivo aparte.</w:t>
      </w:r>
      <w:r>
        <w:t xml:space="preserve"> </w:t>
      </w:r>
      <w:r>
        <w:rPr>
          <w:b/>
          <w:bCs/>
        </w:rPr>
        <w:t xml:space="preserve">Si editas el Word, el cambio no regresa al PDF:</w:t>
      </w:r>
      <w:r>
        <w:t xml:space="preserve"> </w:t>
      </w:r>
      <w:r>
        <w:t xml:space="preserve">hazlo en el archivo fuente y regenera.</w:t>
      </w:r>
    </w:p>
    <w:p>
      <w:pPr>
        <w:pStyle w:val="BodyText"/>
      </w:pPr>
      <w:r>
        <w:rPr>
          <w:b/>
          <w:bCs/>
        </w:rPr>
        <w:t xml:space="preserve">El costo recurrente es el Tomo 1:</w:t>
      </w:r>
      <w:r>
        <w:t xml:space="preserve"> </w:t>
      </w:r>
      <w:r>
        <w:t xml:space="preserve">una hoja por cliente. Imprímelo en tiros de 30 o 50, foliado a mano, con copias sueltas del control de sesiones y de los anexos. Al editar cualquier documento, regenerar con</w:t>
      </w:r>
      <w:r>
        <w:t xml:space="preserve"> </w:t>
      </w:r>
      <w:r>
        <w:rPr>
          <w:rStyle w:val="VerbatimChar"/>
        </w:rPr>
        <w:t xml:space="preserve">python3 _build_expediente.py</w:t>
      </w:r>
      <w:r>
        <w:t xml:space="preserve">: avisa si una página quedó con más de 20% de espacio muerto al pie.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f177ab589f8fc21c992f0842102b9ac6aeb7e84"/>
    <w:p>
      <w:pPr>
        <w:pStyle w:val="Heading2"/>
      </w:pPr>
      <w:r>
        <w:t xml:space="preserve">2. POLÍTICA DE IDENTIFICACIÓN DE LA TITULAR (criterio jurídico)</w:t>
      </w:r>
    </w:p>
    <w:p>
      <w:pPr>
        <w:pStyle w:val="FirstParagraph"/>
      </w:pPr>
      <w:r>
        <w:t xml:space="preserve">La instrucción es que</w:t>
      </w:r>
      <w:r>
        <w:t xml:space="preserve"> </w:t>
      </w:r>
      <w:r>
        <w:rPr>
          <w:b/>
          <w:bCs/>
        </w:rPr>
        <w:t xml:space="preserve">la titularidad del negocio no se difunda</w:t>
      </w:r>
      <w:r>
        <w:t xml:space="preserve"> </w:t>
      </w:r>
      <w:r>
        <w:t xml:space="preserve">salvo donde sea necesaria. Así se implementa en este expediente:</w:t>
      </w:r>
    </w:p>
    <w:bookmarkStart w:id="22" w:name="X5befa9b010b86bb5a8db4186851b2d0bde8d926"/>
    <w:p>
      <w:pPr>
        <w:pStyle w:val="Heading3"/>
      </w:pPr>
      <w:r>
        <w:t xml:space="preserve">2.1 Documentos donde NO se imprime el nombre de la titular</w:t>
      </w:r>
    </w:p>
    <w:p>
      <w:pPr>
        <w:pStyle w:val="FirstParagraph"/>
      </w:pPr>
      <w:r>
        <w:t xml:space="preserve">Cliente, personal y público. En ellos el sujeto obligado se identifica como</w:t>
      </w:r>
      <w:r>
        <w:t xml:space="preserve"> </w:t>
      </w:r>
      <w:r>
        <w:rPr>
          <w:b/>
          <w:bCs/>
        </w:rPr>
        <w:t xml:space="preserve">“MIRË CENTRO DE BELLEZA INTEGRAL Y DISEÑO”</w:t>
      </w:r>
      <w:r>
        <w:t xml:space="preserve"> </w:t>
      </w:r>
      <w:r>
        <w:t xml:space="preserve">(nombre comercial del establecimiento), con domicilio, correo y número de Aviso de Funcionamiento. Quien firma lo hace como</w:t>
      </w:r>
      <w:r>
        <w:t xml:space="preserve"> </w:t>
      </w:r>
      <w:r>
        <w:rPr>
          <w:b/>
          <w:bCs/>
        </w:rPr>
        <w:t xml:space="preserve">“la Titular del Establecimiento”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“quien atiende”</w:t>
      </w:r>
      <w:r>
        <w:t xml:space="preserve">, sin asentar el nombre en el cuerpo impreso.</w:t>
      </w:r>
    </w:p>
    <w:p>
      <w:pPr>
        <w:pStyle w:val="BodyText"/>
      </w:pPr>
      <w:r>
        <w:t xml:space="preserve">Sustento: la LFPDPPP exige identificar al</w:t>
      </w:r>
      <w:r>
        <w:t xml:space="preserve"> </w:t>
      </w:r>
      <w:r>
        <w:rPr>
          <w:b/>
          <w:bCs/>
        </w:rPr>
        <w:t xml:space="preserve">responsable</w:t>
      </w:r>
      <w:r>
        <w:t xml:space="preserve"> </w:t>
      </w:r>
      <w:r>
        <w:t xml:space="preserve">y su domicilio, no exhibir su nombre de nacimiento; el nombre comercial del establecimiento, más domicilio y medio de contacto, es identificación suficiente y verificable. En el Aviso de Privacidad Integral se incluye la cláusula de</w:t>
      </w:r>
      <w:r>
        <w:t xml:space="preserve"> </w:t>
      </w:r>
      <w:r>
        <w:rPr>
          <w:b/>
          <w:bCs/>
        </w:rPr>
        <w:t xml:space="preserve">identificación a solicitud del titular de los datos</w:t>
      </w:r>
      <w:r>
        <w:t xml:space="preserve">, que cierra cualquier objeción de transparencia.</w:t>
      </w:r>
    </w:p>
    <w:bookmarkEnd w:id="22"/>
    <w:bookmarkStart w:id="23" w:name="Xc8be2f106cf3379162b2a4bb9a9c882e6c4ed97"/>
    <w:p>
      <w:pPr>
        <w:pStyle w:val="Heading3"/>
      </w:pPr>
      <w:r>
        <w:t xml:space="preserve">2.2 Documentos donde el nombre SÍ va, porque la ley lo exige</w:t>
      </w:r>
    </w:p>
    <w:p>
      <w:pPr>
        <w:pStyle w:val="FirstParagraph"/>
      </w:pPr>
      <w:r>
        <w:t xml:space="preserve">No es negociable 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Aviso de Funcionamiento y trámites ante COFEPRIS/DIGIPRiS</w:t>
      </w:r>
      <w:r>
        <w:t xml:space="preserve"> </w:t>
      </w:r>
      <w:r>
        <w:t xml:space="preserve">— el obligado es la persona física.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Acta de verificación sanitaria</w:t>
      </w:r>
      <w:r>
        <w:t xml:space="preserve"> </w:t>
      </w:r>
      <w:r>
        <w:t xml:space="preserve">y cualquier actuación ante autoridad.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Contratos</w:t>
      </w:r>
      <w:r>
        <w:t xml:space="preserve">: convenio con médicos, arrendamiento del local, contratos laborales, pólizas de seguro.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 fiscal</w:t>
      </w:r>
      <w:r>
        <w:t xml:space="preserve">: RFC, CFDI, constancia de situación fiscal.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IMPI</w:t>
      </w:r>
      <w:r>
        <w:t xml:space="preserve">: solicitud de registro de marca (aunque puede solicitarse a nombre de persona moral si se constituye).</w:t>
      </w:r>
    </w:p>
    <w:bookmarkEnd w:id="23"/>
    <w:bookmarkStart w:id="24" w:name="advertencia-estratégica-leer"/>
    <w:p>
      <w:pPr>
        <w:pStyle w:val="Heading3"/>
      </w:pPr>
      <w:r>
        <w:t xml:space="preserve">2.3 Advertencia estratégica (leer)</w:t>
      </w:r>
    </w:p>
    <w:p>
      <w:pPr>
        <w:pStyle w:val="FirstParagraph"/>
      </w:pPr>
      <w:r>
        <w:t xml:space="preserve">La reserva de titularidad es</w:t>
      </w:r>
      <w:r>
        <w:t xml:space="preserve"> </w:t>
      </w:r>
      <w:r>
        <w:rPr>
          <w:b/>
          <w:bCs/>
        </w:rPr>
        <w:t xml:space="preserve">comercial y reputacional, no defensiva</w:t>
      </w:r>
      <w:r>
        <w:t xml:space="preserve">. Frente a la autoridad la titularidad es pública y trazable: el Aviso de Funcionamiento, el RFC y el domicilio la identifican. Intentar ocultarla en una visita o en un trámite se lee como</w:t>
      </w:r>
      <w:r>
        <w:t xml:space="preserve"> </w:t>
      </w:r>
      <w:r>
        <w:rPr>
          <w:b/>
          <w:bCs/>
        </w:rPr>
        <w:t xml:space="preserve">ocultamiento de información al verificador</w:t>
      </w:r>
      <w:r>
        <w:t xml:space="preserve">, agrava la posición y puede constituir por sí mismo una infracción. Por eso:</w:t>
      </w:r>
    </w:p>
    <w:p>
      <w:pPr>
        <w:pStyle w:val="Compact"/>
        <w:numPr>
          <w:ilvl w:val="0"/>
          <w:numId w:val="1002"/>
        </w:numPr>
      </w:pPr>
      <w:r>
        <w:t xml:space="preserve">Ante COFEPRIS, Alcaldía, Protección Civil, PROFECO o cualquier autoridad:</w:t>
      </w:r>
      <w:r>
        <w:t xml:space="preserve"> </w:t>
      </w:r>
      <w:r>
        <w:rPr>
          <w:b/>
          <w:bCs/>
        </w:rPr>
        <w:t xml:space="preserve">la titular se identifica plenamente y de inmediato.</w:t>
      </w:r>
    </w:p>
    <w:p>
      <w:pPr>
        <w:pStyle w:val="Compact"/>
        <w:numPr>
          <w:ilvl w:val="0"/>
          <w:numId w:val="1002"/>
        </w:numPr>
      </w:pPr>
      <w:r>
        <w:t xml:space="preserve">Ante clientes, público, redes y proveedores no esenciales: se identifica</w:t>
      </w:r>
      <w:r>
        <w:t xml:space="preserve"> </w:t>
      </w:r>
      <w:r>
        <w:rPr>
          <w:b/>
          <w:bCs/>
        </w:rPr>
        <w:t xml:space="preserve">el establecimiento</w:t>
      </w:r>
      <w:r>
        <w:t xml:space="preserve">, no la persona.</w:t>
      </w:r>
    </w:p>
    <w:p>
      <w:pPr>
        <w:pStyle w:val="Compact"/>
        <w:numPr>
          <w:ilvl w:val="0"/>
          <w:numId w:val="1002"/>
        </w:numPr>
      </w:pPr>
      <w:r>
        <w:t xml:space="preserve">El personal</w:t>
      </w:r>
      <w:r>
        <w:t xml:space="preserve"> </w:t>
      </w:r>
      <w:r>
        <w:rPr>
          <w:b/>
          <w:bCs/>
        </w:rPr>
        <w:t xml:space="preserve">no comenta quién es la dueña</w:t>
      </w:r>
      <w:r>
        <w:t xml:space="preserve"> </w:t>
      </w:r>
      <w:r>
        <w:t xml:space="preserve">ni la estructura del negocio con clientes o terceros (Tomo 4, carta de confidencialidad).</w:t>
      </w:r>
    </w:p>
    <w:bookmarkEnd w:id="24"/>
    <w:bookmarkStart w:id="25" w:name="X8586827241180c6c768eedac3de7ac393b7f6a6"/>
    <w:p>
      <w:pPr>
        <w:pStyle w:val="Heading3"/>
      </w:pPr>
      <w:r>
        <w:t xml:space="preserve">2.4 Medida que sí blinda la reserva de titularidad</w:t>
      </w:r>
    </w:p>
    <w:p>
      <w:pPr>
        <w:pStyle w:val="FirstParagraph"/>
      </w:pPr>
      <w:r>
        <w:t xml:space="preserve">Para desatar el negocio del nombre personal, la vía real es</w:t>
      </w:r>
      <w:r>
        <w:t xml:space="preserve"> </w:t>
      </w:r>
      <w:r>
        <w:rPr>
          <w:b/>
          <w:bCs/>
        </w:rPr>
        <w:t xml:space="preserve">constituir persona moral</w:t>
      </w:r>
      <w:r>
        <w:t xml:space="preserve"> </w:t>
      </w:r>
      <w:r>
        <w:t xml:space="preserve">y migrarle el aviso sanitario, los contratos y la facturación: el sujeto visible pasa a ser la sociedad. Se analiza en el Tomo 2. Mientras opere como persona física, la reserva es siempre parcial.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la-de-oro-del-expediente"/>
    <w:p>
      <w:pPr>
        <w:pStyle w:val="Heading2"/>
      </w:pPr>
      <w:r>
        <w:t xml:space="preserve">3. REGLA DE ORO DEL EXPEDIENTE</w:t>
      </w:r>
    </w:p>
    <w:p>
      <w:pPr>
        <w:pStyle w:val="FirstParagraph"/>
      </w:pPr>
      <w:r>
        <w:t xml:space="preserve">No sirve para aparentar cumplimiento, sino para</w:t>
      </w:r>
      <w:r>
        <w:t xml:space="preserve"> </w:t>
      </w:r>
      <w:r>
        <w:rPr>
          <w:b/>
          <w:bCs/>
        </w:rPr>
        <w:t xml:space="preserve">sostener que la operación real coincide con el giro autorizado</w:t>
      </w:r>
      <w:r>
        <w:t xml:space="preserve">. Un documento que contradice lo que pasa en el establecimiento no protege:</w:t>
      </w:r>
      <w:r>
        <w:t xml:space="preserve"> </w:t>
      </w:r>
      <w:r>
        <w:rPr>
          <w:b/>
          <w:bCs/>
        </w:rPr>
        <w:t xml:space="preserve">acusa</w:t>
      </w:r>
      <w:r>
        <w:t xml:space="preserve">, porque es prueba fechada y firmada en contra.</w:t>
      </w:r>
    </w:p>
    <w:bookmarkEnd w:id="27"/>
    <w:bookmarkStart w:id="28" w:name="resguardo"/>
    <w:p>
      <w:pPr>
        <w:pStyle w:val="Heading2"/>
      </w:pPr>
      <w:r>
        <w:t xml:space="preserve">4. RESGUARDO</w:t>
      </w:r>
    </w:p>
    <w:p>
      <w:pPr>
        <w:pStyle w:val="FirstParagraph"/>
      </w:pPr>
      <w:r>
        <w:t xml:space="preserve">Las hojas firmadas del Tomo 1 y el Tomo 2 contienen datos sensibles y estrategia legal:</w:t>
      </w:r>
      <w:r>
        <w:t xml:space="preserve"> </w:t>
      </w:r>
      <w:r>
        <w:rPr>
          <w:b/>
          <w:bCs/>
        </w:rPr>
        <w:t xml:space="preserve">bajo llave, con acceso exclusivo de la titular</w:t>
      </w:r>
      <w:r>
        <w:t xml:space="preserve">. Copias digitales en carpeta con contraseña,</w:t>
      </w:r>
      <w:r>
        <w:t xml:space="preserve"> </w:t>
      </w:r>
      <w:r>
        <w:rPr>
          <w:b/>
          <w:bCs/>
        </w:rPr>
        <w:t xml:space="preserve">nunca en galerías de teléfono ni en chats</w:t>
      </w:r>
      <w:r>
        <w:t xml:space="preserve">. Última revisión del expediente: ____/____/20____ por ______________________.</w:t>
      </w:r>
    </w:p>
    <w:bookmarkEnd w:id="28"/>
    <w:bookmarkEnd w:id="29"/>
    <w:sectPr>
      <w:pgSz w:h="15840" w:w="122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2026-07-30T04:26:53Z</dcterms:created>
  <dcterms:modified xsi:type="dcterms:W3CDTF">2026-07-30T04:26:53Z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