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CD412" w14:textId="77777777" w:rsidR="00993ED5" w:rsidRDefault="00892AD0" w:rsidP="00DA1D25">
      <w:pPr>
        <w:pStyle w:val="Title"/>
        <w:jc w:val="left"/>
      </w:pPr>
      <w:r>
        <w:t>PhD thesis</w:t>
      </w:r>
    </w:p>
    <w:p w14:paraId="1C307901" w14:textId="77777777" w:rsidR="00993ED5" w:rsidRDefault="00892AD0" w:rsidP="00DA1D25">
      <w:pPr>
        <w:jc w:val="left"/>
      </w:pPr>
      <w:proofErr w:type="spellStart"/>
      <w:r>
        <w:t>Elías</w:t>
      </w:r>
      <w:proofErr w:type="spellEnd"/>
      <w:r>
        <w:t xml:space="preserve"> </w:t>
      </w:r>
      <w:proofErr w:type="spellStart"/>
      <w:r>
        <w:t>Sæbjörn</w:t>
      </w:r>
      <w:proofErr w:type="spellEnd"/>
      <w:r>
        <w:t xml:space="preserve"> </w:t>
      </w:r>
      <w:proofErr w:type="spellStart"/>
      <w:r>
        <w:t>Eyþórsson</w:t>
      </w:r>
      <w:proofErr w:type="spellEnd"/>
    </w:p>
    <w:p w14:paraId="0A9ED343" w14:textId="77777777" w:rsidR="00993ED5" w:rsidRDefault="00892AD0" w:rsidP="00DA1D25">
      <w:pPr>
        <w:jc w:val="left"/>
      </w:pPr>
      <w:r>
        <w:t>2018-11-05</w:t>
      </w:r>
    </w:p>
    <w:p w14:paraId="0A1B7827" w14:textId="77777777" w:rsidR="00993ED5" w:rsidRDefault="00892AD0" w:rsidP="00DA1D25">
      <w:pPr>
        <w:pStyle w:val="Heading1"/>
      </w:pPr>
      <w:bookmarkStart w:id="0" w:name="preamble"/>
      <w:bookmarkEnd w:id="0"/>
      <w:r>
        <w:t>Preamble</w:t>
      </w:r>
    </w:p>
    <w:p w14:paraId="5ADD163B" w14:textId="77777777" w:rsidR="00993ED5" w:rsidRDefault="00892AD0" w:rsidP="00DA1D25">
      <w:pPr>
        <w:jc w:val="left"/>
      </w:pPr>
      <w:r>
        <w:t>Placeholder</w:t>
      </w:r>
    </w:p>
    <w:p w14:paraId="6EAAB9C3" w14:textId="77777777" w:rsidR="00993ED5" w:rsidRDefault="00892AD0" w:rsidP="00DA1D25">
      <w:pPr>
        <w:pStyle w:val="Heading1"/>
      </w:pPr>
      <w:bookmarkStart w:id="1" w:name="intro"/>
      <w:bookmarkEnd w:id="1"/>
      <w:r>
        <w:t>Introduction</w:t>
      </w:r>
    </w:p>
    <w:p w14:paraId="26A54FFF" w14:textId="77777777" w:rsidR="00993ED5" w:rsidRDefault="00892AD0" w:rsidP="00DA1D25">
      <w:pPr>
        <w:jc w:val="left"/>
      </w:pPr>
      <w:r>
        <w:t>Placeholder</w:t>
      </w:r>
    </w:p>
    <w:p w14:paraId="2EFAC1AE" w14:textId="77777777" w:rsidR="00993ED5" w:rsidRDefault="00892AD0" w:rsidP="00DA1D25">
      <w:pPr>
        <w:pStyle w:val="Heading2"/>
      </w:pPr>
      <w:bookmarkStart w:id="2" w:name="clinical-manifestations-of-streptococcus"/>
      <w:bookmarkEnd w:id="2"/>
      <w:r>
        <w:t xml:space="preserve">Clinical manifestations of </w:t>
      </w:r>
      <w:r>
        <w:rPr>
          <w:i/>
        </w:rPr>
        <w:t>Streptococcus pneumoniae</w:t>
      </w:r>
    </w:p>
    <w:p w14:paraId="64E4F418" w14:textId="77777777" w:rsidR="00993ED5" w:rsidRDefault="00892AD0" w:rsidP="00DA1D25">
      <w:pPr>
        <w:pStyle w:val="Heading3"/>
      </w:pPr>
      <w:bookmarkStart w:id="3" w:name="acute-otitis-media"/>
      <w:bookmarkEnd w:id="3"/>
      <w:r>
        <w:t>Acute otitis media</w:t>
      </w:r>
    </w:p>
    <w:p w14:paraId="3E752C4A" w14:textId="77777777" w:rsidR="00993ED5" w:rsidRDefault="00892AD0" w:rsidP="00DA1D25">
      <w:pPr>
        <w:pStyle w:val="Heading4"/>
      </w:pPr>
      <w:bookmarkStart w:id="4" w:name="pathogens-implicated-in-acute-otitis-med"/>
      <w:bookmarkEnd w:id="4"/>
      <w:r>
        <w:t>Pathogens implicated in acute otitis media</w:t>
      </w:r>
    </w:p>
    <w:p w14:paraId="3030D81E" w14:textId="77777777" w:rsidR="00993ED5" w:rsidRDefault="00892AD0" w:rsidP="00DA1D25">
      <w:pPr>
        <w:pStyle w:val="Heading4"/>
      </w:pPr>
      <w:bookmarkStart w:id="5" w:name="healthcare-burden-of-otitis-media"/>
      <w:bookmarkEnd w:id="5"/>
      <w:r>
        <w:t>Healthcare burden of otitis media</w:t>
      </w:r>
    </w:p>
    <w:p w14:paraId="5CDFCA71" w14:textId="77777777" w:rsidR="00993ED5" w:rsidRDefault="00892AD0" w:rsidP="00DA1D25">
      <w:pPr>
        <w:pStyle w:val="Heading4"/>
      </w:pPr>
      <w:bookmarkStart w:id="6" w:name="tympanostomy-tube-procedures"/>
      <w:bookmarkEnd w:id="6"/>
      <w:proofErr w:type="spellStart"/>
      <w:r>
        <w:t>Tympanostomy</w:t>
      </w:r>
      <w:proofErr w:type="spellEnd"/>
      <w:r>
        <w:t xml:space="preserve"> tube procedures</w:t>
      </w:r>
    </w:p>
    <w:p w14:paraId="10663F33" w14:textId="77777777" w:rsidR="00993ED5" w:rsidRDefault="00892AD0" w:rsidP="00DA1D25">
      <w:pPr>
        <w:pStyle w:val="Heading4"/>
      </w:pPr>
      <w:bookmarkStart w:id="7" w:name="acute-otitis-media-in-iceland"/>
      <w:bookmarkEnd w:id="7"/>
      <w:r>
        <w:t>Acute otitis media in Iceland</w:t>
      </w:r>
    </w:p>
    <w:p w14:paraId="3D933B74" w14:textId="77777777" w:rsidR="00993ED5" w:rsidRDefault="00892AD0" w:rsidP="00DA1D25">
      <w:pPr>
        <w:pStyle w:val="Heading3"/>
      </w:pPr>
      <w:bookmarkStart w:id="8" w:name="pneumonia"/>
      <w:bookmarkEnd w:id="8"/>
      <w:r>
        <w:t>Pneumonia</w:t>
      </w:r>
    </w:p>
    <w:p w14:paraId="545CA642" w14:textId="77777777" w:rsidR="00993ED5" w:rsidRDefault="00892AD0" w:rsidP="00DA1D25">
      <w:pPr>
        <w:pStyle w:val="Heading4"/>
      </w:pPr>
      <w:bookmarkStart w:id="9" w:name="pathogens-causing-pneumonia"/>
      <w:bookmarkEnd w:id="9"/>
      <w:r>
        <w:t>Pathogens causing pneumonia</w:t>
      </w:r>
    </w:p>
    <w:p w14:paraId="01631902" w14:textId="77777777" w:rsidR="00993ED5" w:rsidRDefault="00892AD0" w:rsidP="00DA1D25">
      <w:pPr>
        <w:pStyle w:val="Heading4"/>
      </w:pPr>
      <w:bookmarkStart w:id="10" w:name="healthcare-burden-of-pneumonia"/>
      <w:bookmarkEnd w:id="10"/>
      <w:r>
        <w:t>Healthcare burden of pneumonia</w:t>
      </w:r>
    </w:p>
    <w:p w14:paraId="51C30BD6" w14:textId="77777777" w:rsidR="00993ED5" w:rsidRDefault="00892AD0" w:rsidP="00DA1D25">
      <w:pPr>
        <w:pStyle w:val="Heading4"/>
      </w:pPr>
      <w:bookmarkStart w:id="11" w:name="pneumonia-in-iceland"/>
      <w:bookmarkEnd w:id="11"/>
      <w:r>
        <w:t>Pneumonia in Iceland</w:t>
      </w:r>
    </w:p>
    <w:p w14:paraId="42A9EDBB" w14:textId="77777777" w:rsidR="00993ED5" w:rsidRDefault="00892AD0" w:rsidP="00DA1D25">
      <w:pPr>
        <w:pStyle w:val="Heading3"/>
      </w:pPr>
      <w:bookmarkStart w:id="12" w:name="invasive-pneumococcal-disease"/>
      <w:bookmarkEnd w:id="12"/>
      <w:r>
        <w:t>Invasive pneumococcal disease</w:t>
      </w:r>
    </w:p>
    <w:p w14:paraId="0C11EDD6" w14:textId="77777777" w:rsidR="00993ED5" w:rsidRDefault="00892AD0" w:rsidP="00DA1D25">
      <w:pPr>
        <w:pStyle w:val="Heading2"/>
      </w:pPr>
      <w:bookmarkStart w:id="13" w:name="pneumococcal-vaccines"/>
      <w:bookmarkEnd w:id="13"/>
      <w:r>
        <w:t>Pneumococcal vaccines</w:t>
      </w:r>
    </w:p>
    <w:p w14:paraId="26DDE87C" w14:textId="77777777" w:rsidR="00993ED5" w:rsidRDefault="00892AD0" w:rsidP="00DA1D25">
      <w:pPr>
        <w:pStyle w:val="Heading3"/>
      </w:pPr>
      <w:bookmarkStart w:id="14" w:name="a-brief-history-of-pneumococcal-vaccinat"/>
      <w:bookmarkEnd w:id="14"/>
      <w:r>
        <w:t>A brief history of pneumococcal vaccination</w:t>
      </w:r>
    </w:p>
    <w:p w14:paraId="2A2CAA4D" w14:textId="77777777" w:rsidR="00993ED5" w:rsidRDefault="00892AD0" w:rsidP="00DA1D25">
      <w:pPr>
        <w:pStyle w:val="Heading3"/>
      </w:pPr>
      <w:bookmarkStart w:id="15" w:name="key-concepts-in-pneumococcal-vaccine-epi"/>
      <w:bookmarkEnd w:id="15"/>
      <w:r>
        <w:t>Key concepts in pneumococcal vaccine epidemiology</w:t>
      </w:r>
    </w:p>
    <w:p w14:paraId="0E8E09DE" w14:textId="77777777" w:rsidR="00993ED5" w:rsidRDefault="00892AD0" w:rsidP="00DA1D25">
      <w:pPr>
        <w:pStyle w:val="Heading3"/>
      </w:pPr>
      <w:r>
        <w:lastRenderedPageBreak/>
        <w:t>The impact of pneumococcal conjugate vaccines on otitis media</w:t>
      </w:r>
    </w:p>
    <w:p w14:paraId="7A1D3E78" w14:textId="77777777" w:rsidR="00993ED5" w:rsidRDefault="00892AD0" w:rsidP="00DA1D25">
      <w:pPr>
        <w:pStyle w:val="Heading4"/>
      </w:pPr>
      <w:bookmarkStart w:id="16" w:name="randomized-controlled-trials"/>
      <w:bookmarkEnd w:id="16"/>
      <w:r>
        <w:t>Randomized controlled trials</w:t>
      </w:r>
    </w:p>
    <w:p w14:paraId="4EF283F8" w14:textId="77777777" w:rsidR="00993ED5" w:rsidRDefault="00892AD0" w:rsidP="00DA1D25">
      <w:pPr>
        <w:pStyle w:val="Heading4"/>
      </w:pPr>
      <w:bookmarkStart w:id="17" w:name="observational-studies"/>
      <w:bookmarkEnd w:id="17"/>
      <w:r>
        <w:t>Observational studies</w:t>
      </w:r>
    </w:p>
    <w:p w14:paraId="48BD9D08" w14:textId="77777777" w:rsidR="00993ED5" w:rsidRDefault="00892AD0" w:rsidP="00DA1D25">
      <w:pPr>
        <w:pStyle w:val="Heading3"/>
      </w:pPr>
      <w:r>
        <w:t>The impact of pneumococcal conjugate vaccines on pneumonia</w:t>
      </w:r>
    </w:p>
    <w:p w14:paraId="2D3E10E0" w14:textId="77777777" w:rsidR="00993ED5" w:rsidRDefault="00892AD0" w:rsidP="00DA1D25">
      <w:pPr>
        <w:pStyle w:val="Heading3"/>
      </w:pPr>
      <w:bookmarkStart w:id="18" w:name="the-impact-of-pneumococcal-conjugate-vac"/>
      <w:bookmarkEnd w:id="18"/>
      <w:r>
        <w:t>The impact of pneumococcal conjugate vaccines on Invasive pneumococcal disease</w:t>
      </w:r>
    </w:p>
    <w:p w14:paraId="411A3A77" w14:textId="77777777" w:rsidR="00993ED5" w:rsidRDefault="00892AD0" w:rsidP="00DA1D25">
      <w:pPr>
        <w:pStyle w:val="Heading2"/>
      </w:pPr>
      <w:bookmarkStart w:id="19" w:name="cost-effectiveness-in-the-context-of-pne"/>
      <w:bookmarkEnd w:id="19"/>
      <w:r>
        <w:t>Cost-effectiveness in the context of pneumococcal conjugate vaccination</w:t>
      </w:r>
    </w:p>
    <w:p w14:paraId="2641BFF3" w14:textId="77777777" w:rsidR="00993ED5" w:rsidRDefault="00892AD0" w:rsidP="00DA1D25">
      <w:pPr>
        <w:pStyle w:val="Heading3"/>
      </w:pPr>
      <w:bookmarkStart w:id="20" w:name="measurement-of-effectiveness-and-choice-"/>
      <w:bookmarkEnd w:id="20"/>
      <w:r>
        <w:t>Measurement of effectiveness and choice of health outcomes</w:t>
      </w:r>
    </w:p>
    <w:p w14:paraId="436D8327" w14:textId="77777777" w:rsidR="00993ED5" w:rsidRDefault="00892AD0" w:rsidP="00DA1D25">
      <w:pPr>
        <w:pStyle w:val="Heading4"/>
      </w:pPr>
      <w:bookmarkStart w:id="21" w:name="health-outcomes-considered"/>
      <w:bookmarkEnd w:id="21"/>
      <w:r>
        <w:t>Health outcomes considered</w:t>
      </w:r>
    </w:p>
    <w:p w14:paraId="5B4D39A5" w14:textId="77777777" w:rsidR="00993ED5" w:rsidRDefault="00892AD0" w:rsidP="00DA1D25">
      <w:pPr>
        <w:pStyle w:val="Heading4"/>
      </w:pPr>
      <w:bookmarkStart w:id="22" w:name="effectiveness-of-pneumococcal-conjugate-"/>
      <w:bookmarkEnd w:id="22"/>
      <w:r>
        <w:t>Effectiveness of pneumococcal conjugate vaccines</w:t>
      </w:r>
    </w:p>
    <w:p w14:paraId="3CA95DE9" w14:textId="77777777" w:rsidR="00993ED5" w:rsidRDefault="00892AD0" w:rsidP="00DA1D25">
      <w:pPr>
        <w:pStyle w:val="Heading3"/>
      </w:pPr>
      <w:bookmarkStart w:id="23" w:name="estimating-resources-and-cost"/>
      <w:bookmarkEnd w:id="23"/>
      <w:r>
        <w:t>Estimating resources and cost</w:t>
      </w:r>
    </w:p>
    <w:p w14:paraId="48848DDC" w14:textId="77777777" w:rsidR="00993ED5" w:rsidRDefault="00892AD0" w:rsidP="00DA1D25">
      <w:pPr>
        <w:pStyle w:val="Heading1"/>
      </w:pPr>
      <w:bookmarkStart w:id="24" w:name="aims"/>
      <w:bookmarkEnd w:id="24"/>
      <w:r>
        <w:t>Aims</w:t>
      </w:r>
    </w:p>
    <w:p w14:paraId="2042FF13" w14:textId="77777777" w:rsidR="00993ED5" w:rsidRDefault="00892AD0" w:rsidP="00DA1D25">
      <w:pPr>
        <w:pStyle w:val="Heading1"/>
      </w:pPr>
      <w:bookmarkStart w:id="25" w:name="methods"/>
      <w:bookmarkEnd w:id="25"/>
      <w:r>
        <w:t>Materials and methods</w:t>
      </w:r>
    </w:p>
    <w:p w14:paraId="454040B0" w14:textId="77777777" w:rsidR="00993ED5" w:rsidRDefault="00892AD0" w:rsidP="00DA1D25">
      <w:pPr>
        <w:jc w:val="left"/>
      </w:pPr>
      <w:r>
        <w:t>Placeholder</w:t>
      </w:r>
    </w:p>
    <w:p w14:paraId="4CFE7009" w14:textId="77777777" w:rsidR="00993ED5" w:rsidRDefault="00892AD0" w:rsidP="00DA1D25">
      <w:pPr>
        <w:pStyle w:val="Heading2"/>
      </w:pPr>
      <w:bookmarkStart w:id="26" w:name="data-collection-and-sources"/>
      <w:bookmarkEnd w:id="26"/>
      <w:r>
        <w:t>Data collection and sources</w:t>
      </w:r>
    </w:p>
    <w:p w14:paraId="581CE9C7" w14:textId="77777777" w:rsidR="00993ED5" w:rsidRDefault="00892AD0" w:rsidP="00DA1D25">
      <w:pPr>
        <w:pStyle w:val="Heading3"/>
      </w:pPr>
      <w:bookmarkStart w:id="27" w:name="statistics-iceland"/>
      <w:bookmarkEnd w:id="27"/>
      <w:r>
        <w:t>Statistics Iceland</w:t>
      </w:r>
    </w:p>
    <w:p w14:paraId="68414F55" w14:textId="77777777" w:rsidR="00993ED5" w:rsidRDefault="00892AD0" w:rsidP="00DA1D25">
      <w:pPr>
        <w:pStyle w:val="Heading3"/>
      </w:pPr>
      <w:bookmarkStart w:id="28" w:name="landspitali-university-hospital-inpatien"/>
      <w:bookmarkEnd w:id="28"/>
      <w:proofErr w:type="spellStart"/>
      <w:r>
        <w:t>Landspitali</w:t>
      </w:r>
      <w:proofErr w:type="spellEnd"/>
      <w:r>
        <w:t xml:space="preserve"> University Hospital inpatient registry</w:t>
      </w:r>
    </w:p>
    <w:p w14:paraId="2C8D5A21" w14:textId="77777777" w:rsidR="00993ED5" w:rsidRDefault="00892AD0" w:rsidP="00DA1D25">
      <w:pPr>
        <w:pStyle w:val="Heading3"/>
      </w:pPr>
      <w:bookmarkStart w:id="29" w:name="the-primary-care-registry"/>
      <w:bookmarkEnd w:id="29"/>
      <w:r>
        <w:t>The Primary Care Registry</w:t>
      </w:r>
    </w:p>
    <w:p w14:paraId="45C76D31" w14:textId="77777777" w:rsidR="00993ED5" w:rsidRDefault="00892AD0" w:rsidP="00DA1D25">
      <w:pPr>
        <w:pStyle w:val="Heading3"/>
      </w:pPr>
      <w:bookmarkStart w:id="30" w:name="the-national-vaccine-registry"/>
      <w:bookmarkEnd w:id="30"/>
      <w:r>
        <w:t>The National Vaccine Registry</w:t>
      </w:r>
    </w:p>
    <w:p w14:paraId="0EB4DC67" w14:textId="77777777" w:rsidR="00993ED5" w:rsidRDefault="00892AD0" w:rsidP="00DA1D25">
      <w:pPr>
        <w:pStyle w:val="Heading3"/>
      </w:pPr>
      <w:bookmarkStart w:id="31" w:name="the-national-drug-prescription-registry"/>
      <w:bookmarkEnd w:id="31"/>
      <w:r>
        <w:lastRenderedPageBreak/>
        <w:t>The National Drug Prescription Registry</w:t>
      </w:r>
    </w:p>
    <w:p w14:paraId="4B780899" w14:textId="77777777" w:rsidR="00993ED5" w:rsidRDefault="00892AD0" w:rsidP="00DA1D25">
      <w:pPr>
        <w:pStyle w:val="Heading3"/>
      </w:pPr>
      <w:bookmarkStart w:id="32" w:name="reimbursement-database-of-icelandic-heal"/>
      <w:bookmarkEnd w:id="32"/>
      <w:r>
        <w:t>Reimbursement database of Icelandic Health Insurance</w:t>
      </w:r>
    </w:p>
    <w:p w14:paraId="56EEC3BA" w14:textId="77777777" w:rsidR="00993ED5" w:rsidRDefault="00892AD0" w:rsidP="00DA1D25">
      <w:pPr>
        <w:pStyle w:val="Heading2"/>
      </w:pPr>
      <w:bookmarkStart w:id="33" w:name="paper-1"/>
      <w:bookmarkEnd w:id="33"/>
      <w:r>
        <w:t>Paper 1</w:t>
      </w:r>
    </w:p>
    <w:p w14:paraId="20D790DC" w14:textId="77777777" w:rsidR="00993ED5" w:rsidRDefault="00892AD0" w:rsidP="00DA1D25">
      <w:pPr>
        <w:pStyle w:val="Heading2"/>
      </w:pPr>
      <w:bookmarkStart w:id="34" w:name="paper-2"/>
      <w:bookmarkEnd w:id="34"/>
      <w:r>
        <w:t>Paper 2</w:t>
      </w:r>
    </w:p>
    <w:p w14:paraId="08DD1D0B" w14:textId="77777777" w:rsidR="00993ED5" w:rsidRDefault="00892AD0" w:rsidP="00DA1D25">
      <w:pPr>
        <w:jc w:val="left"/>
      </w:pPr>
      <w:del w:id="35" w:author="andrea55" w:date="2018-11-06T10:53:00Z">
        <w:r w:rsidDel="00DA1D25">
          <w:delText>This study</w:delText>
        </w:r>
      </w:del>
      <w:ins w:id="36" w:author="andrea55" w:date="2018-11-06T10:53:00Z">
        <w:r w:rsidR="00DA1D25">
          <w:t>Paper 2</w:t>
        </w:r>
      </w:ins>
      <w:r>
        <w:t xml:space="preserve"> is a whole-population observational cohort study that followed all children born in Iceland between January 1, 2005 and December 31, 2015</w:t>
      </w:r>
      <w:ins w:id="37" w:author="andrea55" w:date="2018-11-06T10:54:00Z">
        <w:r w:rsidR="00DA1D25">
          <w:t>,</w:t>
        </w:r>
      </w:ins>
      <w:r>
        <w:t xml:space="preserve"> from birth until three years of age, death or end of the study period. All primary care visits in which an ICD-10 diagnostic code of </w:t>
      </w:r>
      <w:proofErr w:type="spellStart"/>
      <w:r>
        <w:t>suppurative</w:t>
      </w:r>
      <w:proofErr w:type="spellEnd"/>
      <w:r>
        <w:t xml:space="preserve"> otitis media (H66) was recorded were included. Any visits </w:t>
      </w:r>
      <w:proofErr w:type="spellStart"/>
      <w:r>
        <w:t>occuring</w:t>
      </w:r>
      <w:proofErr w:type="spellEnd"/>
      <w:r>
        <w:t xml:space="preserve"> within 30 days of a previously documented visit by the same child were excluded from the main analysis.</w:t>
      </w:r>
    </w:p>
    <w:p w14:paraId="25AFEFA9" w14:textId="77777777" w:rsidR="00993ED5" w:rsidRDefault="00892AD0" w:rsidP="00DA1D25">
      <w:pPr>
        <w:pStyle w:val="BodyText"/>
        <w:jc w:val="left"/>
      </w:pPr>
      <w:r>
        <w:t>Data were obtained from the Primary Care Registry of the Icelandic Directorate of Health</w:t>
      </w:r>
      <w:del w:id="38" w:author="andrea55" w:date="2018-11-06T10:54:00Z">
        <w:r w:rsidDel="00DA1D25">
          <w:delText>. Data</w:delText>
        </w:r>
      </w:del>
      <w:ins w:id="39" w:author="andrea55" w:date="2018-11-06T10:54:00Z">
        <w:r w:rsidR="00DA1D25">
          <w:t>, and</w:t>
        </w:r>
      </w:ins>
      <w:r>
        <w:t xml:space="preserve"> included all ICD-10 codes associated with the visit, as well as the date of the visit, age and gender of the child, and physician identification number. The study identification number used to identify unique individuals is directly derived from the national </w:t>
      </w:r>
      <w:proofErr w:type="spellStart"/>
      <w:r>
        <w:t>indentification</w:t>
      </w:r>
      <w:proofErr w:type="spellEnd"/>
      <w:r>
        <w:t xml:space="preserve"> numbers issued to </w:t>
      </w:r>
      <w:proofErr w:type="gramStart"/>
      <w:r>
        <w:t>each individual</w:t>
      </w:r>
      <w:proofErr w:type="gramEnd"/>
      <w:r>
        <w:t xml:space="preserve"> by the government. Individuals who had immigrated to Iceland after birth were excluded. Demographic population data was obtained from Statistics Iceland.</w:t>
      </w:r>
    </w:p>
    <w:p w14:paraId="6989F6DE" w14:textId="77777777" w:rsidR="00993ED5" w:rsidRDefault="00892AD0" w:rsidP="00DA1D25">
      <w:pPr>
        <w:pStyle w:val="BodyText"/>
        <w:jc w:val="left"/>
      </w:pPr>
      <w:r>
        <w:t xml:space="preserve">Cohorts were defined based on year of birth, or vaccine eligibility. Birth-cohorts 2005–2010 were grouped as vaccine non-eligible cohorts (VNEC) and birth-cohorts 2011–2015 as vaccine eligible cohorts (VEC). Statistical analyses were performed in R version 3.4.4. (R Core Team </w:t>
      </w:r>
      <w:hyperlink w:anchor="ref-R-base">
        <w:r>
          <w:rPr>
            <w:rStyle w:val="Hyperlink"/>
          </w:rPr>
          <w:t>2018</w:t>
        </w:r>
      </w:hyperlink>
      <w:r>
        <w:t>) using the R packages; survival (</w:t>
      </w:r>
      <w:proofErr w:type="spellStart"/>
      <w:r>
        <w:t>Therneau</w:t>
      </w:r>
      <w:proofErr w:type="spellEnd"/>
      <w:r>
        <w:t xml:space="preserve"> </w:t>
      </w:r>
      <w:hyperlink w:anchor="ref-R-survival">
        <w:r>
          <w:rPr>
            <w:rStyle w:val="Hyperlink"/>
          </w:rPr>
          <w:t>2017</w:t>
        </w:r>
      </w:hyperlink>
      <w:r>
        <w:t>), RMS [@-</w:t>
      </w:r>
      <w:proofErr w:type="spellStart"/>
      <w:r>
        <w:t>rms</w:t>
      </w:r>
      <w:proofErr w:type="spellEnd"/>
      <w:r>
        <w:t xml:space="preserve">] and </w:t>
      </w:r>
      <w:proofErr w:type="spellStart"/>
      <w:r>
        <w:t>epiR</w:t>
      </w:r>
      <w:proofErr w:type="spellEnd"/>
      <w:r>
        <w:t xml:space="preserve"> (Stevenson et al. </w:t>
      </w:r>
      <w:hyperlink w:anchor="ref-R-epiR">
        <w:r>
          <w:rPr>
            <w:rStyle w:val="Hyperlink"/>
          </w:rPr>
          <w:t>2017</w:t>
        </w:r>
      </w:hyperlink>
      <w:r>
        <w:t>).</w:t>
      </w:r>
    </w:p>
    <w:p w14:paraId="6CD07FA2" w14:textId="77777777" w:rsidR="00993ED5" w:rsidRDefault="00892AD0" w:rsidP="00DA1D25">
      <w:pPr>
        <w:pStyle w:val="BodyText"/>
        <w:jc w:val="left"/>
      </w:pPr>
      <w:r>
        <w:t>Crude incidence rates (</w:t>
      </w:r>
      <m:oMath>
        <m:r>
          <w:rPr>
            <w:rFonts w:ascii="Cambria Math" w:hAnsi="Cambria Math"/>
          </w:rPr>
          <m:t>IR</m:t>
        </m:r>
      </m:oMath>
      <w:r>
        <w:t>) were calculated per 100 person-years at risk for each birth cohort, stratified by four-month age brackets. The individual time at-risk was carefully constructed</w:t>
      </w:r>
      <w:ins w:id="40" w:author="andrea55" w:date="2018-11-06T10:58:00Z">
        <w:r w:rsidR="00DA1D25">
          <w:t xml:space="preserve"> to</w:t>
        </w:r>
      </w:ins>
      <w:del w:id="41" w:author="andrea55" w:date="2018-11-06T10:56:00Z">
        <w:r w:rsidDel="00DA1D25">
          <w:delText>,</w:delText>
        </w:r>
      </w:del>
      <w:del w:id="42" w:author="andrea55" w:date="2018-11-06T10:58:00Z">
        <w:r w:rsidDel="00DA1D25">
          <w:delText xml:space="preserve"> </w:delText>
        </w:r>
      </w:del>
      <w:del w:id="43" w:author="andrea55" w:date="2018-11-06T10:56:00Z">
        <w:r w:rsidDel="00DA1D25">
          <w:delText xml:space="preserve">and </w:delText>
        </w:r>
      </w:del>
      <w:ins w:id="44" w:author="andrea55" w:date="2018-11-06T10:56:00Z">
        <w:r w:rsidR="00DA1D25">
          <w:t xml:space="preserve"> </w:t>
        </w:r>
      </w:ins>
      <w:r>
        <w:t>exclude</w:t>
      </w:r>
      <w:del w:id="45" w:author="andrea55" w:date="2018-11-06T10:58:00Z">
        <w:r w:rsidDel="00DA1D25">
          <w:delText>d</w:delText>
        </w:r>
      </w:del>
      <w:r>
        <w:t xml:space="preserve"> the 30 days following each recorded otitis media visit</w:t>
      </w:r>
      <w:ins w:id="46" w:author="andrea55" w:date="2018-11-06T10:59:00Z">
        <w:r w:rsidR="00DA1D25">
          <w:t>.</w:t>
        </w:r>
      </w:ins>
      <w:del w:id="47" w:author="andrea55" w:date="2018-11-06T10:59:00Z">
        <w:r w:rsidDel="00DA1D25">
          <w:delText>,</w:delText>
        </w:r>
      </w:del>
      <w:r>
        <w:t xml:space="preserve"> </w:t>
      </w:r>
      <w:ins w:id="48" w:author="andrea55" w:date="2018-11-06T10:59:00Z">
        <w:r w:rsidR="00DA1D25">
          <w:t xml:space="preserve">This </w:t>
        </w:r>
      </w:ins>
      <w:ins w:id="49" w:author="andrea55" w:date="2018-11-06T10:57:00Z">
        <w:r w:rsidR="00DA1D25">
          <w:t>avoid</w:t>
        </w:r>
      </w:ins>
      <w:ins w:id="50" w:author="andrea55" w:date="2018-11-06T10:59:00Z">
        <w:r w:rsidR="00DA1D25">
          <w:t>ed</w:t>
        </w:r>
      </w:ins>
      <w:ins w:id="51" w:author="andrea55" w:date="2018-11-06T10:57:00Z">
        <w:r w:rsidR="00DA1D25">
          <w:t xml:space="preserve"> th</w:t>
        </w:r>
      </w:ins>
      <w:ins w:id="52" w:author="andrea55" w:date="2018-11-06T10:59:00Z">
        <w:r w:rsidR="00DA1D25">
          <w:t xml:space="preserve">e </w:t>
        </w:r>
      </w:ins>
      <w:ins w:id="53" w:author="andrea55" w:date="2018-11-06T10:57:00Z">
        <w:r w:rsidR="00DA1D25">
          <w:t xml:space="preserve"> period previously designated as </w:t>
        </w:r>
      </w:ins>
      <w:ins w:id="54" w:author="andrea55" w:date="2018-11-06T10:58:00Z">
        <w:r w:rsidR="00DA1D25">
          <w:t>outside the study's time parameters.</w:t>
        </w:r>
      </w:ins>
      <w:del w:id="55" w:author="andrea55" w:date="2018-11-06T11:01:00Z">
        <w:r w:rsidDel="00DA1D25">
          <w:delText>so as not to include time in which it was impossible for a visit to be recorded due to the study design.</w:delText>
        </w:r>
      </w:del>
      <w:r>
        <w:t xml:space="preserve"> Crude incidence rate ratios (</w:t>
      </w:r>
      <m:oMath>
        <m:r>
          <w:rPr>
            <w:rFonts w:ascii="Cambria Math" w:hAnsi="Cambria Math"/>
          </w:rPr>
          <m:t>IRR</m:t>
        </m:r>
      </m:oMath>
      <w:r>
        <w:t>) between VNEC and VEC were calculated</w:t>
      </w:r>
      <w:ins w:id="56" w:author="andrea55" w:date="2018-11-06T11:01:00Z">
        <w:r w:rsidR="00DA1D25">
          <w:t>,</w:t>
        </w:r>
      </w:ins>
      <w:r>
        <w:t xml:space="preserve"> and confidence intervals estimated</w:t>
      </w:r>
      <w:ins w:id="57" w:author="andrea55" w:date="2018-11-06T11:01:00Z">
        <w:r w:rsidR="00DA1D25">
          <w:t>,</w:t>
        </w:r>
      </w:ins>
      <w:r>
        <w:t xml:space="preserve"> assuming Poisson variance.</w:t>
      </w:r>
    </w:p>
    <w:p w14:paraId="15BD53A7" w14:textId="77777777" w:rsidR="00993ED5" w:rsidRDefault="00892AD0" w:rsidP="00DA1D25">
      <w:pPr>
        <w:pStyle w:val="BodyText"/>
        <w:jc w:val="left"/>
      </w:pPr>
      <w:r>
        <w:t xml:space="preserve">In the subset of children who had full follow-up time, the number of children who experienced </w:t>
      </w:r>
      <m:oMath>
        <m:r>
          <w:rPr>
            <w:rFonts w:ascii="Cambria Math" w:hAnsi="Cambria Math"/>
          </w:rPr>
          <m:t>k</m:t>
        </m:r>
        <w:proofErr w:type="gramStart"/>
        <m:r>
          <w:rPr>
            <w:rFonts w:ascii="Cambria Math" w:hAnsi="Cambria Math"/>
          </w:rPr>
          <m:t>={</m:t>
        </m:r>
        <w:proofErr w:type="gramEnd"/>
        <m:r>
          <w:rPr>
            <w:rFonts w:ascii="Cambria Math" w:hAnsi="Cambria Math"/>
          </w:rPr>
          <m:t>0,1,...,12}</m:t>
        </m:r>
      </m:oMath>
      <w:r>
        <w:t xml:space="preserve"> episodes of otitis media were tabulated and the distribution between VNEC and VEC </w:t>
      </w:r>
      <w:r>
        <w:lastRenderedPageBreak/>
        <w:t xml:space="preserve">compared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 homogeneity, Additionally, the crude risk ratio between the VEC and VNEC of experiencing 0, 1–4, or &gt;5 episodes of otitis media before three years of age was calculated.</w:t>
      </w:r>
    </w:p>
    <w:p w14:paraId="1B3EF36E" w14:textId="77777777" w:rsidR="00993ED5" w:rsidRDefault="00892AD0" w:rsidP="00DA1D25">
      <w:pPr>
        <w:pStyle w:val="BodyText"/>
        <w:jc w:val="left"/>
      </w:pPr>
      <w:r>
        <w:t xml:space="preserve">The Andersen-Gill extension of the Cox regression model for repeated events was used to model </w:t>
      </w:r>
      <w:del w:id="58" w:author="andrea55" w:date="2018-11-06T11:06:00Z">
        <w:r w:rsidDel="009C3987">
          <w:delText xml:space="preserve">the </w:delText>
        </w:r>
      </w:del>
      <w:r>
        <w:t>data on the individual level</w:t>
      </w:r>
      <w:ins w:id="59" w:author="andrea55" w:date="2018-11-06T11:05:00Z">
        <w:r w:rsidR="009C3987">
          <w:t>,</w:t>
        </w:r>
      </w:ins>
      <w:r>
        <w:t xml:space="preserve"> and to account for censoring of follow-up time (Andersen and Gill </w:t>
      </w:r>
      <w:hyperlink w:anchor="ref-Andersen1982">
        <w:r>
          <w:rPr>
            <w:rStyle w:val="Hyperlink"/>
          </w:rPr>
          <w:t>1982</w:t>
        </w:r>
      </w:hyperlink>
      <w:r>
        <w:t xml:space="preserve">). To correct for successive visits by the same individual, Lin and Wei’s sandwich variance estimates were used (Lin and Wei </w:t>
      </w:r>
      <w:hyperlink w:anchor="ref-Lin1989">
        <w:r>
          <w:rPr>
            <w:rStyle w:val="Hyperlink"/>
          </w:rPr>
          <w:t>1989</w:t>
        </w:r>
      </w:hyperlink>
      <w:r>
        <w:t xml:space="preserve">). From this model, the hazard ratio (HR) of otitis media visits between each birth-cohort and the last vaccine non-eligible cohort was </w:t>
      </w:r>
      <w:proofErr w:type="spellStart"/>
      <w:r>
        <w:t>caclulated</w:t>
      </w:r>
      <w:proofErr w:type="spellEnd"/>
      <w:r>
        <w:t>. The impact of PHiD-CV10 on otitis media visits was calculated using 1 – (HR between the last vaccine-eligible birth cohort and the last vaccine non-eligible cohort).</w:t>
      </w:r>
    </w:p>
    <w:p w14:paraId="590D7A8E" w14:textId="77777777" w:rsidR="00993ED5" w:rsidRDefault="00892AD0" w:rsidP="00DA1D25">
      <w:pPr>
        <w:pStyle w:val="BodyText"/>
        <w:jc w:val="left"/>
      </w:pPr>
      <w:r>
        <w:t xml:space="preserve">The HR between VNEC and VEC was calculated for each number of previous otitis media visits, and the mean number of episodes as a function of age was estimated from the model using the generalized Nelson-Aalen estimator (Cook and Lawless </w:t>
      </w:r>
      <w:hyperlink w:anchor="ref-Cook2007">
        <w:r>
          <w:rPr>
            <w:rStyle w:val="Hyperlink"/>
          </w:rPr>
          <w:t>2007</w:t>
        </w:r>
      </w:hyperlink>
      <w:r>
        <w:t>). To determine the number of otitis media episodes prevented in the first five years of the vaccination, each child’s follow-up time was multiplied by the Nelson-</w:t>
      </w:r>
      <w:proofErr w:type="spellStart"/>
      <w:r>
        <w:t>Aelen</w:t>
      </w:r>
      <w:proofErr w:type="spellEnd"/>
      <w:r>
        <w:t xml:space="preserve"> estimate of the mean number of episodes. The absolute reduction in the incidence rate was then calculated by dividing the estimated number of prevented episodes with the total person-time of the VEC.</w:t>
      </w:r>
      <w:bookmarkStart w:id="60" w:name="_GoBack"/>
      <w:bookmarkEnd w:id="60"/>
    </w:p>
    <w:p w14:paraId="7523913E" w14:textId="77777777" w:rsidR="00993ED5" w:rsidRDefault="00892AD0" w:rsidP="00DA1D25">
      <w:pPr>
        <w:pStyle w:val="Heading1"/>
      </w:pPr>
      <w:bookmarkStart w:id="61" w:name="results"/>
      <w:bookmarkEnd w:id="61"/>
      <w:r>
        <w:t>Results</w:t>
      </w:r>
    </w:p>
    <w:p w14:paraId="7087FACC" w14:textId="77777777" w:rsidR="00993ED5" w:rsidRDefault="00892AD0" w:rsidP="00DA1D25">
      <w:pPr>
        <w:pStyle w:val="Heading2"/>
      </w:pPr>
      <w:bookmarkStart w:id="62" w:name="paper-1-1"/>
      <w:bookmarkEnd w:id="62"/>
      <w:r>
        <w:t>Paper 1</w:t>
      </w:r>
    </w:p>
    <w:p w14:paraId="2BAD46F1" w14:textId="77777777" w:rsidR="00993ED5" w:rsidRDefault="00892AD0" w:rsidP="00DA1D25">
      <w:pPr>
        <w:pStyle w:val="Heading1"/>
      </w:pPr>
      <w:bookmarkStart w:id="63" w:name="discussion"/>
      <w:bookmarkEnd w:id="63"/>
      <w:r>
        <w:t>Discussion</w:t>
      </w:r>
    </w:p>
    <w:p w14:paraId="31875582" w14:textId="77777777" w:rsidR="00993ED5" w:rsidRDefault="00892AD0" w:rsidP="00DA1D25">
      <w:pPr>
        <w:jc w:val="left"/>
      </w:pPr>
      <w:r>
        <w:t xml:space="preserve">Andersen, P. K., and R. D. Gill. 1982. “Cox’s Regression Model for Counting Processes: A Large Sample Study.” </w:t>
      </w:r>
      <w:r>
        <w:rPr>
          <w:i/>
        </w:rPr>
        <w:t>The Annals of Statistics</w:t>
      </w:r>
      <w:r>
        <w:t xml:space="preserve"> 10 (4): 1100–1120. doi:</w:t>
      </w:r>
      <w:hyperlink r:id="rId7">
        <w:r>
          <w:rPr>
            <w:rStyle w:val="Hyperlink"/>
          </w:rPr>
          <w:t>10.1214/</w:t>
        </w:r>
        <w:proofErr w:type="spellStart"/>
        <w:r>
          <w:rPr>
            <w:rStyle w:val="Hyperlink"/>
          </w:rPr>
          <w:t>aos</w:t>
        </w:r>
        <w:proofErr w:type="spellEnd"/>
        <w:r>
          <w:rPr>
            <w:rStyle w:val="Hyperlink"/>
          </w:rPr>
          <w:t>/1176345976</w:t>
        </w:r>
      </w:hyperlink>
      <w:r>
        <w:t>.</w:t>
      </w:r>
    </w:p>
    <w:p w14:paraId="2FE81A6B" w14:textId="77777777" w:rsidR="00993ED5" w:rsidRDefault="00892AD0" w:rsidP="00DA1D25">
      <w:pPr>
        <w:jc w:val="left"/>
      </w:pPr>
      <w:r>
        <w:lastRenderedPageBreak/>
        <w:t xml:space="preserve">Cook, Richard J. (Richard John), and Jerald F. Lawless. 2007. </w:t>
      </w:r>
      <w:r>
        <w:rPr>
          <w:i/>
        </w:rPr>
        <w:t>The statistical analysis of recurrent events</w:t>
      </w:r>
      <w:r>
        <w:t>. Springer.</w:t>
      </w:r>
    </w:p>
    <w:p w14:paraId="764A4B91" w14:textId="77777777" w:rsidR="00993ED5" w:rsidRDefault="00892AD0" w:rsidP="00DA1D25">
      <w:pPr>
        <w:jc w:val="left"/>
      </w:pPr>
      <w:r>
        <w:t xml:space="preserve">Lin, D. Y., and L. J. Wei. 1989. “The Robust Inference for the Cox Proportional Hazards Model.” </w:t>
      </w:r>
      <w:r>
        <w:rPr>
          <w:i/>
        </w:rPr>
        <w:t>Journal of the American Statistical Association</w:t>
      </w:r>
      <w:r>
        <w:t xml:space="preserve"> 84 (408): 1074–8. doi:</w:t>
      </w:r>
      <w:hyperlink r:id="rId8">
        <w:r>
          <w:rPr>
            <w:rStyle w:val="Hyperlink"/>
          </w:rPr>
          <w:t>10.1080/01621459.1989.10478874</w:t>
        </w:r>
      </w:hyperlink>
      <w:r>
        <w:t>.</w:t>
      </w:r>
    </w:p>
    <w:p w14:paraId="1B41EB92" w14:textId="77777777" w:rsidR="00993ED5" w:rsidRDefault="00892AD0" w:rsidP="00DA1D25">
      <w:pPr>
        <w:jc w:val="left"/>
      </w:pPr>
      <w:r>
        <w:t xml:space="preserve">R Core Team. 2018. </w:t>
      </w:r>
      <w:r>
        <w:rPr>
          <w:i/>
        </w:rPr>
        <w:t>R: A Language and Environment for Statistical Computing</w:t>
      </w:r>
      <w:r>
        <w:t xml:space="preserve">. Vienna, Austria: R Foundation for Statistical Computing. </w:t>
      </w:r>
      <w:hyperlink r:id="rId9">
        <w:r>
          <w:rPr>
            <w:rStyle w:val="Hyperlink"/>
          </w:rPr>
          <w:t>https://www.R-project.org/</w:t>
        </w:r>
      </w:hyperlink>
      <w:r>
        <w:t>.</w:t>
      </w:r>
    </w:p>
    <w:p w14:paraId="4AF6F71C" w14:textId="77777777" w:rsidR="00993ED5" w:rsidRDefault="00892AD0" w:rsidP="00DA1D25">
      <w:pPr>
        <w:jc w:val="left"/>
      </w:pPr>
      <w:r>
        <w:t xml:space="preserve">Stevenson, Mark, </w:t>
      </w:r>
      <w:proofErr w:type="spellStart"/>
      <w:r>
        <w:t>Telmo</w:t>
      </w:r>
      <w:proofErr w:type="spellEnd"/>
      <w:r>
        <w:t xml:space="preserve"> </w:t>
      </w:r>
      <w:proofErr w:type="spellStart"/>
      <w:r>
        <w:t>Nunes</w:t>
      </w:r>
      <w:proofErr w:type="spellEnd"/>
      <w:r>
        <w:t xml:space="preserve">, Cord </w:t>
      </w:r>
      <w:proofErr w:type="spellStart"/>
      <w:r>
        <w:t>Heuer</w:t>
      </w:r>
      <w:proofErr w:type="spellEnd"/>
      <w:r>
        <w:t xml:space="preserve">, Jonathon Marshall, Javier Sanchez, Ron Thornton, </w:t>
      </w:r>
      <w:proofErr w:type="spellStart"/>
      <w:r>
        <w:t>Jeno</w:t>
      </w:r>
      <w:proofErr w:type="spellEnd"/>
      <w:r>
        <w:t xml:space="preserve"> </w:t>
      </w:r>
      <w:proofErr w:type="spellStart"/>
      <w:r>
        <w:t>Reiczigel</w:t>
      </w:r>
      <w:proofErr w:type="spellEnd"/>
      <w:r>
        <w:t xml:space="preserve">, Jim Robison-Cox, Paola </w:t>
      </w:r>
      <w:proofErr w:type="spellStart"/>
      <w:r>
        <w:t>Sebastiani</w:t>
      </w:r>
      <w:proofErr w:type="spellEnd"/>
      <w:r>
        <w:t xml:space="preserve">, and Peter </w:t>
      </w:r>
      <w:proofErr w:type="spellStart"/>
      <w:r>
        <w:t>Solymos</w:t>
      </w:r>
      <w:proofErr w:type="spellEnd"/>
      <w:r>
        <w:t xml:space="preserve">. 2017. </w:t>
      </w:r>
      <w:proofErr w:type="spellStart"/>
      <w:r>
        <w:rPr>
          <w:i/>
        </w:rPr>
        <w:t>EpiR</w:t>
      </w:r>
      <w:proofErr w:type="spellEnd"/>
      <w:r>
        <w:rPr>
          <w:i/>
        </w:rPr>
        <w:t>: Tools for the Analysis of Epidemiological Data</w:t>
      </w:r>
      <w:r>
        <w:t xml:space="preserve">. </w:t>
      </w:r>
      <w:hyperlink r:id="rId10">
        <w:r>
          <w:rPr>
            <w:rStyle w:val="Hyperlink"/>
          </w:rPr>
          <w:t>https://CRAN.R-project.org/package=epiR</w:t>
        </w:r>
      </w:hyperlink>
      <w:r>
        <w:t>.</w:t>
      </w:r>
    </w:p>
    <w:p w14:paraId="7F72DA6A" w14:textId="77777777" w:rsidR="00993ED5" w:rsidRDefault="00892AD0" w:rsidP="00DA1D25">
      <w:pPr>
        <w:jc w:val="left"/>
      </w:pPr>
      <w:proofErr w:type="spellStart"/>
      <w:r>
        <w:t>Therneau</w:t>
      </w:r>
      <w:proofErr w:type="spellEnd"/>
      <w:r>
        <w:t xml:space="preserve">, Terry M. 2017. </w:t>
      </w:r>
      <w:r>
        <w:rPr>
          <w:i/>
        </w:rPr>
        <w:t>Survival: Survival Analysis</w:t>
      </w:r>
      <w:r>
        <w:t xml:space="preserve">. </w:t>
      </w:r>
      <w:hyperlink r:id="rId11">
        <w:r>
          <w:rPr>
            <w:rStyle w:val="Hyperlink"/>
          </w:rPr>
          <w:t>https://CRAN.R-project.org/package=survival</w:t>
        </w:r>
      </w:hyperlink>
      <w:r>
        <w:t>.</w:t>
      </w:r>
    </w:p>
    <w:sectPr w:rsidR="00993ED5" w:rsidSect="001A0A42">
      <w:headerReference w:type="default" r:id="rId12"/>
      <w:footerReference w:type="default" r:id="rId13"/>
      <w:headerReference w:type="first" r:id="rId14"/>
      <w:footerReference w:type="first" r:id="rId15"/>
      <w:type w:val="oddPage"/>
      <w:pgSz w:w="9979" w:h="14175" w:code="34"/>
      <w:pgMar w:top="1474" w:right="1474" w:bottom="1474" w:left="1644" w:header="680" w:footer="510"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DA5F5" w14:textId="77777777" w:rsidR="002F2DD5" w:rsidRDefault="002F2DD5" w:rsidP="00993ED5">
      <w:pPr>
        <w:spacing w:before="0" w:after="0" w:line="240" w:lineRule="auto"/>
      </w:pPr>
      <w:r>
        <w:separator/>
      </w:r>
    </w:p>
  </w:endnote>
  <w:endnote w:type="continuationSeparator" w:id="0">
    <w:p w14:paraId="2FC00D16" w14:textId="77777777" w:rsidR="002F2DD5" w:rsidRDefault="002F2DD5" w:rsidP="00993E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68A94" w14:textId="77777777" w:rsidR="00D039DA" w:rsidRDefault="002F2DD5">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E9B85" w14:textId="77777777" w:rsidR="00D039DA" w:rsidRDefault="002F2DD5" w:rsidP="003F1D58">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84CEE" w14:textId="77777777" w:rsidR="002F2DD5" w:rsidRDefault="002F2DD5">
      <w:r>
        <w:separator/>
      </w:r>
    </w:p>
  </w:footnote>
  <w:footnote w:type="continuationSeparator" w:id="0">
    <w:p w14:paraId="3AE7606F" w14:textId="77777777" w:rsidR="002F2DD5" w:rsidRDefault="002F2D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7779B" w14:textId="77777777" w:rsidR="00D039DA" w:rsidRPr="00E13EE5" w:rsidRDefault="002F2DD5" w:rsidP="00F476EA">
    <w:pPr>
      <w:pStyle w:val="Header"/>
      <w:rPr>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8F627" w14:textId="77777777" w:rsidR="00D039DA" w:rsidRPr="00D00592" w:rsidRDefault="00892AD0" w:rsidP="00D00592">
    <w:pPr>
      <w:pStyle w:val="Header"/>
      <w:ind w:firstLine="0"/>
      <w:rPr>
        <w:lang w:val="is-IS"/>
      </w:rPr>
    </w:pPr>
    <w:r>
      <w:rPr>
        <w:noProof/>
        <w:lang w:val="en-GB" w:eastAsia="en-GB"/>
      </w:rPr>
      <w:drawing>
        <wp:anchor distT="0" distB="0" distL="114300" distR="114300" simplePos="0" relativeHeight="251657728" behindDoc="1" locked="0" layoutInCell="1" allowOverlap="1" wp14:anchorId="4E750234" wp14:editId="79E26731">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877997"/>
    <w:multiLevelType w:val="multilevel"/>
    <w:tmpl w:val="A32672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3">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5">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8">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9">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2">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2"/>
  </w:num>
  <w:num w:numId="5">
    <w:abstractNumId w:val="5"/>
  </w:num>
  <w:num w:numId="6">
    <w:abstractNumId w:val="10"/>
  </w:num>
  <w:num w:numId="7">
    <w:abstractNumId w:val="8"/>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6"/>
  </w:num>
  <w:num w:numId="19">
    <w:abstractNumId w:val="6"/>
  </w:num>
  <w:num w:numId="20">
    <w:abstractNumId w:val="9"/>
  </w:num>
  <w:num w:numId="21">
    <w:abstractNumId w:val="3"/>
  </w:num>
  <w:num w:numId="22">
    <w:abstractNumId w:val="1"/>
  </w:num>
  <w:num w:numId="23">
    <w:abstractNumId w:val="2"/>
  </w:num>
  <w:num w:numId="24">
    <w:abstractNumId w:val="4"/>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F2DD5"/>
    <w:rsid w:val="004E29B3"/>
    <w:rsid w:val="00590D07"/>
    <w:rsid w:val="00784D58"/>
    <w:rsid w:val="007D5EBC"/>
    <w:rsid w:val="00892AD0"/>
    <w:rsid w:val="008D6863"/>
    <w:rsid w:val="00993ED5"/>
    <w:rsid w:val="009C3987"/>
    <w:rsid w:val="00B86B75"/>
    <w:rsid w:val="00BC48D5"/>
    <w:rsid w:val="00C36279"/>
    <w:rsid w:val="00DA1D25"/>
    <w:rsid w:val="00E315A3"/>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BA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rsid w:val="00993ED5"/>
    <w:pPr>
      <w:shd w:val="clear" w:color="auto" w:fill="F8F8F8"/>
      <w:wordWrap w:val="0"/>
    </w:pPr>
  </w:style>
  <w:style w:type="character" w:customStyle="1" w:styleId="KeywordTok">
    <w:name w:val="KeywordTok"/>
    <w:rsid w:val="00993ED5"/>
    <w:rPr>
      <w:b/>
      <w:color w:val="204A87"/>
      <w:shd w:val="clear" w:color="auto" w:fill="F8F8F8"/>
    </w:rPr>
  </w:style>
  <w:style w:type="character" w:customStyle="1" w:styleId="DataTypeTok">
    <w:name w:val="DataTypeTok"/>
    <w:rsid w:val="00993ED5"/>
    <w:rPr>
      <w:color w:val="204A87"/>
      <w:shd w:val="clear" w:color="auto" w:fill="F8F8F8"/>
    </w:rPr>
  </w:style>
  <w:style w:type="character" w:customStyle="1" w:styleId="DecValTok">
    <w:name w:val="DecValTok"/>
    <w:rsid w:val="00993ED5"/>
    <w:rPr>
      <w:color w:val="0000CF"/>
      <w:shd w:val="clear" w:color="auto" w:fill="F8F8F8"/>
    </w:rPr>
  </w:style>
  <w:style w:type="character" w:customStyle="1" w:styleId="BaseNTok">
    <w:name w:val="BaseNTok"/>
    <w:rsid w:val="00993ED5"/>
    <w:rPr>
      <w:color w:val="0000CF"/>
      <w:shd w:val="clear" w:color="auto" w:fill="F8F8F8"/>
    </w:rPr>
  </w:style>
  <w:style w:type="character" w:customStyle="1" w:styleId="FloatTok">
    <w:name w:val="FloatTok"/>
    <w:rsid w:val="00993ED5"/>
    <w:rPr>
      <w:color w:val="0000CF"/>
      <w:shd w:val="clear" w:color="auto" w:fill="F8F8F8"/>
    </w:rPr>
  </w:style>
  <w:style w:type="character" w:customStyle="1" w:styleId="ConstantTok">
    <w:name w:val="ConstantTok"/>
    <w:rsid w:val="00993ED5"/>
    <w:rPr>
      <w:color w:val="000000"/>
      <w:shd w:val="clear" w:color="auto" w:fill="F8F8F8"/>
    </w:rPr>
  </w:style>
  <w:style w:type="character" w:customStyle="1" w:styleId="CharTok">
    <w:name w:val="CharTok"/>
    <w:rsid w:val="00993ED5"/>
    <w:rPr>
      <w:color w:val="4E9A06"/>
      <w:shd w:val="clear" w:color="auto" w:fill="F8F8F8"/>
    </w:rPr>
  </w:style>
  <w:style w:type="character" w:customStyle="1" w:styleId="SpecialCharTok">
    <w:name w:val="SpecialCharTok"/>
    <w:rsid w:val="00993ED5"/>
    <w:rPr>
      <w:color w:val="000000"/>
      <w:shd w:val="clear" w:color="auto" w:fill="F8F8F8"/>
    </w:rPr>
  </w:style>
  <w:style w:type="character" w:customStyle="1" w:styleId="StringTok">
    <w:name w:val="StringTok"/>
    <w:rsid w:val="00993ED5"/>
    <w:rPr>
      <w:color w:val="4E9A06"/>
      <w:shd w:val="clear" w:color="auto" w:fill="F8F8F8"/>
    </w:rPr>
  </w:style>
  <w:style w:type="character" w:customStyle="1" w:styleId="VerbatimStringTok">
    <w:name w:val="VerbatimStringTok"/>
    <w:rsid w:val="00993ED5"/>
    <w:rPr>
      <w:color w:val="4E9A06"/>
      <w:shd w:val="clear" w:color="auto" w:fill="F8F8F8"/>
    </w:rPr>
  </w:style>
  <w:style w:type="character" w:customStyle="1" w:styleId="SpecialStringTok">
    <w:name w:val="SpecialStringTok"/>
    <w:rsid w:val="00993ED5"/>
    <w:rPr>
      <w:color w:val="4E9A06"/>
      <w:shd w:val="clear" w:color="auto" w:fill="F8F8F8"/>
    </w:rPr>
  </w:style>
  <w:style w:type="character" w:customStyle="1" w:styleId="ImportTok">
    <w:name w:val="ImportTok"/>
    <w:rsid w:val="00993ED5"/>
    <w:rPr>
      <w:shd w:val="clear" w:color="auto" w:fill="F8F8F8"/>
    </w:rPr>
  </w:style>
  <w:style w:type="character" w:customStyle="1" w:styleId="CommentTok">
    <w:name w:val="CommentTok"/>
    <w:rsid w:val="00993ED5"/>
    <w:rPr>
      <w:i/>
      <w:color w:val="8F5902"/>
      <w:shd w:val="clear" w:color="auto" w:fill="F8F8F8"/>
    </w:rPr>
  </w:style>
  <w:style w:type="character" w:customStyle="1" w:styleId="DocumentationTok">
    <w:name w:val="DocumentationTok"/>
    <w:rsid w:val="00993ED5"/>
    <w:rPr>
      <w:b/>
      <w:i/>
      <w:color w:val="8F5902"/>
      <w:shd w:val="clear" w:color="auto" w:fill="F8F8F8"/>
    </w:rPr>
  </w:style>
  <w:style w:type="character" w:customStyle="1" w:styleId="AnnotationTok">
    <w:name w:val="AnnotationTok"/>
    <w:rsid w:val="00993ED5"/>
    <w:rPr>
      <w:b/>
      <w:i/>
      <w:color w:val="8F5902"/>
      <w:shd w:val="clear" w:color="auto" w:fill="F8F8F8"/>
    </w:rPr>
  </w:style>
  <w:style w:type="character" w:customStyle="1" w:styleId="CommentVarTok">
    <w:name w:val="CommentVarTok"/>
    <w:rsid w:val="00993ED5"/>
    <w:rPr>
      <w:b/>
      <w:i/>
      <w:color w:val="8F5902"/>
      <w:shd w:val="clear" w:color="auto" w:fill="F8F8F8"/>
    </w:rPr>
  </w:style>
  <w:style w:type="character" w:customStyle="1" w:styleId="OtherTok">
    <w:name w:val="OtherTok"/>
    <w:rsid w:val="00993ED5"/>
    <w:rPr>
      <w:color w:val="8F5902"/>
      <w:shd w:val="clear" w:color="auto" w:fill="F8F8F8"/>
    </w:rPr>
  </w:style>
  <w:style w:type="character" w:customStyle="1" w:styleId="FunctionTok">
    <w:name w:val="FunctionTok"/>
    <w:rsid w:val="00993ED5"/>
    <w:rPr>
      <w:color w:val="000000"/>
      <w:shd w:val="clear" w:color="auto" w:fill="F8F8F8"/>
    </w:rPr>
  </w:style>
  <w:style w:type="character" w:customStyle="1" w:styleId="VariableTok">
    <w:name w:val="VariableTok"/>
    <w:rsid w:val="00993ED5"/>
    <w:rPr>
      <w:color w:val="000000"/>
      <w:shd w:val="clear" w:color="auto" w:fill="F8F8F8"/>
    </w:rPr>
  </w:style>
  <w:style w:type="character" w:customStyle="1" w:styleId="ControlFlowTok">
    <w:name w:val="ControlFlowTok"/>
    <w:rsid w:val="00993ED5"/>
    <w:rPr>
      <w:b/>
      <w:color w:val="204A87"/>
      <w:shd w:val="clear" w:color="auto" w:fill="F8F8F8"/>
    </w:rPr>
  </w:style>
  <w:style w:type="character" w:customStyle="1" w:styleId="OperatorTok">
    <w:name w:val="OperatorTok"/>
    <w:rsid w:val="00993ED5"/>
    <w:rPr>
      <w:b/>
      <w:color w:val="CE5C00"/>
      <w:shd w:val="clear" w:color="auto" w:fill="F8F8F8"/>
    </w:rPr>
  </w:style>
  <w:style w:type="character" w:customStyle="1" w:styleId="BuiltInTok">
    <w:name w:val="BuiltInTok"/>
    <w:rsid w:val="00993ED5"/>
    <w:rPr>
      <w:shd w:val="clear" w:color="auto" w:fill="F8F8F8"/>
    </w:rPr>
  </w:style>
  <w:style w:type="character" w:customStyle="1" w:styleId="ExtensionTok">
    <w:name w:val="ExtensionTok"/>
    <w:rsid w:val="00993ED5"/>
    <w:rPr>
      <w:shd w:val="clear" w:color="auto" w:fill="F8F8F8"/>
    </w:rPr>
  </w:style>
  <w:style w:type="character" w:customStyle="1" w:styleId="PreprocessorTok">
    <w:name w:val="PreprocessorTok"/>
    <w:rsid w:val="00993ED5"/>
    <w:rPr>
      <w:i/>
      <w:color w:val="8F5902"/>
      <w:shd w:val="clear" w:color="auto" w:fill="F8F8F8"/>
    </w:rPr>
  </w:style>
  <w:style w:type="character" w:customStyle="1" w:styleId="AttributeTok">
    <w:name w:val="AttributeTok"/>
    <w:rsid w:val="00993ED5"/>
    <w:rPr>
      <w:color w:val="C4A000"/>
      <w:shd w:val="clear" w:color="auto" w:fill="F8F8F8"/>
    </w:rPr>
  </w:style>
  <w:style w:type="character" w:customStyle="1" w:styleId="RegionMarkerTok">
    <w:name w:val="RegionMarkerTok"/>
    <w:rsid w:val="00993ED5"/>
    <w:rPr>
      <w:shd w:val="clear" w:color="auto" w:fill="F8F8F8"/>
    </w:rPr>
  </w:style>
  <w:style w:type="character" w:customStyle="1" w:styleId="InformationTok">
    <w:name w:val="InformationTok"/>
    <w:rsid w:val="00993ED5"/>
    <w:rPr>
      <w:b/>
      <w:i/>
      <w:color w:val="8F5902"/>
      <w:shd w:val="clear" w:color="auto" w:fill="F8F8F8"/>
    </w:rPr>
  </w:style>
  <w:style w:type="character" w:customStyle="1" w:styleId="WarningTok">
    <w:name w:val="WarningTok"/>
    <w:rsid w:val="00993ED5"/>
    <w:rPr>
      <w:b/>
      <w:i/>
      <w:color w:val="8F5902"/>
      <w:shd w:val="clear" w:color="auto" w:fill="F8F8F8"/>
    </w:rPr>
  </w:style>
  <w:style w:type="character" w:customStyle="1" w:styleId="AlertTok">
    <w:name w:val="AlertTok"/>
    <w:rsid w:val="00993ED5"/>
    <w:rPr>
      <w:color w:val="EF2929"/>
      <w:shd w:val="clear" w:color="auto" w:fill="F8F8F8"/>
    </w:rPr>
  </w:style>
  <w:style w:type="character" w:customStyle="1" w:styleId="ErrorTok">
    <w:name w:val="ErrorTok"/>
    <w:rsid w:val="00993ED5"/>
    <w:rPr>
      <w:b/>
      <w:color w:val="A40000"/>
      <w:shd w:val="clear" w:color="auto" w:fill="F8F8F8"/>
    </w:rPr>
  </w:style>
  <w:style w:type="character" w:customStyle="1" w:styleId="NormalTok">
    <w:name w:val="NormalTok"/>
    <w:rsid w:val="00993ED5"/>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AN.R-project.org/package=surviva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214/aos/1176345976" TargetMode="External"/><Relationship Id="rId8" Type="http://schemas.openxmlformats.org/officeDocument/2006/relationships/hyperlink" Target="https://doi.org/10.1080/01621459.1989.10478874" TargetMode="External"/><Relationship Id="rId9" Type="http://schemas.openxmlformats.org/officeDocument/2006/relationships/hyperlink" Target="https://www.R-project.org/" TargetMode="External"/><Relationship Id="rId10" Type="http://schemas.openxmlformats.org/officeDocument/2006/relationships/hyperlink" Target="https://CRAN.R-project.org/package=epi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974</Words>
  <Characters>5555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PhD thesis</vt:lpstr>
    </vt:vector>
  </TitlesOfParts>
  <Company>Háskóli Íslands</Company>
  <LinksUpToDate>false</LinksUpToDate>
  <CharactersWithSpaces>6516</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2018-11-06T22:47:00Z</dcterms:created>
  <dcterms:modified xsi:type="dcterms:W3CDTF">2018-11-06T22:47:00Z</dcterms:modified>
</cp:coreProperties>
</file>