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02FBDC" w14:textId="77777777" w:rsidR="00A07464" w:rsidRDefault="008B0CB7">
      <w:pPr>
        <w:pStyle w:val="Heading2"/>
      </w:pPr>
      <w:bookmarkStart w:id="0" w:name="paper1results"/>
      <w:bookmarkEnd w:id="0"/>
      <w:r>
        <w:t>I</w:t>
      </w:r>
      <w:r>
        <w:t>mpact on otitis media with treatment failure (Paper I)</w:t>
      </w:r>
    </w:p>
    <w:p w14:paraId="64850AE0" w14:textId="77777777" w:rsidR="00A07464" w:rsidRDefault="008B0CB7">
      <w:pPr>
        <w:pStyle w:val="FirstParagraph"/>
      </w:pPr>
      <w:r>
        <w:t>The total number of children under eighteen years of age who lived within Children’s Hospital Iceland’s ref</w:t>
      </w:r>
      <w:r>
        <w:t>erral region remained stable during the study period, decreasing from 62,067 in 2008 to 61,798 in 2015. The variation was more pronounced in the number of children under four years of age in the same region, which increased from 13,562 in 2008 to 14,644 in</w:t>
      </w:r>
      <w:r>
        <w:t xml:space="preserve"> 2011, and then decreased to 13,272 in 2015.</w:t>
      </w:r>
    </w:p>
    <w:p w14:paraId="5EFF190D" w14:textId="77777777" w:rsidR="00A07464" w:rsidRDefault="008B0CB7">
      <w:pPr>
        <w:pStyle w:val="BodyText"/>
      </w:pPr>
      <w:r>
        <w:t>During the period January 1, 2008 to December 31, 2015, 103,220 visits were recorded to the Children’s Hospital Iceland. The visits varied over the calendar year, spiking in the winter months and troughing in th</w:t>
      </w:r>
      <w:r>
        <w:t>e summer months. The total number of visits increased steadily during the study period, from 12,229 in 2008 to 14,502 in 2015, Figure 1.</w:t>
      </w:r>
    </w:p>
    <w:p w14:paraId="7B70F437" w14:textId="77777777" w:rsidR="00A07464" w:rsidRDefault="008B0CB7">
      <w:r>
        <w:rPr>
          <w:noProof/>
          <w:lang w:val="en-GB" w:eastAsia="en-GB"/>
        </w:rPr>
        <w:drawing>
          <wp:inline distT="0" distB="0" distL="0" distR="0" wp14:anchorId="78D72196" wp14:editId="70306243">
            <wp:extent cx="5676900" cy="3783932"/>
            <wp:effectExtent l="0" t="0" r="0" b="0"/>
            <wp:docPr id="1" name="Picture" descr="Figure 1 Monthly number of visits to Children’s Hospital Iceland"/>
            <wp:cNvGraphicFramePr/>
            <a:graphic xmlns:a="http://schemas.openxmlformats.org/drawingml/2006/main">
              <a:graphicData uri="http://schemas.openxmlformats.org/drawingml/2006/picture">
                <pic:pic xmlns:pic="http://schemas.openxmlformats.org/drawingml/2006/picture">
                  <pic:nvPicPr>
                    <pic:cNvPr id="0" name="Picture" descr="_figures/paper_I/2018-11-03-monthly-visits.png"/>
                    <pic:cNvPicPr>
                      <a:picLocks noChangeAspect="1" noChangeArrowheads="1"/>
                    </pic:cNvPicPr>
                  </pic:nvPicPr>
                  <pic:blipFill>
                    <a:blip r:embed="rId7"/>
                    <a:stretch>
                      <a:fillRect/>
                    </a:stretch>
                  </pic:blipFill>
                  <pic:spPr bwMode="auto">
                    <a:xfrm>
                      <a:off x="0" y="0"/>
                      <a:ext cx="5676900" cy="3783932"/>
                    </a:xfrm>
                    <a:prstGeom prst="rect">
                      <a:avLst/>
                    </a:prstGeom>
                    <a:noFill/>
                    <a:ln w="9525">
                      <a:noFill/>
                      <a:headEnd/>
                      <a:tailEnd/>
                    </a:ln>
                  </pic:spPr>
                </pic:pic>
              </a:graphicData>
            </a:graphic>
          </wp:inline>
        </w:drawing>
      </w:r>
    </w:p>
    <w:p w14:paraId="3755E2C8" w14:textId="77777777" w:rsidR="00A07464" w:rsidRDefault="008B0CB7">
      <w:pPr>
        <w:pStyle w:val="ImageCaption"/>
      </w:pPr>
      <w:r>
        <w:t>Figure 1 Monthly number of visits to Children’s Hospital Iceland</w:t>
      </w:r>
    </w:p>
    <w:p w14:paraId="74E9F5C9" w14:textId="77777777" w:rsidR="00A07464" w:rsidRDefault="008B0CB7">
      <w:pPr>
        <w:pStyle w:val="BodyText"/>
      </w:pPr>
      <w:r>
        <w:t>During the same period, 6,232 visits to the Children</w:t>
      </w:r>
      <w:r>
        <w:t>’s Hospital Iceland for acute otitis media were recorded for 4,624 individual children under four years of age, representing 4,994 distinct episodes. Of those episodes, 531 were treated with one or more doses of ceftriaxone. The total number of visits, vis</w:t>
      </w:r>
      <w:r>
        <w:t>its for AOM and ceftriaxone treatment episodes are shown in Table 1,</w:t>
      </w:r>
    </w:p>
    <w:p w14:paraId="4E8705C6" w14:textId="77777777" w:rsidR="00A07464" w:rsidRDefault="008B0CB7">
      <w:pPr>
        <w:pStyle w:val="TableCaption"/>
      </w:pPr>
      <w:r>
        <w:t>Table 1 Incidence rates of visits to Children’s Hospital Iceland and parenteral ceftriaxone by calendar-year</w:t>
      </w:r>
    </w:p>
    <w:tbl>
      <w:tblPr>
        <w:tblW w:w="0" w:type="pct"/>
        <w:tblLook w:val="07E0" w:firstRow="1" w:lastRow="1" w:firstColumn="1" w:lastColumn="1" w:noHBand="1" w:noVBand="1"/>
        <w:tblCaption w:val="Table 1 Incidence rates of visits to Children’s Hospital Iceland and parenteral ceftriaxone by calendar-year"/>
      </w:tblPr>
      <w:tblGrid>
        <w:gridCol w:w="661"/>
        <w:gridCol w:w="1351"/>
        <w:gridCol w:w="1128"/>
        <w:gridCol w:w="1128"/>
        <w:gridCol w:w="1073"/>
        <w:gridCol w:w="1128"/>
        <w:gridCol w:w="1128"/>
      </w:tblGrid>
      <w:tr w:rsidR="00A07464" w14:paraId="5B540560" w14:textId="77777777">
        <w:tc>
          <w:tcPr>
            <w:tcW w:w="0" w:type="auto"/>
            <w:tcBorders>
              <w:bottom w:val="single" w:sz="0" w:space="0" w:color="auto"/>
            </w:tcBorders>
            <w:vAlign w:val="bottom"/>
          </w:tcPr>
          <w:p w14:paraId="2CF54A2F" w14:textId="77777777" w:rsidR="00A07464" w:rsidRDefault="008B0CB7">
            <w:pPr>
              <w:pStyle w:val="Compact"/>
              <w:jc w:val="left"/>
            </w:pPr>
            <w:r>
              <w:t>Year</w:t>
            </w:r>
          </w:p>
        </w:tc>
        <w:tc>
          <w:tcPr>
            <w:tcW w:w="0" w:type="auto"/>
            <w:tcBorders>
              <w:bottom w:val="single" w:sz="0" w:space="0" w:color="auto"/>
            </w:tcBorders>
            <w:vAlign w:val="bottom"/>
          </w:tcPr>
          <w:p w14:paraId="592BAAF7" w14:textId="77777777" w:rsidR="00A07464" w:rsidRDefault="008B0CB7">
            <w:pPr>
              <w:pStyle w:val="Compact"/>
              <w:jc w:val="left"/>
            </w:pPr>
            <w:r>
              <w:t>Total (n)</w:t>
            </w:r>
          </w:p>
        </w:tc>
        <w:tc>
          <w:tcPr>
            <w:tcW w:w="0" w:type="auto"/>
            <w:tcBorders>
              <w:bottom w:val="single" w:sz="0" w:space="0" w:color="auto"/>
            </w:tcBorders>
            <w:vAlign w:val="bottom"/>
          </w:tcPr>
          <w:p w14:paraId="7B4AA0EA" w14:textId="77777777" w:rsidR="00A07464" w:rsidRDefault="008B0CB7">
            <w:pPr>
              <w:pStyle w:val="Compact"/>
              <w:jc w:val="left"/>
            </w:pPr>
            <w:r>
              <w:t>AOM (n)</w:t>
            </w:r>
          </w:p>
        </w:tc>
        <w:tc>
          <w:tcPr>
            <w:tcW w:w="0" w:type="auto"/>
            <w:tcBorders>
              <w:bottom w:val="single" w:sz="0" w:space="0" w:color="auto"/>
            </w:tcBorders>
            <w:vAlign w:val="bottom"/>
          </w:tcPr>
          <w:p w14:paraId="790C3361" w14:textId="77777777" w:rsidR="00A07464" w:rsidRDefault="008B0CB7">
            <w:pPr>
              <w:pStyle w:val="Compact"/>
              <w:jc w:val="left"/>
            </w:pPr>
            <w:r>
              <w:t>Total (n)</w:t>
            </w:r>
          </w:p>
        </w:tc>
        <w:tc>
          <w:tcPr>
            <w:tcW w:w="0" w:type="auto"/>
            <w:tcBorders>
              <w:bottom w:val="single" w:sz="0" w:space="0" w:color="auto"/>
            </w:tcBorders>
            <w:vAlign w:val="bottom"/>
          </w:tcPr>
          <w:p w14:paraId="641C1289" w14:textId="77777777" w:rsidR="00A07464" w:rsidRDefault="008B0CB7">
            <w:pPr>
              <w:pStyle w:val="Compact"/>
              <w:jc w:val="left"/>
            </w:pPr>
            <w:r>
              <w:t>AOM (n)</w:t>
            </w:r>
          </w:p>
        </w:tc>
        <w:tc>
          <w:tcPr>
            <w:tcW w:w="0" w:type="auto"/>
            <w:tcBorders>
              <w:bottom w:val="single" w:sz="0" w:space="0" w:color="auto"/>
            </w:tcBorders>
            <w:vAlign w:val="bottom"/>
          </w:tcPr>
          <w:p w14:paraId="24000D2E" w14:textId="77777777" w:rsidR="00A07464" w:rsidRDefault="008B0CB7">
            <w:pPr>
              <w:pStyle w:val="Compact"/>
              <w:jc w:val="left"/>
            </w:pPr>
            <w:r>
              <w:t>Total (n)</w:t>
            </w:r>
          </w:p>
        </w:tc>
        <w:tc>
          <w:tcPr>
            <w:tcW w:w="0" w:type="auto"/>
            <w:tcBorders>
              <w:bottom w:val="single" w:sz="0" w:space="0" w:color="auto"/>
            </w:tcBorders>
            <w:vAlign w:val="bottom"/>
          </w:tcPr>
          <w:p w14:paraId="31065768" w14:textId="77777777" w:rsidR="00A07464" w:rsidRDefault="008B0CB7">
            <w:pPr>
              <w:pStyle w:val="Compact"/>
              <w:jc w:val="left"/>
            </w:pPr>
            <w:r>
              <w:t>AOM (n)</w:t>
            </w:r>
          </w:p>
        </w:tc>
      </w:tr>
      <w:tr w:rsidR="00A07464" w14:paraId="1D00532F" w14:textId="77777777">
        <w:tc>
          <w:tcPr>
            <w:tcW w:w="0" w:type="auto"/>
          </w:tcPr>
          <w:p w14:paraId="415F107D" w14:textId="77777777" w:rsidR="00A07464" w:rsidRDefault="008B0CB7">
            <w:pPr>
              <w:pStyle w:val="Compact"/>
              <w:jc w:val="left"/>
            </w:pPr>
            <w:r>
              <w:t>2008</w:t>
            </w:r>
          </w:p>
        </w:tc>
        <w:tc>
          <w:tcPr>
            <w:tcW w:w="0" w:type="auto"/>
          </w:tcPr>
          <w:p w14:paraId="7708525D" w14:textId="77777777" w:rsidR="00A07464" w:rsidRDefault="008B0CB7">
            <w:pPr>
              <w:pStyle w:val="Compact"/>
              <w:jc w:val="left"/>
            </w:pPr>
            <w:r>
              <w:t>197 (12,229)</w:t>
            </w:r>
          </w:p>
        </w:tc>
        <w:tc>
          <w:tcPr>
            <w:tcW w:w="0" w:type="auto"/>
          </w:tcPr>
          <w:p w14:paraId="154CBA84" w14:textId="77777777" w:rsidR="00A07464" w:rsidRDefault="008B0CB7">
            <w:pPr>
              <w:pStyle w:val="Compact"/>
              <w:jc w:val="left"/>
            </w:pPr>
            <w:r>
              <w:t>69 (936)</w:t>
            </w:r>
          </w:p>
        </w:tc>
        <w:tc>
          <w:tcPr>
            <w:tcW w:w="0" w:type="auto"/>
          </w:tcPr>
          <w:p w14:paraId="3B9C0FD4" w14:textId="77777777" w:rsidR="00A07464" w:rsidRDefault="008B0CB7">
            <w:pPr>
              <w:pStyle w:val="Compact"/>
              <w:jc w:val="left"/>
            </w:pPr>
            <w:r>
              <w:t>80.8 (988)</w:t>
            </w:r>
          </w:p>
        </w:tc>
        <w:tc>
          <w:tcPr>
            <w:tcW w:w="0" w:type="auto"/>
          </w:tcPr>
          <w:p w14:paraId="6D18027E" w14:textId="77777777" w:rsidR="00A07464" w:rsidRDefault="008B0CB7">
            <w:pPr>
              <w:pStyle w:val="Compact"/>
              <w:jc w:val="left"/>
            </w:pPr>
            <w:r>
              <w:t>186 (174)</w:t>
            </w:r>
          </w:p>
        </w:tc>
        <w:tc>
          <w:tcPr>
            <w:tcW w:w="0" w:type="auto"/>
          </w:tcPr>
          <w:p w14:paraId="4D248ABE" w14:textId="77777777" w:rsidR="00A07464" w:rsidRDefault="008B0CB7">
            <w:pPr>
              <w:pStyle w:val="Compact"/>
              <w:jc w:val="left"/>
            </w:pPr>
            <w:r>
              <w:t>15.9 (988)</w:t>
            </w:r>
          </w:p>
        </w:tc>
        <w:tc>
          <w:tcPr>
            <w:tcW w:w="0" w:type="auto"/>
          </w:tcPr>
          <w:p w14:paraId="0DEB7551" w14:textId="77777777" w:rsidR="00A07464" w:rsidRDefault="008B0CB7">
            <w:pPr>
              <w:pStyle w:val="Compact"/>
              <w:jc w:val="left"/>
            </w:pPr>
            <w:r>
              <w:t>72.9 (174)</w:t>
            </w:r>
          </w:p>
        </w:tc>
      </w:tr>
      <w:tr w:rsidR="00A07464" w14:paraId="7EDF676F" w14:textId="77777777">
        <w:tc>
          <w:tcPr>
            <w:tcW w:w="0" w:type="auto"/>
          </w:tcPr>
          <w:p w14:paraId="3083F2BD" w14:textId="77777777" w:rsidR="00A07464" w:rsidRDefault="008B0CB7">
            <w:pPr>
              <w:pStyle w:val="Compact"/>
              <w:jc w:val="left"/>
            </w:pPr>
            <w:r>
              <w:t>2009</w:t>
            </w:r>
          </w:p>
        </w:tc>
        <w:tc>
          <w:tcPr>
            <w:tcW w:w="0" w:type="auto"/>
          </w:tcPr>
          <w:p w14:paraId="51040D22" w14:textId="77777777" w:rsidR="00A07464" w:rsidRDefault="008B0CB7">
            <w:pPr>
              <w:pStyle w:val="Compact"/>
              <w:jc w:val="left"/>
            </w:pPr>
            <w:r>
              <w:t>199 (12,514)</w:t>
            </w:r>
          </w:p>
        </w:tc>
        <w:tc>
          <w:tcPr>
            <w:tcW w:w="0" w:type="auto"/>
          </w:tcPr>
          <w:p w14:paraId="2378AE57" w14:textId="77777777" w:rsidR="00A07464" w:rsidRDefault="008B0CB7">
            <w:pPr>
              <w:pStyle w:val="Compact"/>
              <w:jc w:val="left"/>
            </w:pPr>
            <w:r>
              <w:t>72 (1,012)</w:t>
            </w:r>
          </w:p>
        </w:tc>
        <w:tc>
          <w:tcPr>
            <w:tcW w:w="0" w:type="auto"/>
          </w:tcPr>
          <w:p w14:paraId="67C5030A" w14:textId="77777777" w:rsidR="00A07464" w:rsidRDefault="008B0CB7">
            <w:pPr>
              <w:pStyle w:val="Compact"/>
              <w:jc w:val="left"/>
            </w:pPr>
            <w:r>
              <w:t>74.8 (936)</w:t>
            </w:r>
          </w:p>
        </w:tc>
        <w:tc>
          <w:tcPr>
            <w:tcW w:w="0" w:type="auto"/>
          </w:tcPr>
          <w:p w14:paraId="0C1282C2" w14:textId="77777777" w:rsidR="00A07464" w:rsidRDefault="008B0CB7">
            <w:pPr>
              <w:pStyle w:val="Compact"/>
              <w:jc w:val="left"/>
            </w:pPr>
            <w:r>
              <w:t>192 (194)</w:t>
            </w:r>
          </w:p>
        </w:tc>
        <w:tc>
          <w:tcPr>
            <w:tcW w:w="0" w:type="auto"/>
          </w:tcPr>
          <w:p w14:paraId="3D2F0413" w14:textId="77777777" w:rsidR="00A07464" w:rsidRDefault="008B0CB7">
            <w:pPr>
              <w:pStyle w:val="Compact"/>
              <w:jc w:val="left"/>
            </w:pPr>
            <w:r>
              <w:t>14.9 (936)</w:t>
            </w:r>
          </w:p>
        </w:tc>
        <w:tc>
          <w:tcPr>
            <w:tcW w:w="0" w:type="auto"/>
          </w:tcPr>
          <w:p w14:paraId="4FBC1E33" w14:textId="77777777" w:rsidR="00A07464" w:rsidRDefault="008B0CB7">
            <w:pPr>
              <w:pStyle w:val="Compact"/>
              <w:jc w:val="left"/>
            </w:pPr>
            <w:r>
              <w:t>66.5 (194)</w:t>
            </w:r>
          </w:p>
        </w:tc>
      </w:tr>
      <w:tr w:rsidR="00A07464" w14:paraId="6128119C" w14:textId="77777777">
        <w:tc>
          <w:tcPr>
            <w:tcW w:w="0" w:type="auto"/>
          </w:tcPr>
          <w:p w14:paraId="5B901684" w14:textId="77777777" w:rsidR="00A07464" w:rsidRDefault="008B0CB7">
            <w:pPr>
              <w:pStyle w:val="Compact"/>
              <w:jc w:val="left"/>
            </w:pPr>
            <w:r>
              <w:lastRenderedPageBreak/>
              <w:t>2010</w:t>
            </w:r>
          </w:p>
        </w:tc>
        <w:tc>
          <w:tcPr>
            <w:tcW w:w="0" w:type="auto"/>
          </w:tcPr>
          <w:p w14:paraId="41BCB645" w14:textId="77777777" w:rsidR="00A07464" w:rsidRDefault="008B0CB7">
            <w:pPr>
              <w:pStyle w:val="Compact"/>
              <w:jc w:val="left"/>
            </w:pPr>
            <w:r>
              <w:t>181 (11,339)</w:t>
            </w:r>
          </w:p>
        </w:tc>
        <w:tc>
          <w:tcPr>
            <w:tcW w:w="0" w:type="auto"/>
          </w:tcPr>
          <w:p w14:paraId="7FA9599E" w14:textId="77777777" w:rsidR="00A07464" w:rsidRDefault="008B0CB7">
            <w:pPr>
              <w:pStyle w:val="Compact"/>
              <w:jc w:val="left"/>
            </w:pPr>
            <w:r>
              <w:t>64.2 (925)</w:t>
            </w:r>
          </w:p>
        </w:tc>
        <w:tc>
          <w:tcPr>
            <w:tcW w:w="0" w:type="auto"/>
          </w:tcPr>
          <w:p w14:paraId="1EDFF976" w14:textId="77777777" w:rsidR="00A07464" w:rsidRDefault="008B0CB7">
            <w:pPr>
              <w:pStyle w:val="Compact"/>
              <w:jc w:val="left"/>
            </w:pPr>
            <w:r>
              <w:t>81 (918)</w:t>
            </w:r>
          </w:p>
        </w:tc>
        <w:tc>
          <w:tcPr>
            <w:tcW w:w="0" w:type="auto"/>
          </w:tcPr>
          <w:p w14:paraId="1171EF79" w14:textId="77777777" w:rsidR="00A07464" w:rsidRDefault="008B0CB7">
            <w:pPr>
              <w:pStyle w:val="Compact"/>
              <w:jc w:val="left"/>
            </w:pPr>
            <w:r>
              <w:t>253 (234)</w:t>
            </w:r>
          </w:p>
        </w:tc>
        <w:tc>
          <w:tcPr>
            <w:tcW w:w="0" w:type="auto"/>
          </w:tcPr>
          <w:p w14:paraId="5AFCB2FF" w14:textId="77777777" w:rsidR="00A07464" w:rsidRDefault="008B0CB7">
            <w:pPr>
              <w:pStyle w:val="Compact"/>
              <w:jc w:val="left"/>
            </w:pPr>
            <w:r>
              <w:t>14.6 (918)</w:t>
            </w:r>
          </w:p>
        </w:tc>
        <w:tc>
          <w:tcPr>
            <w:tcW w:w="0" w:type="auto"/>
          </w:tcPr>
          <w:p w14:paraId="2B6BC9C3" w14:textId="77777777" w:rsidR="00A07464" w:rsidRDefault="008B0CB7">
            <w:pPr>
              <w:pStyle w:val="Compact"/>
              <w:jc w:val="left"/>
            </w:pPr>
            <w:r>
              <w:t>63.7 (234)</w:t>
            </w:r>
          </w:p>
        </w:tc>
      </w:tr>
      <w:tr w:rsidR="00A07464" w14:paraId="7455C33A" w14:textId="77777777">
        <w:tc>
          <w:tcPr>
            <w:tcW w:w="0" w:type="auto"/>
          </w:tcPr>
          <w:p w14:paraId="59386A5B" w14:textId="77777777" w:rsidR="00A07464" w:rsidRDefault="008B0CB7">
            <w:pPr>
              <w:pStyle w:val="Compact"/>
              <w:jc w:val="left"/>
            </w:pPr>
            <w:r>
              <w:t>2011</w:t>
            </w:r>
          </w:p>
        </w:tc>
        <w:tc>
          <w:tcPr>
            <w:tcW w:w="0" w:type="auto"/>
          </w:tcPr>
          <w:p w14:paraId="64551958" w14:textId="77777777" w:rsidR="00A07464" w:rsidRDefault="008B0CB7">
            <w:pPr>
              <w:pStyle w:val="Compact"/>
              <w:jc w:val="left"/>
            </w:pPr>
            <w:r>
              <w:t>201 (12,645)</w:t>
            </w:r>
          </w:p>
        </w:tc>
        <w:tc>
          <w:tcPr>
            <w:tcW w:w="0" w:type="auto"/>
          </w:tcPr>
          <w:p w14:paraId="2FBA4193" w14:textId="77777777" w:rsidR="00A07464" w:rsidRDefault="008B0CB7">
            <w:pPr>
              <w:pStyle w:val="Compact"/>
              <w:jc w:val="left"/>
            </w:pPr>
            <w:r>
              <w:t>60.8 (890)</w:t>
            </w:r>
          </w:p>
        </w:tc>
        <w:tc>
          <w:tcPr>
            <w:tcW w:w="0" w:type="auto"/>
          </w:tcPr>
          <w:p w14:paraId="177280DE" w14:textId="77777777" w:rsidR="00A07464" w:rsidRDefault="008B0CB7">
            <w:pPr>
              <w:pStyle w:val="Compact"/>
              <w:jc w:val="left"/>
            </w:pPr>
            <w:r>
              <w:t>63.8 (807)</w:t>
            </w:r>
          </w:p>
        </w:tc>
        <w:tc>
          <w:tcPr>
            <w:tcW w:w="0" w:type="auto"/>
          </w:tcPr>
          <w:p w14:paraId="1EC67DAC" w14:textId="77777777" w:rsidR="00A07464" w:rsidRDefault="008B0CB7">
            <w:pPr>
              <w:pStyle w:val="Compact"/>
              <w:jc w:val="left"/>
            </w:pPr>
            <w:r>
              <w:t>178 (158)</w:t>
            </w:r>
          </w:p>
        </w:tc>
        <w:tc>
          <w:tcPr>
            <w:tcW w:w="0" w:type="auto"/>
          </w:tcPr>
          <w:p w14:paraId="3FCFEBBA" w14:textId="77777777" w:rsidR="00A07464" w:rsidRDefault="008B0CB7">
            <w:pPr>
              <w:pStyle w:val="Compact"/>
              <w:jc w:val="left"/>
            </w:pPr>
            <w:r>
              <w:t>12.8 (807)</w:t>
            </w:r>
          </w:p>
        </w:tc>
        <w:tc>
          <w:tcPr>
            <w:tcW w:w="0" w:type="auto"/>
          </w:tcPr>
          <w:p w14:paraId="269319E9" w14:textId="77777777" w:rsidR="00A07464" w:rsidRDefault="008B0CB7">
            <w:pPr>
              <w:pStyle w:val="Compact"/>
              <w:jc w:val="left"/>
            </w:pPr>
            <w:r>
              <w:t>55.1 (158)</w:t>
            </w:r>
          </w:p>
        </w:tc>
      </w:tr>
      <w:tr w:rsidR="00A07464" w14:paraId="5088EB92" w14:textId="77777777">
        <w:tc>
          <w:tcPr>
            <w:tcW w:w="0" w:type="auto"/>
          </w:tcPr>
          <w:p w14:paraId="192F8222" w14:textId="77777777" w:rsidR="00A07464" w:rsidRDefault="008B0CB7">
            <w:pPr>
              <w:pStyle w:val="Compact"/>
              <w:jc w:val="left"/>
            </w:pPr>
            <w:r>
              <w:t>2012</w:t>
            </w:r>
          </w:p>
        </w:tc>
        <w:tc>
          <w:tcPr>
            <w:tcW w:w="0" w:type="auto"/>
          </w:tcPr>
          <w:p w14:paraId="4EA001C8" w14:textId="77777777" w:rsidR="00A07464" w:rsidRDefault="008B0CB7">
            <w:pPr>
              <w:pStyle w:val="Compact"/>
              <w:jc w:val="left"/>
            </w:pPr>
            <w:r>
              <w:t>215 (13,150)</w:t>
            </w:r>
          </w:p>
        </w:tc>
        <w:tc>
          <w:tcPr>
            <w:tcW w:w="0" w:type="auto"/>
          </w:tcPr>
          <w:p w14:paraId="6B712EAB" w14:textId="77777777" w:rsidR="00A07464" w:rsidRDefault="008B0CB7">
            <w:pPr>
              <w:pStyle w:val="Compact"/>
              <w:jc w:val="left"/>
            </w:pPr>
            <w:r>
              <w:t>58.4 (830)</w:t>
            </w:r>
          </w:p>
        </w:tc>
        <w:tc>
          <w:tcPr>
            <w:tcW w:w="0" w:type="auto"/>
          </w:tcPr>
          <w:p w14:paraId="70184E3B" w14:textId="77777777" w:rsidR="00A07464" w:rsidRDefault="008B0CB7">
            <w:pPr>
              <w:pStyle w:val="Compact"/>
              <w:jc w:val="left"/>
            </w:pPr>
            <w:r>
              <w:t>52.5 (691)</w:t>
            </w:r>
          </w:p>
        </w:tc>
        <w:tc>
          <w:tcPr>
            <w:tcW w:w="0" w:type="auto"/>
          </w:tcPr>
          <w:p w14:paraId="6F7E0DDD" w14:textId="77777777" w:rsidR="00A07464" w:rsidRDefault="008B0CB7">
            <w:pPr>
              <w:pStyle w:val="Compact"/>
              <w:jc w:val="left"/>
            </w:pPr>
            <w:r>
              <w:t>163 (135)</w:t>
            </w:r>
          </w:p>
        </w:tc>
        <w:tc>
          <w:tcPr>
            <w:tcW w:w="0" w:type="auto"/>
          </w:tcPr>
          <w:p w14:paraId="51E6CECC" w14:textId="77777777" w:rsidR="00A07464" w:rsidRDefault="008B0CB7">
            <w:pPr>
              <w:pStyle w:val="Compact"/>
              <w:jc w:val="left"/>
            </w:pPr>
            <w:r>
              <w:t>11.3 (691)</w:t>
            </w:r>
          </w:p>
        </w:tc>
        <w:tc>
          <w:tcPr>
            <w:tcW w:w="0" w:type="auto"/>
          </w:tcPr>
          <w:p w14:paraId="1E983729" w14:textId="77777777" w:rsidR="00A07464" w:rsidRDefault="008B0CB7">
            <w:pPr>
              <w:pStyle w:val="Compact"/>
              <w:jc w:val="left"/>
            </w:pPr>
            <w:r>
              <w:t>48.6 (135)</w:t>
            </w:r>
          </w:p>
        </w:tc>
      </w:tr>
      <w:tr w:rsidR="00A07464" w14:paraId="40ACCBDF" w14:textId="77777777">
        <w:tc>
          <w:tcPr>
            <w:tcW w:w="0" w:type="auto"/>
          </w:tcPr>
          <w:p w14:paraId="2FC22B6A" w14:textId="77777777" w:rsidR="00A07464" w:rsidRDefault="008B0CB7">
            <w:pPr>
              <w:pStyle w:val="Compact"/>
              <w:jc w:val="left"/>
            </w:pPr>
            <w:r>
              <w:t>2013</w:t>
            </w:r>
          </w:p>
        </w:tc>
        <w:tc>
          <w:tcPr>
            <w:tcW w:w="0" w:type="auto"/>
          </w:tcPr>
          <w:p w14:paraId="47084026" w14:textId="77777777" w:rsidR="00A07464" w:rsidRDefault="008B0CB7">
            <w:pPr>
              <w:pStyle w:val="Compact"/>
              <w:jc w:val="left"/>
            </w:pPr>
            <w:r>
              <w:t>221 (13,518)</w:t>
            </w:r>
          </w:p>
        </w:tc>
        <w:tc>
          <w:tcPr>
            <w:tcW w:w="0" w:type="auto"/>
          </w:tcPr>
          <w:p w14:paraId="2291C5F4" w14:textId="77777777" w:rsidR="00A07464" w:rsidRDefault="008B0CB7">
            <w:pPr>
              <w:pStyle w:val="Compact"/>
              <w:jc w:val="left"/>
            </w:pPr>
            <w:r>
              <w:t>55.2 (772)</w:t>
            </w:r>
          </w:p>
        </w:tc>
        <w:tc>
          <w:tcPr>
            <w:tcW w:w="0" w:type="auto"/>
          </w:tcPr>
          <w:p w14:paraId="4D63D471" w14:textId="77777777" w:rsidR="00A07464" w:rsidRDefault="008B0CB7">
            <w:pPr>
              <w:pStyle w:val="Compact"/>
              <w:jc w:val="left"/>
            </w:pPr>
            <w:r>
              <w:t>54.7 (739)</w:t>
            </w:r>
          </w:p>
        </w:tc>
        <w:tc>
          <w:tcPr>
            <w:tcW w:w="0" w:type="auto"/>
          </w:tcPr>
          <w:p w14:paraId="09D9D2BD" w14:textId="77777777" w:rsidR="00A07464" w:rsidRDefault="008B0CB7">
            <w:pPr>
              <w:pStyle w:val="Compact"/>
              <w:jc w:val="left"/>
            </w:pPr>
            <w:r>
              <w:t>105 (81)</w:t>
            </w:r>
          </w:p>
        </w:tc>
        <w:tc>
          <w:tcPr>
            <w:tcW w:w="0" w:type="auto"/>
          </w:tcPr>
          <w:p w14:paraId="04764E6B" w14:textId="77777777" w:rsidR="00A07464" w:rsidRDefault="008B0CB7">
            <w:pPr>
              <w:pStyle w:val="Compact"/>
              <w:jc w:val="left"/>
            </w:pPr>
            <w:r>
              <w:t>12.1 (739)</w:t>
            </w:r>
          </w:p>
        </w:tc>
        <w:tc>
          <w:tcPr>
            <w:tcW w:w="0" w:type="auto"/>
          </w:tcPr>
          <w:p w14:paraId="49AB035C" w14:textId="77777777" w:rsidR="00A07464" w:rsidRDefault="008B0CB7">
            <w:pPr>
              <w:pStyle w:val="Compact"/>
              <w:jc w:val="left"/>
            </w:pPr>
            <w:r>
              <w:t>52.8 (81)</w:t>
            </w:r>
          </w:p>
        </w:tc>
      </w:tr>
      <w:tr w:rsidR="00A07464" w14:paraId="13666321" w14:textId="77777777">
        <w:tc>
          <w:tcPr>
            <w:tcW w:w="0" w:type="auto"/>
          </w:tcPr>
          <w:p w14:paraId="4015EF9F" w14:textId="77777777" w:rsidR="00A07464" w:rsidRDefault="008B0CB7">
            <w:pPr>
              <w:pStyle w:val="Compact"/>
              <w:jc w:val="left"/>
            </w:pPr>
            <w:r>
              <w:t>2014</w:t>
            </w:r>
          </w:p>
        </w:tc>
        <w:tc>
          <w:tcPr>
            <w:tcW w:w="0" w:type="auto"/>
          </w:tcPr>
          <w:p w14:paraId="249676CA" w14:textId="77777777" w:rsidR="00A07464" w:rsidRDefault="008B0CB7">
            <w:pPr>
              <w:pStyle w:val="Compact"/>
              <w:jc w:val="left"/>
            </w:pPr>
            <w:r>
              <w:t>216 (13,323)</w:t>
            </w:r>
          </w:p>
        </w:tc>
        <w:tc>
          <w:tcPr>
            <w:tcW w:w="0" w:type="auto"/>
          </w:tcPr>
          <w:p w14:paraId="3B57D68F" w14:textId="77777777" w:rsidR="00A07464" w:rsidRDefault="008B0CB7">
            <w:pPr>
              <w:pStyle w:val="Compact"/>
              <w:jc w:val="left"/>
            </w:pPr>
            <w:r>
              <w:t>52 (708)</w:t>
            </w:r>
          </w:p>
        </w:tc>
        <w:tc>
          <w:tcPr>
            <w:tcW w:w="0" w:type="auto"/>
          </w:tcPr>
          <w:p w14:paraId="33CF081D" w14:textId="77777777" w:rsidR="00A07464" w:rsidRDefault="008B0CB7">
            <w:pPr>
              <w:pStyle w:val="Compact"/>
              <w:jc w:val="left"/>
            </w:pPr>
            <w:r>
              <w:t>48.9 (652)</w:t>
            </w:r>
          </w:p>
        </w:tc>
        <w:tc>
          <w:tcPr>
            <w:tcW w:w="0" w:type="auto"/>
          </w:tcPr>
          <w:p w14:paraId="2877040C" w14:textId="77777777" w:rsidR="00A07464" w:rsidRDefault="008B0CB7">
            <w:pPr>
              <w:pStyle w:val="Compact"/>
              <w:jc w:val="left"/>
            </w:pPr>
            <w:r>
              <w:t>76.3 (54)</w:t>
            </w:r>
          </w:p>
        </w:tc>
        <w:tc>
          <w:tcPr>
            <w:tcW w:w="0" w:type="auto"/>
          </w:tcPr>
          <w:p w14:paraId="78E30D15" w14:textId="77777777" w:rsidR="00A07464" w:rsidRDefault="008B0CB7">
            <w:pPr>
              <w:pStyle w:val="Compact"/>
              <w:jc w:val="left"/>
            </w:pPr>
            <w:r>
              <w:t>10.6 (652)</w:t>
            </w:r>
          </w:p>
        </w:tc>
        <w:tc>
          <w:tcPr>
            <w:tcW w:w="0" w:type="auto"/>
          </w:tcPr>
          <w:p w14:paraId="3979DED5" w14:textId="77777777" w:rsidR="00A07464" w:rsidRDefault="008B0CB7">
            <w:pPr>
              <w:pStyle w:val="Compact"/>
              <w:jc w:val="left"/>
            </w:pPr>
            <w:r>
              <w:t>47.9 (54)</w:t>
            </w:r>
          </w:p>
        </w:tc>
      </w:tr>
      <w:tr w:rsidR="00A07464" w14:paraId="5332807A" w14:textId="77777777">
        <w:tc>
          <w:tcPr>
            <w:tcW w:w="0" w:type="auto"/>
          </w:tcPr>
          <w:p w14:paraId="59F5A2FB" w14:textId="77777777" w:rsidR="00A07464" w:rsidRDefault="008B0CB7">
            <w:pPr>
              <w:pStyle w:val="Compact"/>
              <w:jc w:val="left"/>
            </w:pPr>
            <w:r>
              <w:t>2015</w:t>
            </w:r>
          </w:p>
        </w:tc>
        <w:tc>
          <w:tcPr>
            <w:tcW w:w="0" w:type="auto"/>
          </w:tcPr>
          <w:p w14:paraId="3F7A67A7" w14:textId="77777777" w:rsidR="00A07464" w:rsidRDefault="008B0CB7">
            <w:pPr>
              <w:pStyle w:val="Compact"/>
              <w:jc w:val="left"/>
            </w:pPr>
            <w:r>
              <w:t>235 (14,502)</w:t>
            </w:r>
          </w:p>
        </w:tc>
        <w:tc>
          <w:tcPr>
            <w:tcW w:w="0" w:type="auto"/>
          </w:tcPr>
          <w:p w14:paraId="55E73DCB" w14:textId="77777777" w:rsidR="00A07464" w:rsidRDefault="008B0CB7">
            <w:pPr>
              <w:pStyle w:val="Compact"/>
              <w:jc w:val="left"/>
            </w:pPr>
            <w:r>
              <w:t>55.1 (731)</w:t>
            </w:r>
          </w:p>
        </w:tc>
        <w:tc>
          <w:tcPr>
            <w:tcW w:w="0" w:type="auto"/>
          </w:tcPr>
          <w:p w14:paraId="233A8391" w14:textId="77777777" w:rsidR="00A07464" w:rsidRDefault="008B0CB7">
            <w:pPr>
              <w:pStyle w:val="Compact"/>
              <w:jc w:val="left"/>
            </w:pPr>
            <w:r>
              <w:t>56.7 (822)</w:t>
            </w:r>
          </w:p>
        </w:tc>
        <w:tc>
          <w:tcPr>
            <w:tcW w:w="0" w:type="auto"/>
          </w:tcPr>
          <w:p w14:paraId="16D61DF5" w14:textId="77777777" w:rsidR="00A07464" w:rsidRDefault="008B0CB7">
            <w:pPr>
              <w:pStyle w:val="Compact"/>
              <w:jc w:val="left"/>
            </w:pPr>
            <w:r>
              <w:t>88.9 (65)</w:t>
            </w:r>
          </w:p>
        </w:tc>
        <w:tc>
          <w:tcPr>
            <w:tcW w:w="0" w:type="auto"/>
          </w:tcPr>
          <w:p w14:paraId="2F47F009" w14:textId="77777777" w:rsidR="00A07464" w:rsidRDefault="008B0CB7">
            <w:pPr>
              <w:pStyle w:val="Compact"/>
              <w:jc w:val="left"/>
            </w:pPr>
            <w:r>
              <w:t>13.3 (822)</w:t>
            </w:r>
          </w:p>
        </w:tc>
        <w:tc>
          <w:tcPr>
            <w:tcW w:w="0" w:type="auto"/>
          </w:tcPr>
          <w:p w14:paraId="75D04D4D" w14:textId="77777777" w:rsidR="00A07464" w:rsidRDefault="008B0CB7">
            <w:pPr>
              <w:pStyle w:val="Compact"/>
              <w:jc w:val="left"/>
            </w:pPr>
            <w:r>
              <w:t>61.9 (65)</w:t>
            </w:r>
          </w:p>
        </w:tc>
      </w:tr>
    </w:tbl>
    <w:p w14:paraId="5377ABC0" w14:textId="77777777" w:rsidR="00A07464" w:rsidRDefault="008B0CB7">
      <w:pPr>
        <w:pStyle w:val="BodyText"/>
      </w:pPr>
      <w:r>
        <w:t xml:space="preserve">The incidence rate of AOM visits to Children’s Hospital Iceland decreased significantly in the post-vaccine period compared to the pre-vaccine period; from 47.4 visits per 1000 person-years to 41.8 per </w:t>
      </w:r>
      <w:r>
        <w:t>1000 person-years. The crude IRR was 0.88 (95% CI: 0.83–0.93; P &lt; 0.001). Manel-Haenszel adjustment was not appropriate due to effect heterogeneity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15.2, P &lt; 0.001). When each age-group was examined separately, a significant decrease in AOM visits w</w:t>
      </w:r>
      <w:r>
        <w:t>as observed among children between one and two years of age (IRR 0.89; 95% CI: 0.93-0.96; P = 0.00341) and two and three years of age (IRR 0.79; 95% CI: 0.71–0.88; P &lt; 0.001), Table 2. Children under one year of age and children between three and four year</w:t>
      </w:r>
      <w:r>
        <w:t>s of age, visited the Children’s Hospital Iceland because of AOM 471 times and 379 times respectively.</w:t>
      </w:r>
    </w:p>
    <w:p w14:paraId="3104C004" w14:textId="77777777" w:rsidR="00A07464" w:rsidRDefault="008B0CB7">
      <w:pPr>
        <w:pStyle w:val="TableCaption"/>
      </w:pPr>
      <w:r>
        <w:t>Table 2 Incidence rate ratios of AOM visits between the pre- and post-vaccine periods</w:t>
      </w:r>
    </w:p>
    <w:tbl>
      <w:tblPr>
        <w:tblW w:w="0" w:type="pct"/>
        <w:tblLook w:val="07E0" w:firstRow="1" w:lastRow="1" w:firstColumn="1" w:lastColumn="1" w:noHBand="1" w:noVBand="1"/>
        <w:tblCaption w:val="Table 2 Incidence rate ratios of AOM visits between the pre- and post-vaccine periods"/>
      </w:tblPr>
      <w:tblGrid>
        <w:gridCol w:w="1250"/>
        <w:gridCol w:w="1640"/>
        <w:gridCol w:w="1306"/>
        <w:gridCol w:w="939"/>
      </w:tblGrid>
      <w:tr w:rsidR="00A07464" w14:paraId="7BF04204" w14:textId="77777777">
        <w:tc>
          <w:tcPr>
            <w:tcW w:w="0" w:type="auto"/>
            <w:tcBorders>
              <w:bottom w:val="single" w:sz="0" w:space="0" w:color="auto"/>
            </w:tcBorders>
            <w:vAlign w:val="bottom"/>
          </w:tcPr>
          <w:p w14:paraId="1E471613" w14:textId="77777777" w:rsidR="00A07464" w:rsidRDefault="008B0CB7">
            <w:pPr>
              <w:pStyle w:val="Compact"/>
              <w:jc w:val="left"/>
            </w:pPr>
            <w:r>
              <w:t>Age (years)</w:t>
            </w:r>
          </w:p>
        </w:tc>
        <w:tc>
          <w:tcPr>
            <w:tcW w:w="0" w:type="auto"/>
            <w:tcBorders>
              <w:bottom w:val="single" w:sz="0" w:space="0" w:color="auto"/>
            </w:tcBorders>
            <w:vAlign w:val="bottom"/>
          </w:tcPr>
          <w:p w14:paraId="2826885B" w14:textId="77777777" w:rsidR="00A07464" w:rsidRDefault="008B0CB7">
            <w:pPr>
              <w:pStyle w:val="Compact"/>
              <w:jc w:val="left"/>
            </w:pPr>
            <w:r>
              <w:t>IRR (95% CI)</w:t>
            </w:r>
          </w:p>
        </w:tc>
        <w:tc>
          <w:tcPr>
            <w:tcW w:w="0" w:type="auto"/>
            <w:tcBorders>
              <w:bottom w:val="single" w:sz="0" w:space="0" w:color="auto"/>
            </w:tcBorders>
            <w:vAlign w:val="bottom"/>
          </w:tcPr>
          <w:p w14:paraId="6949E066" w14:textId="77777777" w:rsidR="00A07464" w:rsidRDefault="008B0CB7">
            <w:pPr>
              <w:pStyle w:val="Compact"/>
              <w:jc w:val="left"/>
            </w:pPr>
            <w:r>
              <w:t>Chi-squared</w:t>
            </w:r>
          </w:p>
        </w:tc>
        <w:tc>
          <w:tcPr>
            <w:tcW w:w="0" w:type="auto"/>
            <w:tcBorders>
              <w:bottom w:val="single" w:sz="0" w:space="0" w:color="auto"/>
            </w:tcBorders>
            <w:vAlign w:val="bottom"/>
          </w:tcPr>
          <w:p w14:paraId="5232A4FC" w14:textId="77777777" w:rsidR="00A07464" w:rsidRDefault="008B0CB7">
            <w:pPr>
              <w:pStyle w:val="Compact"/>
              <w:jc w:val="left"/>
            </w:pPr>
            <w:r>
              <w:t>P-value</w:t>
            </w:r>
          </w:p>
        </w:tc>
      </w:tr>
      <w:tr w:rsidR="00A07464" w14:paraId="7BF666E2" w14:textId="77777777">
        <w:tc>
          <w:tcPr>
            <w:tcW w:w="0" w:type="auto"/>
          </w:tcPr>
          <w:p w14:paraId="4B2197ED" w14:textId="77777777" w:rsidR="00A07464" w:rsidRDefault="008B0CB7">
            <w:pPr>
              <w:pStyle w:val="Compact"/>
              <w:jc w:val="left"/>
            </w:pPr>
            <w:r>
              <w:t>&lt;1</w:t>
            </w:r>
          </w:p>
        </w:tc>
        <w:tc>
          <w:tcPr>
            <w:tcW w:w="0" w:type="auto"/>
          </w:tcPr>
          <w:p w14:paraId="62CE3E54" w14:textId="77777777" w:rsidR="00A07464" w:rsidRDefault="008B0CB7">
            <w:pPr>
              <w:pStyle w:val="Compact"/>
              <w:jc w:val="left"/>
            </w:pPr>
            <w:r>
              <w:t>1.10 (0.90-1.30)</w:t>
            </w:r>
          </w:p>
        </w:tc>
        <w:tc>
          <w:tcPr>
            <w:tcW w:w="0" w:type="auto"/>
          </w:tcPr>
          <w:p w14:paraId="1D3A178D" w14:textId="77777777" w:rsidR="00A07464" w:rsidRDefault="008B0CB7">
            <w:pPr>
              <w:pStyle w:val="Compact"/>
              <w:jc w:val="left"/>
            </w:pPr>
            <w:r>
              <w:t>0.80</w:t>
            </w:r>
          </w:p>
        </w:tc>
        <w:tc>
          <w:tcPr>
            <w:tcW w:w="0" w:type="auto"/>
          </w:tcPr>
          <w:p w14:paraId="58A63970" w14:textId="77777777" w:rsidR="00A07464" w:rsidRDefault="008B0CB7">
            <w:pPr>
              <w:pStyle w:val="Compact"/>
              <w:jc w:val="left"/>
            </w:pPr>
            <w:r>
              <w:t>0.37000</w:t>
            </w:r>
          </w:p>
        </w:tc>
      </w:tr>
      <w:tr w:rsidR="00A07464" w14:paraId="4AA40502" w14:textId="77777777">
        <w:tc>
          <w:tcPr>
            <w:tcW w:w="0" w:type="auto"/>
          </w:tcPr>
          <w:p w14:paraId="36D5ED34" w14:textId="77777777" w:rsidR="00A07464" w:rsidRDefault="008B0CB7">
            <w:pPr>
              <w:pStyle w:val="Compact"/>
              <w:jc w:val="left"/>
            </w:pPr>
            <w:r>
              <w:t>1-2</w:t>
            </w:r>
          </w:p>
        </w:tc>
        <w:tc>
          <w:tcPr>
            <w:tcW w:w="0" w:type="auto"/>
          </w:tcPr>
          <w:p w14:paraId="47F9BC88" w14:textId="77777777" w:rsidR="00A07464" w:rsidRDefault="008B0CB7">
            <w:pPr>
              <w:pStyle w:val="Compact"/>
              <w:jc w:val="left"/>
            </w:pPr>
            <w:r>
              <w:t>0.89 (0.83-0.96)</w:t>
            </w:r>
          </w:p>
        </w:tc>
        <w:tc>
          <w:tcPr>
            <w:tcW w:w="0" w:type="auto"/>
          </w:tcPr>
          <w:p w14:paraId="52C282AC" w14:textId="77777777" w:rsidR="00A07464" w:rsidRDefault="008B0CB7">
            <w:pPr>
              <w:pStyle w:val="Compact"/>
              <w:jc w:val="left"/>
            </w:pPr>
            <w:r>
              <w:t>8.60</w:t>
            </w:r>
          </w:p>
        </w:tc>
        <w:tc>
          <w:tcPr>
            <w:tcW w:w="0" w:type="auto"/>
          </w:tcPr>
          <w:p w14:paraId="0B1BF573" w14:textId="77777777" w:rsidR="00A07464" w:rsidRDefault="008B0CB7">
            <w:pPr>
              <w:pStyle w:val="Compact"/>
              <w:jc w:val="left"/>
            </w:pPr>
            <w:r>
              <w:t>0.00341</w:t>
            </w:r>
          </w:p>
        </w:tc>
      </w:tr>
      <w:tr w:rsidR="00A07464" w14:paraId="7F658243" w14:textId="77777777">
        <w:tc>
          <w:tcPr>
            <w:tcW w:w="0" w:type="auto"/>
          </w:tcPr>
          <w:p w14:paraId="1160FB77" w14:textId="77777777" w:rsidR="00A07464" w:rsidRDefault="008B0CB7">
            <w:pPr>
              <w:pStyle w:val="Compact"/>
              <w:jc w:val="left"/>
            </w:pPr>
            <w:r>
              <w:t>2-3</w:t>
            </w:r>
          </w:p>
        </w:tc>
        <w:tc>
          <w:tcPr>
            <w:tcW w:w="0" w:type="auto"/>
          </w:tcPr>
          <w:p w14:paraId="509BC09F" w14:textId="77777777" w:rsidR="00A07464" w:rsidRDefault="008B0CB7">
            <w:pPr>
              <w:pStyle w:val="Compact"/>
              <w:jc w:val="left"/>
            </w:pPr>
            <w:r>
              <w:t>0.79 (0.71-0.88)</w:t>
            </w:r>
          </w:p>
        </w:tc>
        <w:tc>
          <w:tcPr>
            <w:tcW w:w="0" w:type="auto"/>
          </w:tcPr>
          <w:p w14:paraId="02397D0A" w14:textId="77777777" w:rsidR="00A07464" w:rsidRDefault="008B0CB7">
            <w:pPr>
              <w:pStyle w:val="Compact"/>
              <w:jc w:val="left"/>
            </w:pPr>
            <w:r>
              <w:t>17.00</w:t>
            </w:r>
          </w:p>
        </w:tc>
        <w:tc>
          <w:tcPr>
            <w:tcW w:w="0" w:type="auto"/>
          </w:tcPr>
          <w:p w14:paraId="727EA3F9" w14:textId="77777777" w:rsidR="00A07464" w:rsidRDefault="008B0CB7">
            <w:pPr>
              <w:pStyle w:val="Compact"/>
              <w:jc w:val="left"/>
            </w:pPr>
            <w:r>
              <w:t>&lt; 0.001</w:t>
            </w:r>
          </w:p>
        </w:tc>
      </w:tr>
      <w:tr w:rsidR="00A07464" w14:paraId="038AD794" w14:textId="77777777">
        <w:tc>
          <w:tcPr>
            <w:tcW w:w="0" w:type="auto"/>
          </w:tcPr>
          <w:p w14:paraId="74435061" w14:textId="77777777" w:rsidR="00A07464" w:rsidRDefault="008B0CB7">
            <w:pPr>
              <w:pStyle w:val="Compact"/>
              <w:jc w:val="left"/>
            </w:pPr>
            <w:r>
              <w:t>3-4</w:t>
            </w:r>
          </w:p>
        </w:tc>
        <w:tc>
          <w:tcPr>
            <w:tcW w:w="0" w:type="auto"/>
          </w:tcPr>
          <w:p w14:paraId="556F85CF" w14:textId="77777777" w:rsidR="00A07464" w:rsidRDefault="008B0CB7">
            <w:pPr>
              <w:pStyle w:val="Compact"/>
              <w:jc w:val="left"/>
            </w:pPr>
            <w:r>
              <w:t>1.00 (0.85-1.30)</w:t>
            </w:r>
          </w:p>
        </w:tc>
        <w:tc>
          <w:tcPr>
            <w:tcW w:w="0" w:type="auto"/>
          </w:tcPr>
          <w:p w14:paraId="326D37AF" w14:textId="77777777" w:rsidR="00A07464" w:rsidRDefault="008B0CB7">
            <w:pPr>
              <w:pStyle w:val="Compact"/>
              <w:jc w:val="left"/>
            </w:pPr>
            <w:r>
              <w:t>0.22</w:t>
            </w:r>
          </w:p>
        </w:tc>
        <w:tc>
          <w:tcPr>
            <w:tcW w:w="0" w:type="auto"/>
          </w:tcPr>
          <w:p w14:paraId="22FDF41E" w14:textId="77777777" w:rsidR="00A07464" w:rsidRDefault="008B0CB7">
            <w:pPr>
              <w:pStyle w:val="Compact"/>
              <w:jc w:val="left"/>
            </w:pPr>
            <w:r>
              <w:t>0.63900</w:t>
            </w:r>
          </w:p>
        </w:tc>
      </w:tr>
    </w:tbl>
    <w:p w14:paraId="007CF07B" w14:textId="77777777" w:rsidR="00A07464" w:rsidRDefault="008B0CB7">
      <w:pPr>
        <w:pStyle w:val="BodyText"/>
      </w:pPr>
      <w:r>
        <w:t>Independent of the decrease in visits, the incidence of ceftriaxone treatment episodes for AOM was also found to have decreased significantly in the post-vaccine period compared to the pre-vaccine period. The effect was heterogenous accross age-strata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57, P &lt; 0.001) and the crude overall IRR was 0.48 (95% CI: 0.40–0.58; P &lt; 0.001). The stratum specific results are shown in Table 3. During study period, only 17 episodes of AOM were treated with ceftriaxone among children zero to one years of age and 1</w:t>
      </w:r>
      <w:r>
        <w:t>9 episodes among children three to four years of age.</w:t>
      </w:r>
    </w:p>
    <w:p w14:paraId="54225C80" w14:textId="77777777" w:rsidR="00A07464" w:rsidRDefault="008B0CB7">
      <w:pPr>
        <w:pStyle w:val="TableCaption"/>
      </w:pPr>
      <w:r>
        <w:t>Table 3 Incidence rate ratios of ceftriaxone treatment episodes of AOM between the pre- and post-vaccine periods</w:t>
      </w:r>
    </w:p>
    <w:tbl>
      <w:tblPr>
        <w:tblW w:w="0" w:type="pct"/>
        <w:tblLook w:val="07E0" w:firstRow="1" w:lastRow="1" w:firstColumn="1" w:lastColumn="1" w:noHBand="1" w:noVBand="1"/>
        <w:tblCaption w:val="Table 3 Incidence rate ratios of ceftriaxone treatment episodes of AOM between the pre- and post-vaccine periods"/>
      </w:tblPr>
      <w:tblGrid>
        <w:gridCol w:w="1250"/>
        <w:gridCol w:w="1640"/>
        <w:gridCol w:w="1306"/>
        <w:gridCol w:w="895"/>
      </w:tblGrid>
      <w:tr w:rsidR="00A07464" w14:paraId="36122113" w14:textId="77777777">
        <w:tc>
          <w:tcPr>
            <w:tcW w:w="0" w:type="auto"/>
            <w:tcBorders>
              <w:bottom w:val="single" w:sz="0" w:space="0" w:color="auto"/>
            </w:tcBorders>
            <w:vAlign w:val="bottom"/>
          </w:tcPr>
          <w:p w14:paraId="45436EB8" w14:textId="77777777" w:rsidR="00A07464" w:rsidRDefault="008B0CB7">
            <w:pPr>
              <w:pStyle w:val="Compact"/>
              <w:jc w:val="left"/>
            </w:pPr>
            <w:r>
              <w:t>Age (years)</w:t>
            </w:r>
          </w:p>
        </w:tc>
        <w:tc>
          <w:tcPr>
            <w:tcW w:w="0" w:type="auto"/>
            <w:tcBorders>
              <w:bottom w:val="single" w:sz="0" w:space="0" w:color="auto"/>
            </w:tcBorders>
            <w:vAlign w:val="bottom"/>
          </w:tcPr>
          <w:p w14:paraId="46FB7471" w14:textId="77777777" w:rsidR="00A07464" w:rsidRDefault="008B0CB7">
            <w:pPr>
              <w:pStyle w:val="Compact"/>
              <w:jc w:val="left"/>
            </w:pPr>
            <w:r>
              <w:t>IRR (95% CI)</w:t>
            </w:r>
          </w:p>
        </w:tc>
        <w:tc>
          <w:tcPr>
            <w:tcW w:w="0" w:type="auto"/>
            <w:tcBorders>
              <w:bottom w:val="single" w:sz="0" w:space="0" w:color="auto"/>
            </w:tcBorders>
            <w:vAlign w:val="bottom"/>
          </w:tcPr>
          <w:p w14:paraId="37AEE699" w14:textId="77777777" w:rsidR="00A07464" w:rsidRDefault="008B0CB7">
            <w:pPr>
              <w:pStyle w:val="Compact"/>
              <w:jc w:val="left"/>
            </w:pPr>
            <w:r>
              <w:t>Chi-squared</w:t>
            </w:r>
          </w:p>
        </w:tc>
        <w:tc>
          <w:tcPr>
            <w:tcW w:w="0" w:type="auto"/>
            <w:tcBorders>
              <w:bottom w:val="single" w:sz="0" w:space="0" w:color="auto"/>
            </w:tcBorders>
            <w:vAlign w:val="bottom"/>
          </w:tcPr>
          <w:p w14:paraId="4BD1435D" w14:textId="77777777" w:rsidR="00A07464" w:rsidRDefault="008B0CB7">
            <w:pPr>
              <w:pStyle w:val="Compact"/>
              <w:jc w:val="left"/>
            </w:pPr>
            <w:r>
              <w:t>P-value</w:t>
            </w:r>
          </w:p>
        </w:tc>
      </w:tr>
      <w:tr w:rsidR="00A07464" w14:paraId="2985A476" w14:textId="77777777">
        <w:tc>
          <w:tcPr>
            <w:tcW w:w="0" w:type="auto"/>
          </w:tcPr>
          <w:p w14:paraId="708BAB05" w14:textId="77777777" w:rsidR="00A07464" w:rsidRDefault="008B0CB7">
            <w:pPr>
              <w:pStyle w:val="Compact"/>
              <w:jc w:val="left"/>
            </w:pPr>
            <w:r>
              <w:t>&lt;1</w:t>
            </w:r>
          </w:p>
        </w:tc>
        <w:tc>
          <w:tcPr>
            <w:tcW w:w="0" w:type="auto"/>
          </w:tcPr>
          <w:p w14:paraId="392CC5D8" w14:textId="77777777" w:rsidR="00A07464" w:rsidRDefault="008B0CB7">
            <w:pPr>
              <w:pStyle w:val="Compact"/>
              <w:jc w:val="left"/>
            </w:pPr>
            <w:r>
              <w:t>0.61 (0.19-1.80)</w:t>
            </w:r>
          </w:p>
        </w:tc>
        <w:tc>
          <w:tcPr>
            <w:tcW w:w="0" w:type="auto"/>
          </w:tcPr>
          <w:p w14:paraId="05AEC005" w14:textId="77777777" w:rsidR="00A07464" w:rsidRDefault="008B0CB7">
            <w:pPr>
              <w:pStyle w:val="Compact"/>
              <w:jc w:val="left"/>
            </w:pPr>
            <w:r>
              <w:t>0.96</w:t>
            </w:r>
          </w:p>
        </w:tc>
        <w:tc>
          <w:tcPr>
            <w:tcW w:w="0" w:type="auto"/>
          </w:tcPr>
          <w:p w14:paraId="1C093D69" w14:textId="77777777" w:rsidR="00A07464" w:rsidRDefault="008B0CB7">
            <w:pPr>
              <w:pStyle w:val="Compact"/>
              <w:jc w:val="left"/>
            </w:pPr>
            <w:r>
              <w:t>0.326</w:t>
            </w:r>
          </w:p>
        </w:tc>
      </w:tr>
      <w:tr w:rsidR="00A07464" w14:paraId="344E4F6C" w14:textId="77777777">
        <w:tc>
          <w:tcPr>
            <w:tcW w:w="0" w:type="auto"/>
          </w:tcPr>
          <w:p w14:paraId="07030901" w14:textId="77777777" w:rsidR="00A07464" w:rsidRDefault="008B0CB7">
            <w:pPr>
              <w:pStyle w:val="Compact"/>
              <w:jc w:val="left"/>
            </w:pPr>
            <w:r>
              <w:t>1-2</w:t>
            </w:r>
          </w:p>
        </w:tc>
        <w:tc>
          <w:tcPr>
            <w:tcW w:w="0" w:type="auto"/>
          </w:tcPr>
          <w:p w14:paraId="1A7D1F71" w14:textId="77777777" w:rsidR="00A07464" w:rsidRDefault="008B0CB7">
            <w:pPr>
              <w:pStyle w:val="Compact"/>
              <w:jc w:val="left"/>
            </w:pPr>
            <w:r>
              <w:t>0.47 (0.37-0.60)</w:t>
            </w:r>
          </w:p>
        </w:tc>
        <w:tc>
          <w:tcPr>
            <w:tcW w:w="0" w:type="auto"/>
          </w:tcPr>
          <w:p w14:paraId="4D2BEEBE" w14:textId="77777777" w:rsidR="00A07464" w:rsidRDefault="008B0CB7">
            <w:pPr>
              <w:pStyle w:val="Compact"/>
              <w:jc w:val="left"/>
            </w:pPr>
            <w:r>
              <w:t>41.00</w:t>
            </w:r>
          </w:p>
        </w:tc>
        <w:tc>
          <w:tcPr>
            <w:tcW w:w="0" w:type="auto"/>
          </w:tcPr>
          <w:p w14:paraId="2972CDCF" w14:textId="77777777" w:rsidR="00A07464" w:rsidRDefault="008B0CB7">
            <w:pPr>
              <w:pStyle w:val="Compact"/>
              <w:jc w:val="left"/>
            </w:pPr>
            <w:r>
              <w:t>&lt;0.001</w:t>
            </w:r>
          </w:p>
        </w:tc>
      </w:tr>
      <w:tr w:rsidR="00A07464" w14:paraId="2D66C006" w14:textId="77777777">
        <w:tc>
          <w:tcPr>
            <w:tcW w:w="0" w:type="auto"/>
          </w:tcPr>
          <w:p w14:paraId="3B49B82E" w14:textId="77777777" w:rsidR="00A07464" w:rsidRDefault="008B0CB7">
            <w:pPr>
              <w:pStyle w:val="Compact"/>
              <w:jc w:val="left"/>
            </w:pPr>
            <w:r>
              <w:t>2-3</w:t>
            </w:r>
          </w:p>
        </w:tc>
        <w:tc>
          <w:tcPr>
            <w:tcW w:w="0" w:type="auto"/>
          </w:tcPr>
          <w:p w14:paraId="162B7D4D" w14:textId="77777777" w:rsidR="00A07464" w:rsidRDefault="008B0CB7">
            <w:pPr>
              <w:pStyle w:val="Compact"/>
              <w:jc w:val="left"/>
            </w:pPr>
            <w:r>
              <w:t>0.47 (0.32-0.68)</w:t>
            </w:r>
          </w:p>
        </w:tc>
        <w:tc>
          <w:tcPr>
            <w:tcW w:w="0" w:type="auto"/>
          </w:tcPr>
          <w:p w14:paraId="1D72BC7B" w14:textId="77777777" w:rsidR="00A07464" w:rsidRDefault="008B0CB7">
            <w:pPr>
              <w:pStyle w:val="Compact"/>
              <w:jc w:val="left"/>
            </w:pPr>
            <w:r>
              <w:t>18.00</w:t>
            </w:r>
          </w:p>
        </w:tc>
        <w:tc>
          <w:tcPr>
            <w:tcW w:w="0" w:type="auto"/>
          </w:tcPr>
          <w:p w14:paraId="55B5756D" w14:textId="77777777" w:rsidR="00A07464" w:rsidRDefault="008B0CB7">
            <w:pPr>
              <w:pStyle w:val="Compact"/>
              <w:jc w:val="left"/>
            </w:pPr>
            <w:r>
              <w:t>&lt;0.001</w:t>
            </w:r>
          </w:p>
        </w:tc>
      </w:tr>
      <w:tr w:rsidR="00A07464" w14:paraId="7E35E93A" w14:textId="77777777">
        <w:tc>
          <w:tcPr>
            <w:tcW w:w="0" w:type="auto"/>
          </w:tcPr>
          <w:p w14:paraId="59E16F75" w14:textId="77777777" w:rsidR="00A07464" w:rsidRDefault="008B0CB7">
            <w:pPr>
              <w:pStyle w:val="Compact"/>
              <w:jc w:val="left"/>
            </w:pPr>
            <w:r>
              <w:t>3-4</w:t>
            </w:r>
          </w:p>
        </w:tc>
        <w:tc>
          <w:tcPr>
            <w:tcW w:w="0" w:type="auto"/>
          </w:tcPr>
          <w:p w14:paraId="387DCE12" w14:textId="77777777" w:rsidR="00A07464" w:rsidRDefault="008B0CB7">
            <w:pPr>
              <w:pStyle w:val="Compact"/>
              <w:jc w:val="left"/>
            </w:pPr>
            <w:r>
              <w:t>0.85 (0.31-2.30)</w:t>
            </w:r>
          </w:p>
        </w:tc>
        <w:tc>
          <w:tcPr>
            <w:tcW w:w="0" w:type="auto"/>
          </w:tcPr>
          <w:p w14:paraId="4D5757F6" w14:textId="77777777" w:rsidR="00A07464" w:rsidRDefault="008B0CB7">
            <w:pPr>
              <w:pStyle w:val="Compact"/>
              <w:jc w:val="left"/>
            </w:pPr>
            <w:r>
              <w:t>0.12</w:t>
            </w:r>
          </w:p>
        </w:tc>
        <w:tc>
          <w:tcPr>
            <w:tcW w:w="0" w:type="auto"/>
          </w:tcPr>
          <w:p w14:paraId="2AD666E3" w14:textId="77777777" w:rsidR="00A07464" w:rsidRDefault="008B0CB7">
            <w:pPr>
              <w:pStyle w:val="Compact"/>
              <w:jc w:val="left"/>
            </w:pPr>
            <w:r>
              <w:t>0.732</w:t>
            </w:r>
          </w:p>
        </w:tc>
      </w:tr>
    </w:tbl>
    <w:p w14:paraId="7541634F" w14:textId="77777777" w:rsidR="00A07464" w:rsidRDefault="008B0CB7">
      <w:pPr>
        <w:pStyle w:val="BodyText"/>
      </w:pPr>
      <w:r>
        <w:t>Some of the observed decrease of ceftriaxone treatment episodes for AOM could possibly be explained by a decrease in AOM cases presenting to the Children’s H</w:t>
      </w:r>
      <w:r>
        <w:t xml:space="preserve">ospital Iceland. Thus the risk of receiving ceftriaxone treatment if presenting to Children’s Hospital Iceland with AOM was calculated and a significant decrease was noted. The risk decrease was not homogenous accross age-strata </w:t>
      </w:r>
      <w:r>
        <w:lastRenderedPageBreak/>
        <w:t>(</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33.8, P &lt; 0.001) and</w:t>
      </w:r>
      <w:r>
        <w:t xml:space="preserve"> the overall relative risk ratio of 0.58 (95% CI: 0.48-0.69; P &lt; 0.001). The stratum specific effects are shown in Table 4</w:t>
      </w:r>
    </w:p>
    <w:p w14:paraId="688BB6AC" w14:textId="77777777" w:rsidR="00A07464" w:rsidRDefault="008B0CB7">
      <w:pPr>
        <w:pStyle w:val="TableCaption"/>
      </w:pPr>
      <w:r>
        <w:t>Table 4 Incidence risk ratio of ceftriaxone treatment episodes of AOM adjusted for the number of AOM visits between the pre- and post</w:t>
      </w:r>
      <w:r>
        <w:t>-vaccine periods</w:t>
      </w:r>
    </w:p>
    <w:tbl>
      <w:tblPr>
        <w:tblW w:w="0" w:type="pct"/>
        <w:tblLook w:val="07E0" w:firstRow="1" w:lastRow="1" w:firstColumn="1" w:lastColumn="1" w:noHBand="1" w:noVBand="1"/>
        <w:tblCaption w:val="Table 4 Incidence risk ratio of ceftriaxone treatment episodes of AOM adjusted for the number of AOM visits between the pre- and post-vaccine periods"/>
      </w:tblPr>
      <w:tblGrid>
        <w:gridCol w:w="1250"/>
        <w:gridCol w:w="1640"/>
        <w:gridCol w:w="1306"/>
        <w:gridCol w:w="939"/>
      </w:tblGrid>
      <w:tr w:rsidR="00A07464" w14:paraId="46CD0A3B" w14:textId="77777777">
        <w:tc>
          <w:tcPr>
            <w:tcW w:w="0" w:type="auto"/>
            <w:tcBorders>
              <w:bottom w:val="single" w:sz="0" w:space="0" w:color="auto"/>
            </w:tcBorders>
            <w:vAlign w:val="bottom"/>
          </w:tcPr>
          <w:p w14:paraId="52EBD0C1" w14:textId="77777777" w:rsidR="00A07464" w:rsidRDefault="008B0CB7">
            <w:pPr>
              <w:pStyle w:val="Compact"/>
              <w:jc w:val="left"/>
            </w:pPr>
            <w:r>
              <w:t>Age (years)</w:t>
            </w:r>
          </w:p>
        </w:tc>
        <w:tc>
          <w:tcPr>
            <w:tcW w:w="0" w:type="auto"/>
            <w:tcBorders>
              <w:bottom w:val="single" w:sz="0" w:space="0" w:color="auto"/>
            </w:tcBorders>
            <w:vAlign w:val="bottom"/>
          </w:tcPr>
          <w:p w14:paraId="3BB46803" w14:textId="77777777" w:rsidR="00A07464" w:rsidRDefault="008B0CB7">
            <w:pPr>
              <w:pStyle w:val="Compact"/>
              <w:jc w:val="left"/>
            </w:pPr>
            <w:r>
              <w:t>IRR (95% CI)</w:t>
            </w:r>
          </w:p>
        </w:tc>
        <w:tc>
          <w:tcPr>
            <w:tcW w:w="0" w:type="auto"/>
            <w:tcBorders>
              <w:bottom w:val="single" w:sz="0" w:space="0" w:color="auto"/>
            </w:tcBorders>
            <w:vAlign w:val="bottom"/>
          </w:tcPr>
          <w:p w14:paraId="13070426" w14:textId="77777777" w:rsidR="00A07464" w:rsidRDefault="008B0CB7">
            <w:pPr>
              <w:pStyle w:val="Compact"/>
              <w:jc w:val="left"/>
            </w:pPr>
            <w:r>
              <w:t>Chi-squared</w:t>
            </w:r>
          </w:p>
        </w:tc>
        <w:tc>
          <w:tcPr>
            <w:tcW w:w="0" w:type="auto"/>
            <w:tcBorders>
              <w:bottom w:val="single" w:sz="0" w:space="0" w:color="auto"/>
            </w:tcBorders>
            <w:vAlign w:val="bottom"/>
          </w:tcPr>
          <w:p w14:paraId="0F36DD1B" w14:textId="77777777" w:rsidR="00A07464" w:rsidRDefault="008B0CB7">
            <w:pPr>
              <w:pStyle w:val="Compact"/>
              <w:jc w:val="left"/>
            </w:pPr>
            <w:r>
              <w:t>P-value</w:t>
            </w:r>
          </w:p>
        </w:tc>
      </w:tr>
      <w:tr w:rsidR="00A07464" w14:paraId="0043083C" w14:textId="77777777">
        <w:tc>
          <w:tcPr>
            <w:tcW w:w="0" w:type="auto"/>
          </w:tcPr>
          <w:p w14:paraId="430E66D4" w14:textId="77777777" w:rsidR="00A07464" w:rsidRDefault="008B0CB7">
            <w:pPr>
              <w:pStyle w:val="Compact"/>
              <w:jc w:val="left"/>
            </w:pPr>
            <w:r>
              <w:t>&lt;1</w:t>
            </w:r>
          </w:p>
        </w:tc>
        <w:tc>
          <w:tcPr>
            <w:tcW w:w="0" w:type="auto"/>
          </w:tcPr>
          <w:p w14:paraId="1A8BB45A" w14:textId="77777777" w:rsidR="00A07464" w:rsidRDefault="008B0CB7">
            <w:pPr>
              <w:pStyle w:val="Compact"/>
              <w:jc w:val="left"/>
            </w:pPr>
            <w:r>
              <w:t>0.56 (0.17-1.70)</w:t>
            </w:r>
          </w:p>
        </w:tc>
        <w:tc>
          <w:tcPr>
            <w:tcW w:w="0" w:type="auto"/>
          </w:tcPr>
          <w:p w14:paraId="7C92924B" w14:textId="77777777" w:rsidR="00A07464" w:rsidRDefault="008B0CB7">
            <w:pPr>
              <w:pStyle w:val="Compact"/>
              <w:jc w:val="left"/>
            </w:pPr>
            <w:r>
              <w:t>1.30</w:t>
            </w:r>
          </w:p>
        </w:tc>
        <w:tc>
          <w:tcPr>
            <w:tcW w:w="0" w:type="auto"/>
          </w:tcPr>
          <w:p w14:paraId="1E0350E4" w14:textId="77777777" w:rsidR="00A07464" w:rsidRDefault="008B0CB7">
            <w:pPr>
              <w:pStyle w:val="Compact"/>
              <w:jc w:val="left"/>
            </w:pPr>
            <w:r>
              <w:t>0.25800</w:t>
            </w:r>
          </w:p>
        </w:tc>
      </w:tr>
      <w:tr w:rsidR="00A07464" w14:paraId="185DB3DB" w14:textId="77777777">
        <w:tc>
          <w:tcPr>
            <w:tcW w:w="0" w:type="auto"/>
          </w:tcPr>
          <w:p w14:paraId="269F8B43" w14:textId="77777777" w:rsidR="00A07464" w:rsidRDefault="008B0CB7">
            <w:pPr>
              <w:pStyle w:val="Compact"/>
              <w:jc w:val="left"/>
            </w:pPr>
            <w:r>
              <w:t>1-2</w:t>
            </w:r>
          </w:p>
        </w:tc>
        <w:tc>
          <w:tcPr>
            <w:tcW w:w="0" w:type="auto"/>
          </w:tcPr>
          <w:p w14:paraId="51AE5C49" w14:textId="77777777" w:rsidR="00A07464" w:rsidRDefault="008B0CB7">
            <w:pPr>
              <w:pStyle w:val="Compact"/>
              <w:jc w:val="left"/>
            </w:pPr>
            <w:r>
              <w:t>0.53 (0.42-0.67)</w:t>
            </w:r>
          </w:p>
        </w:tc>
        <w:tc>
          <w:tcPr>
            <w:tcW w:w="0" w:type="auto"/>
          </w:tcPr>
          <w:p w14:paraId="291747AB" w14:textId="77777777" w:rsidR="00A07464" w:rsidRDefault="008B0CB7">
            <w:pPr>
              <w:pStyle w:val="Compact"/>
              <w:jc w:val="left"/>
            </w:pPr>
            <w:r>
              <w:t>26.00</w:t>
            </w:r>
          </w:p>
        </w:tc>
        <w:tc>
          <w:tcPr>
            <w:tcW w:w="0" w:type="auto"/>
          </w:tcPr>
          <w:p w14:paraId="7D253B37" w14:textId="77777777" w:rsidR="00A07464" w:rsidRDefault="008B0CB7">
            <w:pPr>
              <w:pStyle w:val="Compact"/>
              <w:jc w:val="left"/>
            </w:pPr>
            <w:r>
              <w:t>&lt; 0.001</w:t>
            </w:r>
          </w:p>
        </w:tc>
      </w:tr>
      <w:tr w:rsidR="00A07464" w14:paraId="07C31031" w14:textId="77777777">
        <w:tc>
          <w:tcPr>
            <w:tcW w:w="0" w:type="auto"/>
          </w:tcPr>
          <w:p w14:paraId="5DC98A3C" w14:textId="77777777" w:rsidR="00A07464" w:rsidRDefault="008B0CB7">
            <w:pPr>
              <w:pStyle w:val="Compact"/>
              <w:jc w:val="left"/>
            </w:pPr>
            <w:r>
              <w:t>2-3</w:t>
            </w:r>
          </w:p>
        </w:tc>
        <w:tc>
          <w:tcPr>
            <w:tcW w:w="0" w:type="auto"/>
          </w:tcPr>
          <w:p w14:paraId="17C90A0C" w14:textId="77777777" w:rsidR="00A07464" w:rsidRDefault="008B0CB7">
            <w:pPr>
              <w:pStyle w:val="Compact"/>
              <w:jc w:val="left"/>
            </w:pPr>
            <w:r>
              <w:t>0.59 (0.40-0.86)</w:t>
            </w:r>
          </w:p>
        </w:tc>
        <w:tc>
          <w:tcPr>
            <w:tcW w:w="0" w:type="auto"/>
          </w:tcPr>
          <w:p w14:paraId="16933791" w14:textId="77777777" w:rsidR="00A07464" w:rsidRDefault="008B0CB7">
            <w:pPr>
              <w:pStyle w:val="Compact"/>
              <w:jc w:val="left"/>
            </w:pPr>
            <w:r>
              <w:t>7.50</w:t>
            </w:r>
          </w:p>
        </w:tc>
        <w:tc>
          <w:tcPr>
            <w:tcW w:w="0" w:type="auto"/>
          </w:tcPr>
          <w:p w14:paraId="28C77AE9" w14:textId="77777777" w:rsidR="00A07464" w:rsidRDefault="008B0CB7">
            <w:pPr>
              <w:pStyle w:val="Compact"/>
              <w:jc w:val="left"/>
            </w:pPr>
            <w:r>
              <w:t>0.00607</w:t>
            </w:r>
          </w:p>
        </w:tc>
      </w:tr>
      <w:tr w:rsidR="00A07464" w14:paraId="5434E1A9" w14:textId="77777777">
        <w:tc>
          <w:tcPr>
            <w:tcW w:w="0" w:type="auto"/>
          </w:tcPr>
          <w:p w14:paraId="6150EF95" w14:textId="77777777" w:rsidR="00A07464" w:rsidRDefault="008B0CB7">
            <w:pPr>
              <w:pStyle w:val="Compact"/>
              <w:jc w:val="left"/>
            </w:pPr>
            <w:r>
              <w:t>3-4</w:t>
            </w:r>
          </w:p>
        </w:tc>
        <w:tc>
          <w:tcPr>
            <w:tcW w:w="0" w:type="auto"/>
          </w:tcPr>
          <w:p w14:paraId="7904016A" w14:textId="77777777" w:rsidR="00A07464" w:rsidRDefault="008B0CB7">
            <w:pPr>
              <w:pStyle w:val="Compact"/>
              <w:jc w:val="left"/>
            </w:pPr>
            <w:r>
              <w:t>0.81 (0.29-2.20)</w:t>
            </w:r>
          </w:p>
        </w:tc>
        <w:tc>
          <w:tcPr>
            <w:tcW w:w="0" w:type="auto"/>
          </w:tcPr>
          <w:p w14:paraId="29B73AFE" w14:textId="77777777" w:rsidR="00A07464" w:rsidRDefault="008B0CB7">
            <w:pPr>
              <w:pStyle w:val="Compact"/>
              <w:jc w:val="left"/>
            </w:pPr>
            <w:r>
              <w:t>0.19</w:t>
            </w:r>
          </w:p>
        </w:tc>
        <w:tc>
          <w:tcPr>
            <w:tcW w:w="0" w:type="auto"/>
          </w:tcPr>
          <w:p w14:paraId="755EE2EF" w14:textId="77777777" w:rsidR="00A07464" w:rsidRDefault="008B0CB7">
            <w:pPr>
              <w:pStyle w:val="Compact"/>
              <w:jc w:val="left"/>
            </w:pPr>
            <w:r>
              <w:t>0.66200</w:t>
            </w:r>
          </w:p>
        </w:tc>
      </w:tr>
    </w:tbl>
    <w:p w14:paraId="0BC1ED89" w14:textId="77777777" w:rsidR="00A07464" w:rsidRDefault="008B0CB7">
      <w:pPr>
        <w:pStyle w:val="BodyText"/>
      </w:pPr>
      <w:r>
        <w:t>A decrease in the incidence of AOM visits, ceftriaxone treatment episodes of AOM and risk of ceftriaxone treatment if presenting to the Children’s Hospital Iceland were noted. A similar decrease was noted in the ceftriaxone treatment episodes for pneumonia</w:t>
      </w:r>
      <w:r>
        <w:t>. In the pre-vaccine period, 251 treatment episodes were recorded but only 90 in the postvaccine period. The effect was not consistent accross age-strata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72, P-value &lt; 0.001). The overall incidence rate ratio was 0.37 (95% CI: 0.29-0.47; P &lt; 0.001).</w:t>
      </w:r>
      <w:r>
        <w:t xml:space="preserve"> The stratum specific effects are shown in Table 5.</w:t>
      </w:r>
    </w:p>
    <w:p w14:paraId="29C24BC8" w14:textId="77777777" w:rsidR="00A07464" w:rsidRDefault="008B0CB7">
      <w:pPr>
        <w:pStyle w:val="TableCaption"/>
      </w:pPr>
      <w:r>
        <w:t>Table 5 Incidence risk ratio of ceftriaxone treatment episodes of pneumonia between the pre- and post-vaccine periods</w:t>
      </w:r>
    </w:p>
    <w:tbl>
      <w:tblPr>
        <w:tblW w:w="0" w:type="pct"/>
        <w:tblLook w:val="07E0" w:firstRow="1" w:lastRow="1" w:firstColumn="1" w:lastColumn="1" w:noHBand="1" w:noVBand="1"/>
        <w:tblCaption w:val="Table 5 Incidence risk ratio of ceftriaxone treatment episodes of pneumonia between the pre- and post-vaccine periods"/>
      </w:tblPr>
      <w:tblGrid>
        <w:gridCol w:w="1250"/>
        <w:gridCol w:w="1751"/>
        <w:gridCol w:w="1306"/>
        <w:gridCol w:w="939"/>
      </w:tblGrid>
      <w:tr w:rsidR="00A07464" w14:paraId="08D0BA5E" w14:textId="77777777">
        <w:tc>
          <w:tcPr>
            <w:tcW w:w="0" w:type="auto"/>
            <w:tcBorders>
              <w:bottom w:val="single" w:sz="0" w:space="0" w:color="auto"/>
            </w:tcBorders>
            <w:vAlign w:val="bottom"/>
          </w:tcPr>
          <w:p w14:paraId="1DE1F52D" w14:textId="77777777" w:rsidR="00A07464" w:rsidRDefault="008B0CB7">
            <w:pPr>
              <w:pStyle w:val="Compact"/>
              <w:jc w:val="left"/>
            </w:pPr>
            <w:r>
              <w:t>Age (years)</w:t>
            </w:r>
          </w:p>
        </w:tc>
        <w:tc>
          <w:tcPr>
            <w:tcW w:w="0" w:type="auto"/>
            <w:tcBorders>
              <w:bottom w:val="single" w:sz="0" w:space="0" w:color="auto"/>
            </w:tcBorders>
            <w:vAlign w:val="bottom"/>
          </w:tcPr>
          <w:p w14:paraId="008777B3" w14:textId="77777777" w:rsidR="00A07464" w:rsidRDefault="008B0CB7">
            <w:pPr>
              <w:pStyle w:val="Compact"/>
              <w:jc w:val="left"/>
            </w:pPr>
            <w:r>
              <w:t>IRR (95% CI)</w:t>
            </w:r>
          </w:p>
        </w:tc>
        <w:tc>
          <w:tcPr>
            <w:tcW w:w="0" w:type="auto"/>
            <w:tcBorders>
              <w:bottom w:val="single" w:sz="0" w:space="0" w:color="auto"/>
            </w:tcBorders>
            <w:vAlign w:val="bottom"/>
          </w:tcPr>
          <w:p w14:paraId="6807B1EA" w14:textId="77777777" w:rsidR="00A07464" w:rsidRDefault="008B0CB7">
            <w:pPr>
              <w:pStyle w:val="Compact"/>
              <w:jc w:val="left"/>
            </w:pPr>
            <w:r>
              <w:t>Chi-squared</w:t>
            </w:r>
          </w:p>
        </w:tc>
        <w:tc>
          <w:tcPr>
            <w:tcW w:w="0" w:type="auto"/>
            <w:tcBorders>
              <w:bottom w:val="single" w:sz="0" w:space="0" w:color="auto"/>
            </w:tcBorders>
            <w:vAlign w:val="bottom"/>
          </w:tcPr>
          <w:p w14:paraId="0A415E71" w14:textId="77777777" w:rsidR="00A07464" w:rsidRDefault="008B0CB7">
            <w:pPr>
              <w:pStyle w:val="Compact"/>
              <w:jc w:val="left"/>
            </w:pPr>
            <w:r>
              <w:t>P-value</w:t>
            </w:r>
          </w:p>
        </w:tc>
      </w:tr>
      <w:tr w:rsidR="00A07464" w14:paraId="792B58AA" w14:textId="77777777">
        <w:tc>
          <w:tcPr>
            <w:tcW w:w="0" w:type="auto"/>
          </w:tcPr>
          <w:p w14:paraId="4A8A6D28" w14:textId="77777777" w:rsidR="00A07464" w:rsidRDefault="008B0CB7">
            <w:pPr>
              <w:pStyle w:val="Compact"/>
              <w:jc w:val="left"/>
            </w:pPr>
            <w:r>
              <w:t>&lt;1</w:t>
            </w:r>
          </w:p>
        </w:tc>
        <w:tc>
          <w:tcPr>
            <w:tcW w:w="0" w:type="auto"/>
          </w:tcPr>
          <w:p w14:paraId="3B8A7C89" w14:textId="77777777" w:rsidR="00A07464" w:rsidRDefault="008B0CB7">
            <w:pPr>
              <w:pStyle w:val="Compact"/>
              <w:jc w:val="left"/>
            </w:pPr>
            <w:r>
              <w:t>0.15 (0.017-0.64)</w:t>
            </w:r>
          </w:p>
        </w:tc>
        <w:tc>
          <w:tcPr>
            <w:tcW w:w="0" w:type="auto"/>
          </w:tcPr>
          <w:p w14:paraId="4AD867EA" w14:textId="77777777" w:rsidR="00A07464" w:rsidRDefault="008B0CB7">
            <w:pPr>
              <w:pStyle w:val="Compact"/>
              <w:jc w:val="left"/>
            </w:pPr>
            <w:r>
              <w:t>8.6</w:t>
            </w:r>
          </w:p>
        </w:tc>
        <w:tc>
          <w:tcPr>
            <w:tcW w:w="0" w:type="auto"/>
          </w:tcPr>
          <w:p w14:paraId="6B17552C" w14:textId="77777777" w:rsidR="00A07464" w:rsidRDefault="008B0CB7">
            <w:pPr>
              <w:pStyle w:val="Compact"/>
              <w:jc w:val="left"/>
            </w:pPr>
            <w:r>
              <w:t>0.00345</w:t>
            </w:r>
          </w:p>
        </w:tc>
      </w:tr>
      <w:tr w:rsidR="00A07464" w14:paraId="52CA209E" w14:textId="77777777">
        <w:tc>
          <w:tcPr>
            <w:tcW w:w="0" w:type="auto"/>
          </w:tcPr>
          <w:p w14:paraId="0EF57051" w14:textId="77777777" w:rsidR="00A07464" w:rsidRDefault="008B0CB7">
            <w:pPr>
              <w:pStyle w:val="Compact"/>
              <w:jc w:val="left"/>
            </w:pPr>
            <w:r>
              <w:t>1-2</w:t>
            </w:r>
          </w:p>
        </w:tc>
        <w:tc>
          <w:tcPr>
            <w:tcW w:w="0" w:type="auto"/>
          </w:tcPr>
          <w:p w14:paraId="78E27EF5" w14:textId="77777777" w:rsidR="00A07464" w:rsidRDefault="008B0CB7">
            <w:pPr>
              <w:pStyle w:val="Compact"/>
              <w:jc w:val="left"/>
            </w:pPr>
            <w:r>
              <w:t>0.34 (0.220-0.51)</w:t>
            </w:r>
          </w:p>
        </w:tc>
        <w:tc>
          <w:tcPr>
            <w:tcW w:w="0" w:type="auto"/>
          </w:tcPr>
          <w:p w14:paraId="242D6B4D" w14:textId="77777777" w:rsidR="00A07464" w:rsidRDefault="008B0CB7">
            <w:pPr>
              <w:pStyle w:val="Compact"/>
              <w:jc w:val="left"/>
            </w:pPr>
            <w:r>
              <w:t>33.0</w:t>
            </w:r>
          </w:p>
        </w:tc>
        <w:tc>
          <w:tcPr>
            <w:tcW w:w="0" w:type="auto"/>
          </w:tcPr>
          <w:p w14:paraId="7D7A2AD5" w14:textId="77777777" w:rsidR="00A07464" w:rsidRDefault="008B0CB7">
            <w:pPr>
              <w:pStyle w:val="Compact"/>
              <w:jc w:val="left"/>
            </w:pPr>
            <w:r>
              <w:t>&lt; 0.001</w:t>
            </w:r>
          </w:p>
        </w:tc>
      </w:tr>
      <w:tr w:rsidR="00A07464" w14:paraId="6C70EBBD" w14:textId="77777777">
        <w:tc>
          <w:tcPr>
            <w:tcW w:w="0" w:type="auto"/>
          </w:tcPr>
          <w:p w14:paraId="2F523553" w14:textId="77777777" w:rsidR="00A07464" w:rsidRDefault="008B0CB7">
            <w:pPr>
              <w:pStyle w:val="Compact"/>
              <w:jc w:val="left"/>
            </w:pPr>
            <w:r>
              <w:t>2-3</w:t>
            </w:r>
          </w:p>
        </w:tc>
        <w:tc>
          <w:tcPr>
            <w:tcW w:w="0" w:type="auto"/>
          </w:tcPr>
          <w:p w14:paraId="7FD48884" w14:textId="77777777" w:rsidR="00A07464" w:rsidRDefault="008B0CB7">
            <w:pPr>
              <w:pStyle w:val="Compact"/>
              <w:jc w:val="left"/>
            </w:pPr>
            <w:r>
              <w:t>0.36 (0.230-0.54)</w:t>
            </w:r>
          </w:p>
        </w:tc>
        <w:tc>
          <w:tcPr>
            <w:tcW w:w="0" w:type="auto"/>
          </w:tcPr>
          <w:p w14:paraId="17862837" w14:textId="77777777" w:rsidR="00A07464" w:rsidRDefault="008B0CB7">
            <w:pPr>
              <w:pStyle w:val="Compact"/>
              <w:jc w:val="left"/>
            </w:pPr>
            <w:r>
              <w:t>28.0</w:t>
            </w:r>
          </w:p>
        </w:tc>
        <w:tc>
          <w:tcPr>
            <w:tcW w:w="0" w:type="auto"/>
          </w:tcPr>
          <w:p w14:paraId="10C18DFD" w14:textId="77777777" w:rsidR="00A07464" w:rsidRDefault="008B0CB7">
            <w:pPr>
              <w:pStyle w:val="Compact"/>
              <w:jc w:val="left"/>
            </w:pPr>
            <w:r>
              <w:t>&lt; 0.001</w:t>
            </w:r>
          </w:p>
        </w:tc>
      </w:tr>
      <w:tr w:rsidR="00A07464" w14:paraId="16B7AEF1" w14:textId="77777777">
        <w:tc>
          <w:tcPr>
            <w:tcW w:w="0" w:type="auto"/>
          </w:tcPr>
          <w:p w14:paraId="4310A0C7" w14:textId="77777777" w:rsidR="00A07464" w:rsidRDefault="008B0CB7">
            <w:pPr>
              <w:pStyle w:val="Compact"/>
              <w:jc w:val="left"/>
            </w:pPr>
            <w:r>
              <w:t>3-4</w:t>
            </w:r>
          </w:p>
        </w:tc>
        <w:tc>
          <w:tcPr>
            <w:tcW w:w="0" w:type="auto"/>
          </w:tcPr>
          <w:p w14:paraId="6FF4DA84" w14:textId="77777777" w:rsidR="00A07464" w:rsidRDefault="008B0CB7">
            <w:pPr>
              <w:pStyle w:val="Compact"/>
              <w:jc w:val="left"/>
            </w:pPr>
            <w:r>
              <w:t>0.51 (0.290-0.89)</w:t>
            </w:r>
          </w:p>
        </w:tc>
        <w:tc>
          <w:tcPr>
            <w:tcW w:w="0" w:type="auto"/>
          </w:tcPr>
          <w:p w14:paraId="1F6FED32" w14:textId="77777777" w:rsidR="00A07464" w:rsidRDefault="008B0CB7">
            <w:pPr>
              <w:pStyle w:val="Compact"/>
              <w:jc w:val="left"/>
            </w:pPr>
            <w:r>
              <w:t>6.4</w:t>
            </w:r>
          </w:p>
        </w:tc>
        <w:tc>
          <w:tcPr>
            <w:tcW w:w="0" w:type="auto"/>
          </w:tcPr>
          <w:p w14:paraId="23EB58BA" w14:textId="77777777" w:rsidR="00A07464" w:rsidRDefault="008B0CB7">
            <w:pPr>
              <w:pStyle w:val="Compact"/>
              <w:jc w:val="left"/>
            </w:pPr>
            <w:r>
              <w:t>0.01170</w:t>
            </w:r>
          </w:p>
        </w:tc>
      </w:tr>
    </w:tbl>
    <w:p w14:paraId="1FBEFF16" w14:textId="77777777" w:rsidR="00A07464" w:rsidRDefault="008B0CB7">
      <w:pPr>
        <w:pStyle w:val="BodyText"/>
      </w:pPr>
      <w:r>
        <w:t>To examine whether a decrease had occured in ceftriaxone use in vaccinated children for non-vaccine related indications, the incidence of ceftriaxone for</w:t>
      </w:r>
      <w:r>
        <w:t xml:space="preserve"> all other indications was examined. Ceftriaxone treatment episodes for all other indications in children under four years of age did not change significantly. There was no heterogeneity across age-strata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0.56, P-value = 0.455). The Mantel-Haenszel </w:t>
      </w:r>
      <w:r>
        <w:t>adjusted incidence rate ratio was 0.96 (95% CI: 0.87-1.06; P = 0.262). The number of treatment episodes by age and vaccine period ranged 117-295. The stratum specific incidence rate ratios are shown in Table 6.</w:t>
      </w:r>
    </w:p>
    <w:p w14:paraId="7D4CB6EC" w14:textId="77777777" w:rsidR="00A07464" w:rsidRDefault="008B0CB7">
      <w:pPr>
        <w:pStyle w:val="TableCaption"/>
      </w:pPr>
      <w:r>
        <w:t>Table 6 Incidence risk ratio of ceftriaxone t</w:t>
      </w:r>
      <w:r>
        <w:t>reatment episodes with indications other than AOM and pneumonia between the pre- and post-vaccine periods</w:t>
      </w:r>
    </w:p>
    <w:tbl>
      <w:tblPr>
        <w:tblW w:w="0" w:type="pct"/>
        <w:tblLook w:val="07E0" w:firstRow="1" w:lastRow="1" w:firstColumn="1" w:lastColumn="1" w:noHBand="1" w:noVBand="1"/>
        <w:tblCaption w:val="Table 6 Incidence risk ratio of ceftriaxone treatment episodes with indications other than AOM and pneumonia between the pre- and post-vaccine periods"/>
      </w:tblPr>
      <w:tblGrid>
        <w:gridCol w:w="1250"/>
        <w:gridCol w:w="1640"/>
        <w:gridCol w:w="1306"/>
        <w:gridCol w:w="939"/>
      </w:tblGrid>
      <w:tr w:rsidR="00A07464" w14:paraId="45FD7FED" w14:textId="77777777">
        <w:tc>
          <w:tcPr>
            <w:tcW w:w="0" w:type="auto"/>
            <w:tcBorders>
              <w:bottom w:val="single" w:sz="0" w:space="0" w:color="auto"/>
            </w:tcBorders>
            <w:vAlign w:val="bottom"/>
          </w:tcPr>
          <w:p w14:paraId="031263F7" w14:textId="77777777" w:rsidR="00A07464" w:rsidRDefault="008B0CB7">
            <w:pPr>
              <w:pStyle w:val="Compact"/>
              <w:jc w:val="left"/>
            </w:pPr>
            <w:r>
              <w:t>Age (years)</w:t>
            </w:r>
          </w:p>
        </w:tc>
        <w:tc>
          <w:tcPr>
            <w:tcW w:w="0" w:type="auto"/>
            <w:tcBorders>
              <w:bottom w:val="single" w:sz="0" w:space="0" w:color="auto"/>
            </w:tcBorders>
            <w:vAlign w:val="bottom"/>
          </w:tcPr>
          <w:p w14:paraId="7391A151" w14:textId="77777777" w:rsidR="00A07464" w:rsidRDefault="008B0CB7">
            <w:pPr>
              <w:pStyle w:val="Compact"/>
              <w:jc w:val="left"/>
            </w:pPr>
            <w:r>
              <w:t>IRR (95% CI)</w:t>
            </w:r>
          </w:p>
        </w:tc>
        <w:tc>
          <w:tcPr>
            <w:tcW w:w="0" w:type="auto"/>
            <w:tcBorders>
              <w:bottom w:val="single" w:sz="0" w:space="0" w:color="auto"/>
            </w:tcBorders>
            <w:vAlign w:val="bottom"/>
          </w:tcPr>
          <w:p w14:paraId="34E68F2C" w14:textId="77777777" w:rsidR="00A07464" w:rsidRDefault="008B0CB7">
            <w:pPr>
              <w:pStyle w:val="Compact"/>
              <w:jc w:val="left"/>
            </w:pPr>
            <w:r>
              <w:t>Chi-squared</w:t>
            </w:r>
          </w:p>
        </w:tc>
        <w:tc>
          <w:tcPr>
            <w:tcW w:w="0" w:type="auto"/>
            <w:tcBorders>
              <w:bottom w:val="single" w:sz="0" w:space="0" w:color="auto"/>
            </w:tcBorders>
            <w:vAlign w:val="bottom"/>
          </w:tcPr>
          <w:p w14:paraId="0C0F6760" w14:textId="77777777" w:rsidR="00A07464" w:rsidRDefault="008B0CB7">
            <w:pPr>
              <w:pStyle w:val="Compact"/>
              <w:jc w:val="left"/>
            </w:pPr>
            <w:r>
              <w:t>P-value</w:t>
            </w:r>
          </w:p>
        </w:tc>
      </w:tr>
      <w:tr w:rsidR="00A07464" w14:paraId="399FD61A" w14:textId="77777777">
        <w:tc>
          <w:tcPr>
            <w:tcW w:w="0" w:type="auto"/>
          </w:tcPr>
          <w:p w14:paraId="29218DD3" w14:textId="77777777" w:rsidR="00A07464" w:rsidRDefault="008B0CB7">
            <w:pPr>
              <w:pStyle w:val="Compact"/>
              <w:jc w:val="left"/>
            </w:pPr>
            <w:r>
              <w:t>&lt;1</w:t>
            </w:r>
          </w:p>
        </w:tc>
        <w:tc>
          <w:tcPr>
            <w:tcW w:w="0" w:type="auto"/>
          </w:tcPr>
          <w:p w14:paraId="074AB29E" w14:textId="77777777" w:rsidR="00A07464" w:rsidRDefault="008B0CB7">
            <w:pPr>
              <w:pStyle w:val="Compact"/>
              <w:jc w:val="left"/>
            </w:pPr>
            <w:r>
              <w:t>1.30 (1.10-1.50)</w:t>
            </w:r>
          </w:p>
        </w:tc>
        <w:tc>
          <w:tcPr>
            <w:tcW w:w="0" w:type="auto"/>
          </w:tcPr>
          <w:p w14:paraId="57B31E81" w14:textId="77777777" w:rsidR="00A07464" w:rsidRDefault="008B0CB7">
            <w:pPr>
              <w:pStyle w:val="Compact"/>
              <w:jc w:val="left"/>
            </w:pPr>
            <w:r>
              <w:t>7.60</w:t>
            </w:r>
          </w:p>
        </w:tc>
        <w:tc>
          <w:tcPr>
            <w:tcW w:w="0" w:type="auto"/>
          </w:tcPr>
          <w:p w14:paraId="0DA6232B" w14:textId="77777777" w:rsidR="00A07464" w:rsidRDefault="008B0CB7">
            <w:pPr>
              <w:pStyle w:val="Compact"/>
              <w:jc w:val="left"/>
            </w:pPr>
            <w:r>
              <w:t>0.00597</w:t>
            </w:r>
          </w:p>
        </w:tc>
      </w:tr>
      <w:tr w:rsidR="00A07464" w14:paraId="6E062BA2" w14:textId="77777777">
        <w:tc>
          <w:tcPr>
            <w:tcW w:w="0" w:type="auto"/>
          </w:tcPr>
          <w:p w14:paraId="43E5871A" w14:textId="77777777" w:rsidR="00A07464" w:rsidRDefault="008B0CB7">
            <w:pPr>
              <w:pStyle w:val="Compact"/>
              <w:jc w:val="left"/>
            </w:pPr>
            <w:r>
              <w:t>1-2</w:t>
            </w:r>
          </w:p>
        </w:tc>
        <w:tc>
          <w:tcPr>
            <w:tcW w:w="0" w:type="auto"/>
          </w:tcPr>
          <w:p w14:paraId="577CBA40" w14:textId="77777777" w:rsidR="00A07464" w:rsidRDefault="008B0CB7">
            <w:pPr>
              <w:pStyle w:val="Compact"/>
              <w:jc w:val="left"/>
            </w:pPr>
            <w:r>
              <w:t>0.86 (0.70-1.00)</w:t>
            </w:r>
          </w:p>
        </w:tc>
        <w:tc>
          <w:tcPr>
            <w:tcW w:w="0" w:type="auto"/>
          </w:tcPr>
          <w:p w14:paraId="6701FFDD" w14:textId="77777777" w:rsidR="00A07464" w:rsidRDefault="008B0CB7">
            <w:pPr>
              <w:pStyle w:val="Compact"/>
              <w:jc w:val="left"/>
            </w:pPr>
            <w:r>
              <w:t>2.40</w:t>
            </w:r>
          </w:p>
        </w:tc>
        <w:tc>
          <w:tcPr>
            <w:tcW w:w="0" w:type="auto"/>
          </w:tcPr>
          <w:p w14:paraId="52C1C096" w14:textId="77777777" w:rsidR="00A07464" w:rsidRDefault="008B0CB7">
            <w:pPr>
              <w:pStyle w:val="Compact"/>
              <w:jc w:val="left"/>
            </w:pPr>
            <w:r>
              <w:t>0.12100</w:t>
            </w:r>
          </w:p>
        </w:tc>
      </w:tr>
      <w:tr w:rsidR="00A07464" w14:paraId="7C7F413A" w14:textId="77777777">
        <w:tc>
          <w:tcPr>
            <w:tcW w:w="0" w:type="auto"/>
          </w:tcPr>
          <w:p w14:paraId="7DC4CA54" w14:textId="77777777" w:rsidR="00A07464" w:rsidRDefault="008B0CB7">
            <w:pPr>
              <w:pStyle w:val="Compact"/>
              <w:jc w:val="left"/>
            </w:pPr>
            <w:r>
              <w:t>2-3</w:t>
            </w:r>
          </w:p>
        </w:tc>
        <w:tc>
          <w:tcPr>
            <w:tcW w:w="0" w:type="auto"/>
          </w:tcPr>
          <w:p w14:paraId="0192E8B0" w14:textId="77777777" w:rsidR="00A07464" w:rsidRDefault="008B0CB7">
            <w:pPr>
              <w:pStyle w:val="Compact"/>
              <w:jc w:val="left"/>
            </w:pPr>
            <w:r>
              <w:t>0.73 (0.58-0.91)</w:t>
            </w:r>
          </w:p>
        </w:tc>
        <w:tc>
          <w:tcPr>
            <w:tcW w:w="0" w:type="auto"/>
          </w:tcPr>
          <w:p w14:paraId="7BF55843" w14:textId="77777777" w:rsidR="00A07464" w:rsidRDefault="008B0CB7">
            <w:pPr>
              <w:pStyle w:val="Compact"/>
              <w:jc w:val="left"/>
            </w:pPr>
            <w:r>
              <w:t>8.00</w:t>
            </w:r>
          </w:p>
        </w:tc>
        <w:tc>
          <w:tcPr>
            <w:tcW w:w="0" w:type="auto"/>
          </w:tcPr>
          <w:p w14:paraId="0E48089E" w14:textId="77777777" w:rsidR="00A07464" w:rsidRDefault="008B0CB7">
            <w:pPr>
              <w:pStyle w:val="Compact"/>
              <w:jc w:val="left"/>
            </w:pPr>
            <w:r>
              <w:t>0.00473</w:t>
            </w:r>
          </w:p>
        </w:tc>
      </w:tr>
      <w:tr w:rsidR="00A07464" w14:paraId="28384400" w14:textId="77777777">
        <w:tc>
          <w:tcPr>
            <w:tcW w:w="0" w:type="auto"/>
          </w:tcPr>
          <w:p w14:paraId="38F6583D" w14:textId="77777777" w:rsidR="00A07464" w:rsidRDefault="008B0CB7">
            <w:pPr>
              <w:pStyle w:val="Compact"/>
              <w:jc w:val="left"/>
            </w:pPr>
            <w:r>
              <w:t>3-4</w:t>
            </w:r>
          </w:p>
        </w:tc>
        <w:tc>
          <w:tcPr>
            <w:tcW w:w="0" w:type="auto"/>
          </w:tcPr>
          <w:p w14:paraId="5DA3F3E6" w14:textId="77777777" w:rsidR="00A07464" w:rsidRDefault="008B0CB7">
            <w:pPr>
              <w:pStyle w:val="Compact"/>
              <w:jc w:val="left"/>
            </w:pPr>
            <w:r>
              <w:t>0.90 (0.70-1.20)</w:t>
            </w:r>
          </w:p>
        </w:tc>
        <w:tc>
          <w:tcPr>
            <w:tcW w:w="0" w:type="auto"/>
          </w:tcPr>
          <w:p w14:paraId="75D0B34A" w14:textId="77777777" w:rsidR="00A07464" w:rsidRDefault="008B0CB7">
            <w:pPr>
              <w:pStyle w:val="Compact"/>
              <w:jc w:val="left"/>
            </w:pPr>
            <w:r>
              <w:t>0.62</w:t>
            </w:r>
          </w:p>
        </w:tc>
        <w:tc>
          <w:tcPr>
            <w:tcW w:w="0" w:type="auto"/>
          </w:tcPr>
          <w:p w14:paraId="627B1DEF" w14:textId="77777777" w:rsidR="00A07464" w:rsidRDefault="008B0CB7">
            <w:pPr>
              <w:pStyle w:val="Compact"/>
              <w:jc w:val="left"/>
            </w:pPr>
            <w:r>
              <w:t>0.43200</w:t>
            </w:r>
          </w:p>
        </w:tc>
      </w:tr>
    </w:tbl>
    <w:p w14:paraId="1195763D" w14:textId="77777777" w:rsidR="00A07464" w:rsidRDefault="008B0CB7">
      <w:pPr>
        <w:pStyle w:val="BodyText"/>
      </w:pPr>
      <w:r>
        <w:t>Quarterly incidence of ceftriaxone treatment episodes by indication are shown in Figure 2.</w:t>
      </w:r>
    </w:p>
    <w:p w14:paraId="2DE5CB84" w14:textId="77777777" w:rsidR="00A07464" w:rsidRDefault="008B0CB7">
      <w:r>
        <w:rPr>
          <w:noProof/>
          <w:lang w:val="en-GB" w:eastAsia="en-GB"/>
        </w:rPr>
        <w:lastRenderedPageBreak/>
        <w:drawing>
          <wp:inline distT="0" distB="0" distL="0" distR="0" wp14:anchorId="0B369E67" wp14:editId="496784D9">
            <wp:extent cx="5676900" cy="3783932"/>
            <wp:effectExtent l="0" t="0" r="0" b="0"/>
            <wp:docPr id="2" name="Picture" descr="Figure 2 Quarterly incidence of ceftriaxone treatment episodes by indication 2008-2015"/>
            <wp:cNvGraphicFramePr/>
            <a:graphic xmlns:a="http://schemas.openxmlformats.org/drawingml/2006/main">
              <a:graphicData uri="http://schemas.openxmlformats.org/drawingml/2006/picture">
                <pic:pic xmlns:pic="http://schemas.openxmlformats.org/drawingml/2006/picture">
                  <pic:nvPicPr>
                    <pic:cNvPr id="0" name="Picture" descr="_figures/paper_I/2018-11-03-figure1-ceftriaxone-2008-2015.png"/>
                    <pic:cNvPicPr>
                      <a:picLocks noChangeAspect="1" noChangeArrowheads="1"/>
                    </pic:cNvPicPr>
                  </pic:nvPicPr>
                  <pic:blipFill>
                    <a:blip r:embed="rId8"/>
                    <a:stretch>
                      <a:fillRect/>
                    </a:stretch>
                  </pic:blipFill>
                  <pic:spPr bwMode="auto">
                    <a:xfrm>
                      <a:off x="0" y="0"/>
                      <a:ext cx="5676900" cy="3783932"/>
                    </a:xfrm>
                    <a:prstGeom prst="rect">
                      <a:avLst/>
                    </a:prstGeom>
                    <a:noFill/>
                    <a:ln w="9525">
                      <a:noFill/>
                      <a:headEnd/>
                      <a:tailEnd/>
                    </a:ln>
                  </pic:spPr>
                </pic:pic>
              </a:graphicData>
            </a:graphic>
          </wp:inline>
        </w:drawing>
      </w:r>
    </w:p>
    <w:p w14:paraId="63BD5A1F" w14:textId="77777777" w:rsidR="00A07464" w:rsidRDefault="008B0CB7">
      <w:pPr>
        <w:pStyle w:val="ImageCaption"/>
      </w:pPr>
      <w:r>
        <w:t>Figure 2 Quarterly incidence of ceftriaxone treatment episodes by indication 2008-2015</w:t>
      </w:r>
    </w:p>
    <w:p w14:paraId="723748ED" w14:textId="77777777" w:rsidR="00A07464" w:rsidRDefault="008B0CB7">
      <w:pPr>
        <w:pStyle w:val="BodyText"/>
      </w:pPr>
      <w:r>
        <w:t>To further test whether a general decrease was ocurring in the overall use of ceftriaxone, rather than a specific decrease for vaccine-related indications in vaccinated children, ceftriaxone treatment episodes in all children regardless of age and indiciat</w:t>
      </w:r>
      <w:r>
        <w:t xml:space="preserve">ion was examined. An overall decrease in the incidence rate of ceftriaxone treatment episodes was noted in the post-vaccine period compared to the pre-vaccine period among children under eighteen years of age regardless of indication, from 11.11 treatment </w:t>
      </w:r>
      <w:r>
        <w:t>episodes per 1000 person-years to 9.55 episodes per 1000 person-years, IRR 0.86 (95% CI: 0.81-0.91; P &lt; 0.001). The effect was not consistent across age-groups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23.6, P-value &lt; 0.001). When examined by age-group, the overall decrease prooved to be dr</w:t>
      </w:r>
      <w:r>
        <w:t>iven be a decrease in the youngest age-group – the children who were protected by the vaccination. The incidence of ceftriaxone treatment episodes did not decrease significantly in other age groups (Figure 3).</w:t>
      </w:r>
    </w:p>
    <w:p w14:paraId="4DF59AFE" w14:textId="77777777" w:rsidR="00A07464" w:rsidRDefault="008B0CB7">
      <w:r>
        <w:rPr>
          <w:noProof/>
          <w:lang w:val="en-GB" w:eastAsia="en-GB"/>
        </w:rPr>
        <w:lastRenderedPageBreak/>
        <w:drawing>
          <wp:inline distT="0" distB="0" distL="0" distR="0" wp14:anchorId="236051D9" wp14:editId="4130C394">
            <wp:extent cx="5676900" cy="4731417"/>
            <wp:effectExtent l="0" t="0" r="0" b="0"/>
            <wp:docPr id="3" name="Picture" descr="Figure 3 Incidence of ceftriaxone treatment episodes by age-group and calendar time"/>
            <wp:cNvGraphicFramePr/>
            <a:graphic xmlns:a="http://schemas.openxmlformats.org/drawingml/2006/main">
              <a:graphicData uri="http://schemas.openxmlformats.org/drawingml/2006/picture">
                <pic:pic xmlns:pic="http://schemas.openxmlformats.org/drawingml/2006/picture">
                  <pic:nvPicPr>
                    <pic:cNvPr id="0" name="Picture" descr="_figures/paper_I/2018-11-23-age-group-figure.png"/>
                    <pic:cNvPicPr>
                      <a:picLocks noChangeAspect="1" noChangeArrowheads="1"/>
                    </pic:cNvPicPr>
                  </pic:nvPicPr>
                  <pic:blipFill>
                    <a:blip r:embed="rId9"/>
                    <a:stretch>
                      <a:fillRect/>
                    </a:stretch>
                  </pic:blipFill>
                  <pic:spPr bwMode="auto">
                    <a:xfrm>
                      <a:off x="0" y="0"/>
                      <a:ext cx="5676900" cy="4731417"/>
                    </a:xfrm>
                    <a:prstGeom prst="rect">
                      <a:avLst/>
                    </a:prstGeom>
                    <a:noFill/>
                    <a:ln w="9525">
                      <a:noFill/>
                      <a:headEnd/>
                      <a:tailEnd/>
                    </a:ln>
                  </pic:spPr>
                </pic:pic>
              </a:graphicData>
            </a:graphic>
          </wp:inline>
        </w:drawing>
      </w:r>
    </w:p>
    <w:p w14:paraId="6247D584" w14:textId="77777777" w:rsidR="00A07464" w:rsidRDefault="008B0CB7" w:rsidP="004D0970">
      <w:pPr>
        <w:pStyle w:val="ImageCaption"/>
      </w:pPr>
      <w:r>
        <w:t xml:space="preserve">Figure 3 Incidence of ceftriaxone treatment </w:t>
      </w:r>
      <w:r>
        <w:t>episodes by age-group and calendar time</w:t>
      </w:r>
      <w:bookmarkStart w:id="1" w:name="discussion"/>
      <w:bookmarkStart w:id="2" w:name="_GoBack"/>
      <w:bookmarkEnd w:id="1"/>
      <w:bookmarkEnd w:id="2"/>
    </w:p>
    <w:sectPr w:rsidR="00A07464" w:rsidSect="00864715">
      <w:type w:val="oddPage"/>
      <w:pgSz w:w="12240" w:h="15840"/>
      <w:pgMar w:top="1474" w:right="1644" w:bottom="1474" w:left="1644" w:header="680" w:footer="510" w:gutter="0"/>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48CDE" w14:textId="77777777" w:rsidR="008B0CB7" w:rsidRDefault="008B0CB7">
      <w:pPr>
        <w:spacing w:after="0"/>
      </w:pPr>
      <w:r>
        <w:separator/>
      </w:r>
    </w:p>
  </w:endnote>
  <w:endnote w:type="continuationSeparator" w:id="0">
    <w:p w14:paraId="4F83EF2D" w14:textId="77777777" w:rsidR="008B0CB7" w:rsidRDefault="008B0C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65F2F" w14:textId="77777777" w:rsidR="008B0CB7" w:rsidRDefault="008B0CB7">
      <w:r>
        <w:separator/>
      </w:r>
    </w:p>
  </w:footnote>
  <w:footnote w:type="continuationSeparator" w:id="0">
    <w:p w14:paraId="7D4BD484" w14:textId="77777777" w:rsidR="008B0CB7" w:rsidRDefault="008B0CB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3C4BC4B"/>
    <w:multiLevelType w:val="multilevel"/>
    <w:tmpl w:val="FA1CAC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108A773"/>
    <w:multiLevelType w:val="multilevel"/>
    <w:tmpl w:val="623623D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C8FD36ED"/>
    <w:multiLevelType w:val="multilevel"/>
    <w:tmpl w:val="B14895A0"/>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3C709DE"/>
    <w:multiLevelType w:val="multilevel"/>
    <w:tmpl w:val="749888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945753"/>
    <w:multiLevelType w:val="multilevel"/>
    <w:tmpl w:val="9C9E04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17F69BA"/>
    <w:multiLevelType w:val="multilevel"/>
    <w:tmpl w:val="664E15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250AA80"/>
    <w:multiLevelType w:val="multilevel"/>
    <w:tmpl w:val="3C02871A"/>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FFFFF1D"/>
    <w:multiLevelType w:val="multilevel"/>
    <w:tmpl w:val="D5361D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8">
    <w:nsid w:val="FFFFFF7C"/>
    <w:multiLevelType w:val="singleLevel"/>
    <w:tmpl w:val="BD6C8BD6"/>
    <w:lvl w:ilvl="0">
      <w:start w:val="1"/>
      <w:numFmt w:val="decimal"/>
      <w:lvlText w:val="%1."/>
      <w:lvlJc w:val="left"/>
      <w:pPr>
        <w:tabs>
          <w:tab w:val="num" w:pos="1492"/>
        </w:tabs>
        <w:ind w:left="1492" w:hanging="360"/>
      </w:pPr>
    </w:lvl>
  </w:abstractNum>
  <w:abstractNum w:abstractNumId="9">
    <w:nsid w:val="FFFFFF7D"/>
    <w:multiLevelType w:val="singleLevel"/>
    <w:tmpl w:val="1C5EC8CE"/>
    <w:lvl w:ilvl="0">
      <w:start w:val="1"/>
      <w:numFmt w:val="decimal"/>
      <w:lvlText w:val="%1."/>
      <w:lvlJc w:val="left"/>
      <w:pPr>
        <w:tabs>
          <w:tab w:val="num" w:pos="1209"/>
        </w:tabs>
        <w:ind w:left="1209" w:hanging="360"/>
      </w:pPr>
    </w:lvl>
  </w:abstractNum>
  <w:abstractNum w:abstractNumId="10">
    <w:nsid w:val="FFFFFF7E"/>
    <w:multiLevelType w:val="singleLevel"/>
    <w:tmpl w:val="3FBC6698"/>
    <w:lvl w:ilvl="0">
      <w:start w:val="1"/>
      <w:numFmt w:val="decimal"/>
      <w:lvlText w:val="%1."/>
      <w:lvlJc w:val="left"/>
      <w:pPr>
        <w:tabs>
          <w:tab w:val="num" w:pos="926"/>
        </w:tabs>
        <w:ind w:left="926" w:hanging="360"/>
      </w:pPr>
    </w:lvl>
  </w:abstractNum>
  <w:abstractNum w:abstractNumId="11">
    <w:nsid w:val="FFFFFF7F"/>
    <w:multiLevelType w:val="singleLevel"/>
    <w:tmpl w:val="74FEA27E"/>
    <w:lvl w:ilvl="0">
      <w:start w:val="1"/>
      <w:numFmt w:val="decimal"/>
      <w:lvlText w:val="%1."/>
      <w:lvlJc w:val="left"/>
      <w:pPr>
        <w:tabs>
          <w:tab w:val="num" w:pos="643"/>
        </w:tabs>
        <w:ind w:left="643" w:hanging="360"/>
      </w:pPr>
    </w:lvl>
  </w:abstractNum>
  <w:abstractNum w:abstractNumId="12">
    <w:nsid w:val="FFFFFF80"/>
    <w:multiLevelType w:val="singleLevel"/>
    <w:tmpl w:val="BDCCDB7E"/>
    <w:lvl w:ilvl="0">
      <w:start w:val="1"/>
      <w:numFmt w:val="bullet"/>
      <w:lvlText w:val=""/>
      <w:lvlJc w:val="left"/>
      <w:pPr>
        <w:tabs>
          <w:tab w:val="num" w:pos="1492"/>
        </w:tabs>
        <w:ind w:left="1492" w:hanging="360"/>
      </w:pPr>
      <w:rPr>
        <w:rFonts w:ascii="Symbol" w:hAnsi="Symbol" w:hint="default"/>
      </w:rPr>
    </w:lvl>
  </w:abstractNum>
  <w:abstractNum w:abstractNumId="13">
    <w:nsid w:val="FFFFFF81"/>
    <w:multiLevelType w:val="singleLevel"/>
    <w:tmpl w:val="1BD08098"/>
    <w:lvl w:ilvl="0">
      <w:start w:val="1"/>
      <w:numFmt w:val="bullet"/>
      <w:lvlText w:val=""/>
      <w:lvlJc w:val="left"/>
      <w:pPr>
        <w:tabs>
          <w:tab w:val="num" w:pos="1209"/>
        </w:tabs>
        <w:ind w:left="1209" w:hanging="360"/>
      </w:pPr>
      <w:rPr>
        <w:rFonts w:ascii="Symbol" w:hAnsi="Symbol" w:hint="default"/>
      </w:rPr>
    </w:lvl>
  </w:abstractNum>
  <w:abstractNum w:abstractNumId="14">
    <w:nsid w:val="FFFFFF82"/>
    <w:multiLevelType w:val="singleLevel"/>
    <w:tmpl w:val="DCA0A724"/>
    <w:lvl w:ilvl="0">
      <w:start w:val="1"/>
      <w:numFmt w:val="bullet"/>
      <w:lvlText w:val=""/>
      <w:lvlJc w:val="left"/>
      <w:pPr>
        <w:tabs>
          <w:tab w:val="num" w:pos="926"/>
        </w:tabs>
        <w:ind w:left="926" w:hanging="360"/>
      </w:pPr>
      <w:rPr>
        <w:rFonts w:ascii="Symbol" w:hAnsi="Symbol" w:hint="default"/>
      </w:rPr>
    </w:lvl>
  </w:abstractNum>
  <w:abstractNum w:abstractNumId="15">
    <w:nsid w:val="FFFFFF83"/>
    <w:multiLevelType w:val="singleLevel"/>
    <w:tmpl w:val="7B922538"/>
    <w:lvl w:ilvl="0">
      <w:start w:val="1"/>
      <w:numFmt w:val="bullet"/>
      <w:lvlText w:val=""/>
      <w:lvlJc w:val="left"/>
      <w:pPr>
        <w:tabs>
          <w:tab w:val="num" w:pos="643"/>
        </w:tabs>
        <w:ind w:left="643" w:hanging="360"/>
      </w:pPr>
      <w:rPr>
        <w:rFonts w:ascii="Symbol" w:hAnsi="Symbol" w:hint="default"/>
      </w:rPr>
    </w:lvl>
  </w:abstractNum>
  <w:abstractNum w:abstractNumId="16">
    <w:nsid w:val="FFFFFF88"/>
    <w:multiLevelType w:val="singleLevel"/>
    <w:tmpl w:val="5E405AF4"/>
    <w:lvl w:ilvl="0">
      <w:start w:val="1"/>
      <w:numFmt w:val="decimal"/>
      <w:lvlText w:val="%1."/>
      <w:lvlJc w:val="left"/>
      <w:pPr>
        <w:tabs>
          <w:tab w:val="num" w:pos="360"/>
        </w:tabs>
        <w:ind w:left="360" w:hanging="360"/>
      </w:pPr>
    </w:lvl>
  </w:abstractNum>
  <w:abstractNum w:abstractNumId="17">
    <w:nsid w:val="FFFFFF89"/>
    <w:multiLevelType w:val="singleLevel"/>
    <w:tmpl w:val="20500572"/>
    <w:lvl w:ilvl="0">
      <w:start w:val="1"/>
      <w:numFmt w:val="bullet"/>
      <w:lvlText w:val=""/>
      <w:lvlJc w:val="left"/>
      <w:pPr>
        <w:tabs>
          <w:tab w:val="num" w:pos="360"/>
        </w:tabs>
        <w:ind w:left="360" w:hanging="360"/>
      </w:pPr>
      <w:rPr>
        <w:rFonts w:ascii="Symbol" w:hAnsi="Symbol" w:hint="default"/>
      </w:rPr>
    </w:lvl>
  </w:abstractNum>
  <w:abstractNum w:abstractNumId="18">
    <w:nsid w:val="125C785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FCE1550"/>
    <w:multiLevelType w:val="multilevel"/>
    <w:tmpl w:val="8D3830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33F86A94"/>
    <w:multiLevelType w:val="hybridMultilevel"/>
    <w:tmpl w:val="6A16593E"/>
    <w:lvl w:ilvl="0" w:tplc="0E82097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46DD9AD"/>
    <w:multiLevelType w:val="multilevel"/>
    <w:tmpl w:val="9F9EE4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2">
    <w:nsid w:val="54BCFACF"/>
    <w:multiLevelType w:val="multilevel"/>
    <w:tmpl w:val="CC927720"/>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66AF269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A6E4A0A"/>
    <w:multiLevelType w:val="multilevel"/>
    <w:tmpl w:val="1F6E41C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76FC7A2E"/>
    <w:multiLevelType w:val="multilevel"/>
    <w:tmpl w:val="1F6E41C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2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4"/>
  </w:num>
  <w:num w:numId="5">
    <w:abstractNumId w:val="7"/>
  </w:num>
  <w:num w:numId="6">
    <w:abstractNumId w:val="8"/>
  </w:num>
  <w:num w:numId="7">
    <w:abstractNumId w:val="9"/>
  </w:num>
  <w:num w:numId="8">
    <w:abstractNumId w:val="10"/>
  </w:num>
  <w:num w:numId="9">
    <w:abstractNumId w:val="11"/>
  </w:num>
  <w:num w:numId="10">
    <w:abstractNumId w:val="16"/>
  </w:num>
  <w:num w:numId="11">
    <w:abstractNumId w:val="12"/>
  </w:num>
  <w:num w:numId="12">
    <w:abstractNumId w:val="13"/>
  </w:num>
  <w:num w:numId="13">
    <w:abstractNumId w:val="14"/>
  </w:num>
  <w:num w:numId="14">
    <w:abstractNumId w:val="15"/>
  </w:num>
  <w:num w:numId="15">
    <w:abstractNumId w:val="17"/>
  </w:num>
  <w:num w:numId="16">
    <w:abstractNumId w:val="20"/>
  </w:num>
  <w:num w:numId="17">
    <w:abstractNumId w:val="24"/>
  </w:num>
  <w:num w:numId="18">
    <w:abstractNumId w:val="18"/>
  </w:num>
  <w:num w:numId="19">
    <w:abstractNumId w:val="23"/>
  </w:num>
  <w:num w:numId="20">
    <w:abstractNumId w:val="3"/>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9"/>
  </w:num>
  <w:num w:numId="23">
    <w:abstractNumId w:val="25"/>
  </w:num>
  <w:num w:numId="24">
    <w:abstractNumId w:val="0"/>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D0970"/>
    <w:rsid w:val="004E29B3"/>
    <w:rsid w:val="00590D07"/>
    <w:rsid w:val="00784D58"/>
    <w:rsid w:val="008B0CB7"/>
    <w:rsid w:val="008D6863"/>
    <w:rsid w:val="00A0746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121690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B750F"/>
    <w:rPr>
      <w:rFonts w:ascii="Arial" w:hAnsi="Arial"/>
      <w:sz w:val="20"/>
    </w:rPr>
  </w:style>
  <w:style w:type="paragraph" w:styleId="Heading1">
    <w:name w:val="heading 1"/>
    <w:basedOn w:val="Normal"/>
    <w:next w:val="FirstParagraph"/>
    <w:uiPriority w:val="9"/>
    <w:qFormat/>
    <w:rsid w:val="00EA6F75"/>
    <w:pPr>
      <w:keepNext/>
      <w:keepLines/>
      <w:numPr>
        <w:numId w:val="17"/>
      </w:numPr>
      <w:spacing w:before="840" w:after="240"/>
      <w:outlineLvl w:val="0"/>
    </w:pPr>
    <w:rPr>
      <w:rFonts w:eastAsiaTheme="majorEastAsia" w:cstheme="majorBidi"/>
      <w:b/>
      <w:bCs/>
      <w:sz w:val="26"/>
      <w:szCs w:val="32"/>
    </w:rPr>
  </w:style>
  <w:style w:type="paragraph" w:styleId="Heading2">
    <w:name w:val="heading 2"/>
    <w:basedOn w:val="Normal"/>
    <w:next w:val="FirstParagraph"/>
    <w:uiPriority w:val="9"/>
    <w:unhideWhenUsed/>
    <w:qFormat/>
    <w:rsid w:val="00EA6F75"/>
    <w:pPr>
      <w:keepNext/>
      <w:keepLines/>
      <w:numPr>
        <w:ilvl w:val="1"/>
        <w:numId w:val="17"/>
      </w:numPr>
      <w:spacing w:before="240" w:after="120"/>
      <w:outlineLvl w:val="1"/>
    </w:pPr>
    <w:rPr>
      <w:rFonts w:eastAsiaTheme="majorEastAsia" w:cstheme="majorBidi"/>
      <w:b/>
      <w:bCs/>
      <w:sz w:val="24"/>
      <w:szCs w:val="32"/>
    </w:rPr>
  </w:style>
  <w:style w:type="paragraph" w:styleId="Heading3">
    <w:name w:val="heading 3"/>
    <w:basedOn w:val="Normal"/>
    <w:next w:val="FirstParagraph"/>
    <w:uiPriority w:val="9"/>
    <w:unhideWhenUsed/>
    <w:qFormat/>
    <w:rsid w:val="00EA6F75"/>
    <w:pPr>
      <w:numPr>
        <w:ilvl w:val="2"/>
        <w:numId w:val="17"/>
      </w:numPr>
      <w:spacing w:before="200" w:after="60"/>
      <w:outlineLvl w:val="2"/>
    </w:pPr>
    <w:rPr>
      <w:rFonts w:eastAsiaTheme="majorEastAsia" w:cstheme="majorBidi"/>
      <w:b/>
      <w:bCs/>
      <w:sz w:val="22"/>
      <w:szCs w:val="28"/>
    </w:rPr>
  </w:style>
  <w:style w:type="paragraph" w:styleId="Heading4">
    <w:name w:val="heading 4"/>
    <w:basedOn w:val="Normal"/>
    <w:next w:val="BodyText"/>
    <w:uiPriority w:val="9"/>
    <w:unhideWhenUsed/>
    <w:qFormat/>
    <w:rsid w:val="00EA6F75"/>
    <w:pPr>
      <w:keepNext/>
      <w:keepLines/>
      <w:numPr>
        <w:ilvl w:val="3"/>
        <w:numId w:val="17"/>
      </w:numPr>
      <w:spacing w:before="200" w:after="60"/>
      <w:outlineLvl w:val="3"/>
    </w:pPr>
    <w:rPr>
      <w:rFonts w:eastAsiaTheme="majorEastAsia" w:cstheme="majorBidi"/>
      <w:b/>
      <w:bCs/>
      <w:i/>
    </w:rPr>
  </w:style>
  <w:style w:type="paragraph" w:styleId="Heading5">
    <w:name w:val="heading 5"/>
    <w:basedOn w:val="Normal"/>
    <w:next w:val="BodyText"/>
    <w:uiPriority w:val="9"/>
    <w:unhideWhenUsed/>
    <w:qFormat/>
    <w:rsid w:val="009E306E"/>
    <w:pPr>
      <w:keepNext/>
      <w:keepLines/>
      <w:numPr>
        <w:ilvl w:val="4"/>
        <w:numId w:val="17"/>
      </w:numPr>
      <w:spacing w:before="200" w:after="0"/>
      <w:outlineLvl w:val="4"/>
    </w:pPr>
    <w:rPr>
      <w:rFonts w:eastAsiaTheme="majorEastAsia" w:cstheme="majorBidi"/>
      <w:b/>
      <w:i/>
      <w:iCs/>
    </w:rPr>
  </w:style>
  <w:style w:type="paragraph" w:styleId="Heading6">
    <w:name w:val="heading 6"/>
    <w:basedOn w:val="Normal"/>
    <w:next w:val="BodyText"/>
    <w:uiPriority w:val="9"/>
    <w:unhideWhenUsed/>
    <w:qFormat/>
    <w:rsid w:val="009E306E"/>
    <w:pPr>
      <w:keepNext/>
      <w:keepLines/>
      <w:numPr>
        <w:ilvl w:val="5"/>
        <w:numId w:val="17"/>
      </w:numPr>
      <w:spacing w:before="200" w:after="0"/>
      <w:outlineLvl w:val="5"/>
    </w:pPr>
    <w:rPr>
      <w:rFonts w:eastAsiaTheme="majorEastAsia" w:cstheme="majorBidi"/>
    </w:rPr>
  </w:style>
  <w:style w:type="paragraph" w:styleId="Heading7">
    <w:name w:val="heading 7"/>
    <w:basedOn w:val="Normal"/>
    <w:next w:val="Normal"/>
    <w:link w:val="Heading7Char"/>
    <w:rsid w:val="00EA6F75"/>
    <w:pPr>
      <w:keepNext/>
      <w:keepLines/>
      <w:numPr>
        <w:ilvl w:val="6"/>
        <w:numId w:val="1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EA6F75"/>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EA6F75"/>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546A3"/>
    <w:pPr>
      <w:spacing w:before="120" w:after="60" w:line="280" w:lineRule="exact"/>
      <w:ind w:firstLine="284"/>
      <w:jc w:val="both"/>
    </w:pPr>
  </w:style>
  <w:style w:type="paragraph" w:customStyle="1" w:styleId="FirstParagraph">
    <w:name w:val="First Paragraph"/>
    <w:basedOn w:val="BodyText"/>
    <w:next w:val="BodyText"/>
    <w:qFormat/>
    <w:rsid w:val="004546A3"/>
    <w:pPr>
      <w:ind w:firstLine="0"/>
    </w:pPr>
  </w:style>
  <w:style w:type="paragraph" w:customStyle="1" w:styleId="Compact">
    <w:name w:val="Compact"/>
    <w:basedOn w:val="BodyText"/>
    <w:qFormat/>
    <w:rsid w:val="004546A3"/>
    <w:pPr>
      <w:spacing w:before="36" w:after="36"/>
      <w:ind w:firstLine="0"/>
    </w:pPr>
  </w:style>
  <w:style w:type="paragraph" w:styleId="Title">
    <w:name w:val="Title"/>
    <w:basedOn w:val="Normal"/>
    <w:next w:val="BodyText"/>
    <w:qFormat/>
    <w:rsid w:val="004546A3"/>
    <w:pPr>
      <w:keepNext/>
      <w:keepLines/>
      <w:spacing w:before="3000" w:after="0" w:line="280" w:lineRule="exact"/>
      <w:jc w:val="center"/>
    </w:pPr>
    <w:rPr>
      <w:rFonts w:eastAsiaTheme="majorEastAsia" w:cstheme="majorBidi"/>
      <w:b/>
      <w:bCs/>
      <w:sz w:val="36"/>
      <w:szCs w:val="36"/>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rsid w:val="004546A3"/>
    <w:pPr>
      <w:keepNext/>
      <w:keepLines/>
      <w:spacing w:after="1320"/>
      <w:jc w:val="center"/>
    </w:pPr>
    <w:rPr>
      <w:rFonts w:ascii="Arial" w:hAnsi="Arial"/>
      <w:b/>
      <w:sz w:val="28"/>
    </w:rPr>
  </w:style>
  <w:style w:type="paragraph" w:styleId="Date">
    <w:name w:val="Date"/>
    <w:next w:val="BodyText"/>
    <w:qFormat/>
    <w:pPr>
      <w:keepNext/>
      <w:keepLines/>
      <w:jc w:val="center"/>
    </w:pPr>
  </w:style>
  <w:style w:type="paragraph" w:customStyle="1" w:styleId="Abstract">
    <w:name w:val="Abstract"/>
    <w:basedOn w:val="Normal"/>
    <w:next w:val="BodyText"/>
    <w:qFormat/>
    <w:rsid w:val="002B750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546A3"/>
    <w:pPr>
      <w:spacing w:before="120" w:after="240"/>
    </w:pPr>
    <w:rPr>
      <w:sz w:val="18"/>
    </w:rPr>
  </w:style>
  <w:style w:type="paragraph" w:customStyle="1" w:styleId="TableCaption">
    <w:name w:val="Table Caption"/>
    <w:basedOn w:val="Caption"/>
    <w:rsid w:val="00EA6F75"/>
    <w:pPr>
      <w:jc w:val="both"/>
    </w:pPr>
  </w:style>
  <w:style w:type="paragraph" w:customStyle="1" w:styleId="ImageCaption">
    <w:name w:val="Image Caption"/>
    <w:basedOn w:val="Caption"/>
    <w:rsid w:val="00EA6F75"/>
    <w:pPr>
      <w:jc w:val="both"/>
    </w:pPr>
  </w:style>
  <w:style w:type="paragraph" w:customStyle="1" w:styleId="Figure">
    <w:name w:val="Figure"/>
    <w:basedOn w:val="Normal"/>
  </w:style>
  <w:style w:type="paragraph" w:customStyle="1" w:styleId="FigurewithCaption">
    <w:name w:val="Figure with Caption"/>
    <w:basedOn w:val="Figure"/>
    <w:rsid w:val="004546A3"/>
    <w:pPr>
      <w:keepNext/>
    </w:pPr>
    <w:rPr>
      <w:sz w:val="18"/>
    </w:rPr>
  </w:style>
  <w:style w:type="character" w:customStyle="1" w:styleId="CaptionChar">
    <w:name w:val="Caption Char"/>
    <w:basedOn w:val="DefaultParagraphFont"/>
    <w:link w:val="Caption"/>
    <w:rsid w:val="004546A3"/>
    <w:rPr>
      <w:rFonts w:ascii="Arial" w:hAnsi="Arial"/>
      <w:sz w:val="18"/>
    </w:rPr>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rFonts w:ascii="Arial" w:hAnsi="Arial"/>
      <w:sz w:val="18"/>
      <w:vertAlign w:val="superscript"/>
    </w:rPr>
  </w:style>
  <w:style w:type="character" w:styleId="Hyperlink">
    <w:name w:val="Hyperlink"/>
    <w:uiPriority w:val="99"/>
    <w:rsid w:val="00512FCD"/>
    <w:rPr>
      <w:rFonts w:ascii="Arial" w:hAnsi="Arial"/>
      <w:color w:val="auto"/>
      <w:sz w:val="18"/>
    </w:rPr>
  </w:style>
  <w:style w:type="paragraph" w:styleId="TOCHeading">
    <w:name w:val="TOC Heading"/>
    <w:basedOn w:val="Heading1"/>
    <w:next w:val="BodyText"/>
    <w:uiPriority w:val="39"/>
    <w:unhideWhenUsed/>
    <w:qFormat/>
    <w:rsid w:val="00512FCD"/>
    <w:pPr>
      <w:numPr>
        <w:numId w:val="0"/>
      </w:numPr>
      <w:spacing w:before="240" w:line="259" w:lineRule="auto"/>
      <w:outlineLvl w:val="9"/>
    </w:pPr>
    <w:rPr>
      <w:rFonts w:asciiTheme="majorHAnsi" w:hAnsiTheme="majorHAnsi"/>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546A3"/>
    <w:rPr>
      <w:rFonts w:ascii="Arial" w:hAnsi="Arial"/>
      <w:sz w:val="20"/>
    </w:rPr>
  </w:style>
  <w:style w:type="character" w:customStyle="1" w:styleId="Heading7Char">
    <w:name w:val="Heading 7 Char"/>
    <w:basedOn w:val="DefaultParagraphFont"/>
    <w:link w:val="Heading7"/>
    <w:rsid w:val="00EA6F75"/>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semiHidden/>
    <w:rsid w:val="00EA6F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EA6F75"/>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12FCD"/>
    <w:pPr>
      <w:spacing w:before="100" w:after="0" w:line="312" w:lineRule="auto"/>
    </w:pPr>
    <w:rPr>
      <w:b/>
    </w:rPr>
  </w:style>
  <w:style w:type="paragraph" w:styleId="TOC2">
    <w:name w:val="toc 2"/>
    <w:basedOn w:val="Normal"/>
    <w:next w:val="Normal"/>
    <w:autoRedefine/>
    <w:uiPriority w:val="39"/>
    <w:unhideWhenUsed/>
    <w:rsid w:val="00512FCD"/>
    <w:pPr>
      <w:spacing w:after="0" w:line="288" w:lineRule="auto"/>
      <w:ind w:left="850" w:right="340" w:hanging="425"/>
    </w:pPr>
  </w:style>
  <w:style w:type="paragraph" w:styleId="TOC3">
    <w:name w:val="toc 3"/>
    <w:basedOn w:val="Normal"/>
    <w:next w:val="Normal"/>
    <w:autoRedefine/>
    <w:uiPriority w:val="39"/>
    <w:unhideWhenUsed/>
    <w:rsid w:val="00512FCD"/>
    <w:pPr>
      <w:spacing w:after="0" w:line="288" w:lineRule="auto"/>
      <w:ind w:left="1134" w:right="567" w:hanging="567"/>
    </w:pPr>
  </w:style>
  <w:style w:type="paragraph" w:styleId="TOC4">
    <w:name w:val="toc 4"/>
    <w:basedOn w:val="Normal"/>
    <w:next w:val="Normal"/>
    <w:autoRedefine/>
    <w:uiPriority w:val="39"/>
    <w:unhideWhenUsed/>
    <w:rsid w:val="00512FCD"/>
    <w:pPr>
      <w:spacing w:before="120" w:after="0" w:line="288" w:lineRule="auto"/>
      <w:ind w:left="2269" w:right="567" w:hanging="141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1180</Words>
  <Characters>6727</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PhD thesis</vt:lpstr>
    </vt:vector>
  </TitlesOfParts>
  <LinksUpToDate>false</LinksUpToDate>
  <CharactersWithSpaces>7892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PhD thesis</dc:title>
  <dc:creator>Elías Sæbjörn Eyþórsson</dc:creator>
  <cp:lastModifiedBy>Elías Sæbjörn Eyþórsson</cp:lastModifiedBy>
  <cp:revision>2</cp:revision>
  <dcterms:created xsi:type="dcterms:W3CDTF">2018-11-23T18:43:00Z</dcterms:created>
  <dcterms:modified xsi:type="dcterms:W3CDTF">2018-11-23T18:51:00Z</dcterms:modified>
</cp:coreProperties>
</file>