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FF5D4B" w14:textId="77777777" w:rsidR="00C95A82" w:rsidRDefault="0088601F">
      <w:pPr>
        <w:pStyle w:val="Heading2"/>
      </w:pPr>
      <w:bookmarkStart w:id="0" w:name="paper3results"/>
      <w:bookmarkEnd w:id="0"/>
      <w:r>
        <w:t xml:space="preserve">Impact on outpatient antimicrobial prescriptions </w:t>
      </w:r>
      <w:r>
        <w:t>(Paper III)</w:t>
      </w:r>
    </w:p>
    <w:p w14:paraId="7FAACDBA" w14:textId="77777777" w:rsidR="00C95A82" w:rsidRDefault="0088601F">
      <w:pPr>
        <w:pStyle w:val="FirstParagraph"/>
      </w:pPr>
      <w:r>
        <w:t>Demographic data regarding the study birth-cohorts are summarized in chapter @ref(#datasourcesresults) and Table ??. From 2005-2012, first-line penicillins were prescribed most commonly and represented between 41% and 47% of all antimicrobial p</w:t>
      </w:r>
      <w:r>
        <w:t>rescriptions. Their use decreased suddenly in 2013 to 32%, and represented only 18% of all antimicrobial prescriptions in 2014 and 2015. During this same period, the use of second-line penicillins went from 35% to 40% 2005-2012, to 48%, 55% and 54% in 2013</w:t>
      </w:r>
      <w:r>
        <w:t>, 2014 and 2015. Use of cephalosporins followed a simmilar trend – it was between 5.2% and 7.8% 2005–2012, and increased to 10–15% between 2013–2016. Antimicrobial prescriptions by calendar year are shown in Table 1.</w:t>
      </w:r>
    </w:p>
    <w:p w14:paraId="56A3545A" w14:textId="77777777" w:rsidR="00C95A82" w:rsidRDefault="0088601F">
      <w:pPr>
        <w:pStyle w:val="TableCaption"/>
      </w:pPr>
      <w:r>
        <w:t>Table 1 Incidence rate and number of ou</w:t>
      </w:r>
      <w:r>
        <w:t>tpatient antimicrobial prescriptions by birth-cohort and gender</w:t>
      </w:r>
    </w:p>
    <w:tbl>
      <w:tblPr>
        <w:tblW w:w="0" w:type="pct"/>
        <w:tblLook w:val="07E0" w:firstRow="1" w:lastRow="1" w:firstColumn="1" w:lastColumn="1" w:noHBand="1" w:noVBand="1"/>
        <w:tblCaption w:val="Table 1 Incidence rate and number of outpatient antimicrobial prescriptions by birth-cohort and gender"/>
      </w:tblPr>
      <w:tblGrid>
        <w:gridCol w:w="935"/>
        <w:gridCol w:w="1221"/>
        <w:gridCol w:w="975"/>
        <w:gridCol w:w="955"/>
        <w:gridCol w:w="955"/>
        <w:gridCol w:w="1054"/>
        <w:gridCol w:w="1054"/>
        <w:gridCol w:w="1359"/>
        <w:gridCol w:w="660"/>
      </w:tblGrid>
      <w:tr w:rsidR="00C95A82" w14:paraId="3039C32B" w14:textId="77777777">
        <w:tc>
          <w:tcPr>
            <w:tcW w:w="0" w:type="auto"/>
            <w:tcBorders>
              <w:bottom w:val="single" w:sz="0" w:space="0" w:color="auto"/>
            </w:tcBorders>
            <w:vAlign w:val="bottom"/>
          </w:tcPr>
          <w:p w14:paraId="52E7DD3B" w14:textId="77777777" w:rsidR="00C95A82" w:rsidRDefault="0088601F">
            <w:pPr>
              <w:pStyle w:val="Compact"/>
              <w:jc w:val="left"/>
            </w:pPr>
            <w:r>
              <w:t>Calendar year</w:t>
            </w:r>
          </w:p>
        </w:tc>
        <w:tc>
          <w:tcPr>
            <w:tcW w:w="0" w:type="auto"/>
            <w:tcBorders>
              <w:bottom w:val="single" w:sz="0" w:space="0" w:color="auto"/>
            </w:tcBorders>
            <w:vAlign w:val="bottom"/>
          </w:tcPr>
          <w:p w14:paraId="241F06CA" w14:textId="77777777" w:rsidR="00C95A82" w:rsidRDefault="0088601F">
            <w:pPr>
              <w:pStyle w:val="Compact"/>
              <w:jc w:val="right"/>
            </w:pPr>
            <w:r>
              <w:t>No. prescriptions</w:t>
            </w:r>
          </w:p>
        </w:tc>
        <w:tc>
          <w:tcPr>
            <w:tcW w:w="0" w:type="auto"/>
            <w:tcBorders>
              <w:bottom w:val="single" w:sz="0" w:space="0" w:color="auto"/>
            </w:tcBorders>
            <w:vAlign w:val="bottom"/>
          </w:tcPr>
          <w:p w14:paraId="55542B81" w14:textId="77777777" w:rsidR="00C95A82" w:rsidRDefault="0088601F">
            <w:pPr>
              <w:pStyle w:val="Compact"/>
              <w:jc w:val="right"/>
            </w:pPr>
            <w:r>
              <w:t>Incidence per 100 person-years</w:t>
            </w:r>
          </w:p>
        </w:tc>
        <w:tc>
          <w:tcPr>
            <w:tcW w:w="0" w:type="auto"/>
            <w:tcBorders>
              <w:bottom w:val="single" w:sz="0" w:space="0" w:color="auto"/>
            </w:tcBorders>
            <w:vAlign w:val="bottom"/>
          </w:tcPr>
          <w:p w14:paraId="1915CF94" w14:textId="77777777" w:rsidR="00C95A82" w:rsidRDefault="0088601F">
            <w:pPr>
              <w:pStyle w:val="Compact"/>
              <w:jc w:val="right"/>
            </w:pPr>
            <w:r>
              <w:t>First-line penecillin</w:t>
            </w:r>
          </w:p>
        </w:tc>
        <w:tc>
          <w:tcPr>
            <w:tcW w:w="0" w:type="auto"/>
            <w:tcBorders>
              <w:bottom w:val="single" w:sz="0" w:space="0" w:color="auto"/>
            </w:tcBorders>
            <w:vAlign w:val="bottom"/>
          </w:tcPr>
          <w:p w14:paraId="74C920D4" w14:textId="77777777" w:rsidR="00C95A82" w:rsidRDefault="0088601F">
            <w:pPr>
              <w:pStyle w:val="Compact"/>
              <w:jc w:val="right"/>
            </w:pPr>
            <w:r>
              <w:t>Second-line penecillin</w:t>
            </w:r>
          </w:p>
        </w:tc>
        <w:tc>
          <w:tcPr>
            <w:tcW w:w="0" w:type="auto"/>
            <w:tcBorders>
              <w:bottom w:val="single" w:sz="0" w:space="0" w:color="auto"/>
            </w:tcBorders>
            <w:vAlign w:val="bottom"/>
          </w:tcPr>
          <w:p w14:paraId="62FD4A77" w14:textId="77777777" w:rsidR="00C95A82" w:rsidRDefault="0088601F">
            <w:pPr>
              <w:pStyle w:val="Compact"/>
              <w:jc w:val="right"/>
            </w:pPr>
            <w:r>
              <w:t>First-generation macrolide</w:t>
            </w:r>
          </w:p>
        </w:tc>
        <w:tc>
          <w:tcPr>
            <w:tcW w:w="0" w:type="auto"/>
            <w:tcBorders>
              <w:bottom w:val="single" w:sz="0" w:space="0" w:color="auto"/>
            </w:tcBorders>
            <w:vAlign w:val="bottom"/>
          </w:tcPr>
          <w:p w14:paraId="2A1EB556" w14:textId="77777777" w:rsidR="00C95A82" w:rsidRDefault="0088601F">
            <w:pPr>
              <w:pStyle w:val="Compact"/>
              <w:jc w:val="right"/>
            </w:pPr>
            <w:r>
              <w:t>Second-generation macrolide</w:t>
            </w:r>
          </w:p>
        </w:tc>
        <w:tc>
          <w:tcPr>
            <w:tcW w:w="0" w:type="auto"/>
            <w:tcBorders>
              <w:bottom w:val="single" w:sz="0" w:space="0" w:color="auto"/>
            </w:tcBorders>
            <w:vAlign w:val="bottom"/>
          </w:tcPr>
          <w:p w14:paraId="771F729D" w14:textId="77777777" w:rsidR="00C95A82" w:rsidRDefault="0088601F">
            <w:pPr>
              <w:pStyle w:val="Compact"/>
              <w:jc w:val="right"/>
            </w:pPr>
            <w:r>
              <w:t>Cephalosporin</w:t>
            </w:r>
          </w:p>
        </w:tc>
        <w:tc>
          <w:tcPr>
            <w:tcW w:w="0" w:type="auto"/>
            <w:tcBorders>
              <w:bottom w:val="single" w:sz="0" w:space="0" w:color="auto"/>
            </w:tcBorders>
            <w:vAlign w:val="bottom"/>
          </w:tcPr>
          <w:p w14:paraId="0C7CF117" w14:textId="77777777" w:rsidR="00C95A82" w:rsidRDefault="0088601F">
            <w:pPr>
              <w:pStyle w:val="Compact"/>
              <w:jc w:val="right"/>
            </w:pPr>
            <w:r>
              <w:t>Other</w:t>
            </w:r>
          </w:p>
        </w:tc>
      </w:tr>
      <w:tr w:rsidR="00C95A82" w14:paraId="3C3F9E8A" w14:textId="77777777">
        <w:tc>
          <w:tcPr>
            <w:tcW w:w="0" w:type="auto"/>
          </w:tcPr>
          <w:p w14:paraId="33010ADC" w14:textId="77777777" w:rsidR="00C95A82" w:rsidRDefault="0088601F">
            <w:pPr>
              <w:pStyle w:val="Compact"/>
              <w:jc w:val="left"/>
            </w:pPr>
            <w:r>
              <w:t>2005</w:t>
            </w:r>
          </w:p>
        </w:tc>
        <w:tc>
          <w:tcPr>
            <w:tcW w:w="0" w:type="auto"/>
          </w:tcPr>
          <w:p w14:paraId="4A0A6347" w14:textId="77777777" w:rsidR="00C95A82" w:rsidRDefault="0088601F">
            <w:pPr>
              <w:pStyle w:val="Compact"/>
              <w:jc w:val="right"/>
            </w:pPr>
            <w:r>
              <w:t>25,649</w:t>
            </w:r>
          </w:p>
        </w:tc>
        <w:tc>
          <w:tcPr>
            <w:tcW w:w="0" w:type="auto"/>
          </w:tcPr>
          <w:p w14:paraId="0B8F6DF8" w14:textId="77777777" w:rsidR="00C95A82" w:rsidRDefault="0088601F">
            <w:pPr>
              <w:pStyle w:val="Compact"/>
              <w:jc w:val="right"/>
            </w:pPr>
            <w:r>
              <w:t>204.0493</w:t>
            </w:r>
          </w:p>
        </w:tc>
        <w:tc>
          <w:tcPr>
            <w:tcW w:w="0" w:type="auto"/>
          </w:tcPr>
          <w:p w14:paraId="187A6809" w14:textId="77777777" w:rsidR="00C95A82" w:rsidRDefault="0088601F">
            <w:pPr>
              <w:pStyle w:val="Compact"/>
              <w:jc w:val="right"/>
            </w:pPr>
            <w:r>
              <w:t>41.41</w:t>
            </w:r>
          </w:p>
        </w:tc>
        <w:tc>
          <w:tcPr>
            <w:tcW w:w="0" w:type="auto"/>
          </w:tcPr>
          <w:p w14:paraId="2AF5E9CD" w14:textId="77777777" w:rsidR="00C95A82" w:rsidRDefault="0088601F">
            <w:pPr>
              <w:pStyle w:val="Compact"/>
              <w:jc w:val="right"/>
            </w:pPr>
            <w:r>
              <w:t>37.92</w:t>
            </w:r>
          </w:p>
        </w:tc>
        <w:tc>
          <w:tcPr>
            <w:tcW w:w="0" w:type="auto"/>
          </w:tcPr>
          <w:p w14:paraId="371730B8" w14:textId="77777777" w:rsidR="00C95A82" w:rsidRDefault="0088601F">
            <w:pPr>
              <w:pStyle w:val="Compact"/>
              <w:jc w:val="right"/>
            </w:pPr>
            <w:r>
              <w:t>1.48</w:t>
            </w:r>
          </w:p>
        </w:tc>
        <w:tc>
          <w:tcPr>
            <w:tcW w:w="0" w:type="auto"/>
          </w:tcPr>
          <w:p w14:paraId="0FB4D51E" w14:textId="77777777" w:rsidR="00C95A82" w:rsidRDefault="0088601F">
            <w:pPr>
              <w:pStyle w:val="Compact"/>
              <w:jc w:val="right"/>
            </w:pPr>
            <w:r>
              <w:t>6.55</w:t>
            </w:r>
          </w:p>
        </w:tc>
        <w:tc>
          <w:tcPr>
            <w:tcW w:w="0" w:type="auto"/>
          </w:tcPr>
          <w:p w14:paraId="2760A44F" w14:textId="77777777" w:rsidR="00C95A82" w:rsidRDefault="0088601F">
            <w:pPr>
              <w:pStyle w:val="Compact"/>
              <w:jc w:val="right"/>
            </w:pPr>
            <w:r>
              <w:t>5.37</w:t>
            </w:r>
          </w:p>
        </w:tc>
        <w:tc>
          <w:tcPr>
            <w:tcW w:w="0" w:type="auto"/>
          </w:tcPr>
          <w:p w14:paraId="418C3E52" w14:textId="77777777" w:rsidR="00C95A82" w:rsidRDefault="0088601F">
            <w:pPr>
              <w:pStyle w:val="Compact"/>
              <w:jc w:val="right"/>
            </w:pPr>
            <w:r>
              <w:t>7.26</w:t>
            </w:r>
          </w:p>
        </w:tc>
      </w:tr>
      <w:tr w:rsidR="00C95A82" w14:paraId="70BBE8E2" w14:textId="77777777">
        <w:tc>
          <w:tcPr>
            <w:tcW w:w="0" w:type="auto"/>
          </w:tcPr>
          <w:p w14:paraId="6FB1EA4C" w14:textId="77777777" w:rsidR="00C95A82" w:rsidRDefault="0088601F">
            <w:pPr>
              <w:pStyle w:val="Compact"/>
              <w:jc w:val="left"/>
            </w:pPr>
            <w:r>
              <w:t>2006</w:t>
            </w:r>
          </w:p>
        </w:tc>
        <w:tc>
          <w:tcPr>
            <w:tcW w:w="0" w:type="auto"/>
          </w:tcPr>
          <w:p w14:paraId="17766178" w14:textId="77777777" w:rsidR="00C95A82" w:rsidRDefault="0088601F">
            <w:pPr>
              <w:pStyle w:val="Compact"/>
              <w:jc w:val="right"/>
            </w:pPr>
            <w:r>
              <w:t>26,396</w:t>
            </w:r>
          </w:p>
        </w:tc>
        <w:tc>
          <w:tcPr>
            <w:tcW w:w="0" w:type="auto"/>
          </w:tcPr>
          <w:p w14:paraId="3385F5D0" w14:textId="77777777" w:rsidR="00C95A82" w:rsidRDefault="0088601F">
            <w:pPr>
              <w:pStyle w:val="Compact"/>
              <w:jc w:val="right"/>
            </w:pPr>
            <w:r>
              <w:t>205.5123</w:t>
            </w:r>
          </w:p>
        </w:tc>
        <w:tc>
          <w:tcPr>
            <w:tcW w:w="0" w:type="auto"/>
          </w:tcPr>
          <w:p w14:paraId="3533EF66" w14:textId="77777777" w:rsidR="00C95A82" w:rsidRDefault="0088601F">
            <w:pPr>
              <w:pStyle w:val="Compact"/>
              <w:jc w:val="right"/>
            </w:pPr>
            <w:r>
              <w:t>40.34</w:t>
            </w:r>
          </w:p>
        </w:tc>
        <w:tc>
          <w:tcPr>
            <w:tcW w:w="0" w:type="auto"/>
          </w:tcPr>
          <w:p w14:paraId="2473F6CB" w14:textId="77777777" w:rsidR="00C95A82" w:rsidRDefault="0088601F">
            <w:pPr>
              <w:pStyle w:val="Compact"/>
              <w:jc w:val="right"/>
            </w:pPr>
            <w:r>
              <w:t>39.57</w:t>
            </w:r>
          </w:p>
        </w:tc>
        <w:tc>
          <w:tcPr>
            <w:tcW w:w="0" w:type="auto"/>
          </w:tcPr>
          <w:p w14:paraId="0FCFA251" w14:textId="77777777" w:rsidR="00C95A82" w:rsidRDefault="0088601F">
            <w:pPr>
              <w:pStyle w:val="Compact"/>
              <w:jc w:val="right"/>
            </w:pPr>
            <w:r>
              <w:t>1.27</w:t>
            </w:r>
          </w:p>
        </w:tc>
        <w:tc>
          <w:tcPr>
            <w:tcW w:w="0" w:type="auto"/>
          </w:tcPr>
          <w:p w14:paraId="2B92A55D" w14:textId="77777777" w:rsidR="00C95A82" w:rsidRDefault="0088601F">
            <w:pPr>
              <w:pStyle w:val="Compact"/>
              <w:jc w:val="right"/>
            </w:pPr>
            <w:r>
              <w:t>6.22</w:t>
            </w:r>
          </w:p>
        </w:tc>
        <w:tc>
          <w:tcPr>
            <w:tcW w:w="0" w:type="auto"/>
          </w:tcPr>
          <w:p w14:paraId="33DEB382" w14:textId="77777777" w:rsidR="00C95A82" w:rsidRDefault="0088601F">
            <w:pPr>
              <w:pStyle w:val="Compact"/>
              <w:jc w:val="right"/>
            </w:pPr>
            <w:r>
              <w:t>5.36</w:t>
            </w:r>
          </w:p>
        </w:tc>
        <w:tc>
          <w:tcPr>
            <w:tcW w:w="0" w:type="auto"/>
          </w:tcPr>
          <w:p w14:paraId="01994A16" w14:textId="77777777" w:rsidR="00C95A82" w:rsidRDefault="0088601F">
            <w:pPr>
              <w:pStyle w:val="Compact"/>
              <w:jc w:val="right"/>
            </w:pPr>
            <w:r>
              <w:t>7.24</w:t>
            </w:r>
          </w:p>
        </w:tc>
      </w:tr>
      <w:tr w:rsidR="00C95A82" w14:paraId="4C27A811" w14:textId="77777777">
        <w:tc>
          <w:tcPr>
            <w:tcW w:w="0" w:type="auto"/>
          </w:tcPr>
          <w:p w14:paraId="73E21D76" w14:textId="77777777" w:rsidR="00C95A82" w:rsidRDefault="0088601F">
            <w:pPr>
              <w:pStyle w:val="Compact"/>
              <w:jc w:val="left"/>
            </w:pPr>
            <w:r>
              <w:t>2007</w:t>
            </w:r>
          </w:p>
        </w:tc>
        <w:tc>
          <w:tcPr>
            <w:tcW w:w="0" w:type="auto"/>
          </w:tcPr>
          <w:p w14:paraId="44912AE2" w14:textId="77777777" w:rsidR="00C95A82" w:rsidRDefault="0088601F">
            <w:pPr>
              <w:pStyle w:val="Compact"/>
              <w:jc w:val="right"/>
            </w:pPr>
            <w:r>
              <w:t>25,179</w:t>
            </w:r>
          </w:p>
        </w:tc>
        <w:tc>
          <w:tcPr>
            <w:tcW w:w="0" w:type="auto"/>
          </w:tcPr>
          <w:p w14:paraId="1026F30D" w14:textId="77777777" w:rsidR="00C95A82" w:rsidRDefault="0088601F">
            <w:pPr>
              <w:pStyle w:val="Compact"/>
              <w:jc w:val="right"/>
            </w:pPr>
            <w:r>
              <w:t>192.0448</w:t>
            </w:r>
          </w:p>
        </w:tc>
        <w:tc>
          <w:tcPr>
            <w:tcW w:w="0" w:type="auto"/>
          </w:tcPr>
          <w:p w14:paraId="4146F01F" w14:textId="77777777" w:rsidR="00C95A82" w:rsidRDefault="0088601F">
            <w:pPr>
              <w:pStyle w:val="Compact"/>
              <w:jc w:val="right"/>
            </w:pPr>
            <w:r>
              <w:t>44.97</w:t>
            </w:r>
          </w:p>
        </w:tc>
        <w:tc>
          <w:tcPr>
            <w:tcW w:w="0" w:type="auto"/>
          </w:tcPr>
          <w:p w14:paraId="5976AA27" w14:textId="77777777" w:rsidR="00C95A82" w:rsidRDefault="0088601F">
            <w:pPr>
              <w:pStyle w:val="Compact"/>
              <w:jc w:val="right"/>
            </w:pPr>
            <w:r>
              <w:t>36.80</w:t>
            </w:r>
          </w:p>
        </w:tc>
        <w:tc>
          <w:tcPr>
            <w:tcW w:w="0" w:type="auto"/>
          </w:tcPr>
          <w:p w14:paraId="386A92A7" w14:textId="77777777" w:rsidR="00C95A82" w:rsidRDefault="0088601F">
            <w:pPr>
              <w:pStyle w:val="Compact"/>
              <w:jc w:val="right"/>
            </w:pPr>
            <w:r>
              <w:t>1.60</w:t>
            </w:r>
          </w:p>
        </w:tc>
        <w:tc>
          <w:tcPr>
            <w:tcW w:w="0" w:type="auto"/>
          </w:tcPr>
          <w:p w14:paraId="6B88ED80" w14:textId="77777777" w:rsidR="00C95A82" w:rsidRDefault="0088601F">
            <w:pPr>
              <w:pStyle w:val="Compact"/>
              <w:jc w:val="right"/>
            </w:pPr>
            <w:r>
              <w:t>6.39</w:t>
            </w:r>
          </w:p>
        </w:tc>
        <w:tc>
          <w:tcPr>
            <w:tcW w:w="0" w:type="auto"/>
          </w:tcPr>
          <w:p w14:paraId="7F0C49B9" w14:textId="77777777" w:rsidR="00C95A82" w:rsidRDefault="0088601F">
            <w:pPr>
              <w:pStyle w:val="Compact"/>
              <w:jc w:val="right"/>
            </w:pPr>
            <w:r>
              <w:t>5.16</w:t>
            </w:r>
          </w:p>
        </w:tc>
        <w:tc>
          <w:tcPr>
            <w:tcW w:w="0" w:type="auto"/>
          </w:tcPr>
          <w:p w14:paraId="157532B9" w14:textId="77777777" w:rsidR="00C95A82" w:rsidRDefault="0088601F">
            <w:pPr>
              <w:pStyle w:val="Compact"/>
              <w:jc w:val="right"/>
            </w:pPr>
            <w:r>
              <w:t>5.08</w:t>
            </w:r>
          </w:p>
        </w:tc>
      </w:tr>
      <w:tr w:rsidR="00C95A82" w14:paraId="4458DF0A" w14:textId="77777777">
        <w:tc>
          <w:tcPr>
            <w:tcW w:w="0" w:type="auto"/>
          </w:tcPr>
          <w:p w14:paraId="28676B3F" w14:textId="77777777" w:rsidR="00C95A82" w:rsidRDefault="0088601F">
            <w:pPr>
              <w:pStyle w:val="Compact"/>
              <w:jc w:val="left"/>
            </w:pPr>
            <w:r>
              <w:t>2008</w:t>
            </w:r>
          </w:p>
        </w:tc>
        <w:tc>
          <w:tcPr>
            <w:tcW w:w="0" w:type="auto"/>
          </w:tcPr>
          <w:p w14:paraId="228A05EA" w14:textId="77777777" w:rsidR="00C95A82" w:rsidRDefault="0088601F">
            <w:pPr>
              <w:pStyle w:val="Compact"/>
              <w:jc w:val="right"/>
            </w:pPr>
            <w:r>
              <w:t>24,046</w:t>
            </w:r>
          </w:p>
        </w:tc>
        <w:tc>
          <w:tcPr>
            <w:tcW w:w="0" w:type="auto"/>
          </w:tcPr>
          <w:p w14:paraId="24119410" w14:textId="77777777" w:rsidR="00C95A82" w:rsidRDefault="0088601F">
            <w:pPr>
              <w:pStyle w:val="Compact"/>
              <w:jc w:val="right"/>
            </w:pPr>
            <w:r>
              <w:t>178.4622</w:t>
            </w:r>
          </w:p>
        </w:tc>
        <w:tc>
          <w:tcPr>
            <w:tcW w:w="0" w:type="auto"/>
          </w:tcPr>
          <w:p w14:paraId="5169EA2D" w14:textId="77777777" w:rsidR="00C95A82" w:rsidRDefault="0088601F">
            <w:pPr>
              <w:pStyle w:val="Compact"/>
              <w:jc w:val="right"/>
            </w:pPr>
            <w:r>
              <w:t>46.74</w:t>
            </w:r>
          </w:p>
        </w:tc>
        <w:tc>
          <w:tcPr>
            <w:tcW w:w="0" w:type="auto"/>
          </w:tcPr>
          <w:p w14:paraId="67499B4F" w14:textId="77777777" w:rsidR="00C95A82" w:rsidRDefault="0088601F">
            <w:pPr>
              <w:pStyle w:val="Compact"/>
              <w:jc w:val="right"/>
            </w:pPr>
            <w:r>
              <w:t>35.22</w:t>
            </w:r>
          </w:p>
        </w:tc>
        <w:tc>
          <w:tcPr>
            <w:tcW w:w="0" w:type="auto"/>
          </w:tcPr>
          <w:p w14:paraId="0DD8132C" w14:textId="77777777" w:rsidR="00C95A82" w:rsidRDefault="0088601F">
            <w:pPr>
              <w:pStyle w:val="Compact"/>
              <w:jc w:val="right"/>
            </w:pPr>
            <w:r>
              <w:t>0.20</w:t>
            </w:r>
          </w:p>
        </w:tc>
        <w:tc>
          <w:tcPr>
            <w:tcW w:w="0" w:type="auto"/>
          </w:tcPr>
          <w:p w14:paraId="356440EC" w14:textId="77777777" w:rsidR="00C95A82" w:rsidRDefault="0088601F">
            <w:pPr>
              <w:pStyle w:val="Compact"/>
              <w:jc w:val="right"/>
            </w:pPr>
            <w:r>
              <w:t>6.37</w:t>
            </w:r>
          </w:p>
        </w:tc>
        <w:tc>
          <w:tcPr>
            <w:tcW w:w="0" w:type="auto"/>
          </w:tcPr>
          <w:p w14:paraId="621B7194" w14:textId="77777777" w:rsidR="00C95A82" w:rsidRDefault="0088601F">
            <w:pPr>
              <w:pStyle w:val="Compact"/>
              <w:jc w:val="right"/>
            </w:pPr>
            <w:r>
              <w:t>5.91</w:t>
            </w:r>
          </w:p>
        </w:tc>
        <w:tc>
          <w:tcPr>
            <w:tcW w:w="0" w:type="auto"/>
          </w:tcPr>
          <w:p w14:paraId="51E11E6B" w14:textId="77777777" w:rsidR="00C95A82" w:rsidRDefault="0088601F">
            <w:pPr>
              <w:pStyle w:val="Compact"/>
              <w:jc w:val="right"/>
            </w:pPr>
            <w:r>
              <w:t>5.57</w:t>
            </w:r>
          </w:p>
        </w:tc>
      </w:tr>
      <w:tr w:rsidR="00C95A82" w14:paraId="1367FB52" w14:textId="77777777">
        <w:tc>
          <w:tcPr>
            <w:tcW w:w="0" w:type="auto"/>
          </w:tcPr>
          <w:p w14:paraId="20715941" w14:textId="77777777" w:rsidR="00C95A82" w:rsidRDefault="0088601F">
            <w:pPr>
              <w:pStyle w:val="Compact"/>
              <w:jc w:val="left"/>
            </w:pPr>
            <w:r>
              <w:t>2009</w:t>
            </w:r>
          </w:p>
        </w:tc>
        <w:tc>
          <w:tcPr>
            <w:tcW w:w="0" w:type="auto"/>
          </w:tcPr>
          <w:p w14:paraId="3779C531" w14:textId="77777777" w:rsidR="00C95A82" w:rsidRDefault="0088601F">
            <w:pPr>
              <w:pStyle w:val="Compact"/>
              <w:jc w:val="right"/>
            </w:pPr>
            <w:r>
              <w:t>22,409</w:t>
            </w:r>
          </w:p>
        </w:tc>
        <w:tc>
          <w:tcPr>
            <w:tcW w:w="0" w:type="auto"/>
          </w:tcPr>
          <w:p w14:paraId="558EB394" w14:textId="77777777" w:rsidR="00C95A82" w:rsidRDefault="0088601F">
            <w:pPr>
              <w:pStyle w:val="Compact"/>
              <w:jc w:val="right"/>
            </w:pPr>
            <w:r>
              <w:t>159.3586</w:t>
            </w:r>
          </w:p>
        </w:tc>
        <w:tc>
          <w:tcPr>
            <w:tcW w:w="0" w:type="auto"/>
          </w:tcPr>
          <w:p w14:paraId="5E8C193E" w14:textId="77777777" w:rsidR="00C95A82" w:rsidRDefault="0088601F">
            <w:pPr>
              <w:pStyle w:val="Compact"/>
              <w:jc w:val="right"/>
            </w:pPr>
            <w:r>
              <w:t>46.41</w:t>
            </w:r>
          </w:p>
        </w:tc>
        <w:tc>
          <w:tcPr>
            <w:tcW w:w="0" w:type="auto"/>
          </w:tcPr>
          <w:p w14:paraId="3FB14F9E" w14:textId="77777777" w:rsidR="00C95A82" w:rsidRDefault="0088601F">
            <w:pPr>
              <w:pStyle w:val="Compact"/>
              <w:jc w:val="right"/>
            </w:pPr>
            <w:r>
              <w:t>37.16</w:t>
            </w:r>
          </w:p>
        </w:tc>
        <w:tc>
          <w:tcPr>
            <w:tcW w:w="0" w:type="auto"/>
          </w:tcPr>
          <w:p w14:paraId="1048300D" w14:textId="77777777" w:rsidR="00C95A82" w:rsidRDefault="0088601F">
            <w:pPr>
              <w:pStyle w:val="Compact"/>
              <w:jc w:val="right"/>
            </w:pPr>
            <w:r>
              <w:t>0.05</w:t>
            </w:r>
          </w:p>
        </w:tc>
        <w:tc>
          <w:tcPr>
            <w:tcW w:w="0" w:type="auto"/>
          </w:tcPr>
          <w:p w14:paraId="3C68196C" w14:textId="77777777" w:rsidR="00C95A82" w:rsidRDefault="0088601F">
            <w:pPr>
              <w:pStyle w:val="Compact"/>
              <w:jc w:val="right"/>
            </w:pPr>
            <w:r>
              <w:t>5.51</w:t>
            </w:r>
          </w:p>
        </w:tc>
        <w:tc>
          <w:tcPr>
            <w:tcW w:w="0" w:type="auto"/>
          </w:tcPr>
          <w:p w14:paraId="00A40EA4" w14:textId="77777777" w:rsidR="00C95A82" w:rsidRDefault="0088601F">
            <w:pPr>
              <w:pStyle w:val="Compact"/>
              <w:jc w:val="right"/>
            </w:pPr>
            <w:r>
              <w:t>6.33</w:t>
            </w:r>
          </w:p>
        </w:tc>
        <w:tc>
          <w:tcPr>
            <w:tcW w:w="0" w:type="auto"/>
          </w:tcPr>
          <w:p w14:paraId="30D26B37" w14:textId="77777777" w:rsidR="00C95A82" w:rsidRDefault="0088601F">
            <w:pPr>
              <w:pStyle w:val="Compact"/>
              <w:jc w:val="right"/>
            </w:pPr>
            <w:r>
              <w:t>4.55</w:t>
            </w:r>
          </w:p>
        </w:tc>
      </w:tr>
      <w:tr w:rsidR="00C95A82" w14:paraId="5A1F3464" w14:textId="77777777">
        <w:tc>
          <w:tcPr>
            <w:tcW w:w="0" w:type="auto"/>
          </w:tcPr>
          <w:p w14:paraId="17212BB5" w14:textId="77777777" w:rsidR="00C95A82" w:rsidRDefault="0088601F">
            <w:pPr>
              <w:pStyle w:val="Compact"/>
              <w:jc w:val="left"/>
            </w:pPr>
            <w:r>
              <w:t>2010</w:t>
            </w:r>
          </w:p>
        </w:tc>
        <w:tc>
          <w:tcPr>
            <w:tcW w:w="0" w:type="auto"/>
          </w:tcPr>
          <w:p w14:paraId="6E966F58" w14:textId="77777777" w:rsidR="00C95A82" w:rsidRDefault="0088601F">
            <w:pPr>
              <w:pStyle w:val="Compact"/>
              <w:jc w:val="right"/>
            </w:pPr>
            <w:r>
              <w:t>24,007</w:t>
            </w:r>
          </w:p>
        </w:tc>
        <w:tc>
          <w:tcPr>
            <w:tcW w:w="0" w:type="auto"/>
          </w:tcPr>
          <w:p w14:paraId="1C3A6816" w14:textId="77777777" w:rsidR="00C95A82" w:rsidRDefault="0088601F">
            <w:pPr>
              <w:pStyle w:val="Compact"/>
              <w:jc w:val="right"/>
            </w:pPr>
            <w:r>
              <w:t>166.9239</w:t>
            </w:r>
          </w:p>
        </w:tc>
        <w:tc>
          <w:tcPr>
            <w:tcW w:w="0" w:type="auto"/>
          </w:tcPr>
          <w:p w14:paraId="07B7DF73" w14:textId="77777777" w:rsidR="00C95A82" w:rsidRDefault="0088601F">
            <w:pPr>
              <w:pStyle w:val="Compact"/>
              <w:jc w:val="right"/>
            </w:pPr>
            <w:r>
              <w:t>43.71</w:t>
            </w:r>
          </w:p>
        </w:tc>
        <w:tc>
          <w:tcPr>
            <w:tcW w:w="0" w:type="auto"/>
          </w:tcPr>
          <w:p w14:paraId="3403EEE2" w14:textId="77777777" w:rsidR="00C95A82" w:rsidRDefault="0088601F">
            <w:pPr>
              <w:pStyle w:val="Compact"/>
              <w:jc w:val="right"/>
            </w:pPr>
            <w:r>
              <w:t>38.55</w:t>
            </w:r>
          </w:p>
        </w:tc>
        <w:tc>
          <w:tcPr>
            <w:tcW w:w="0" w:type="auto"/>
          </w:tcPr>
          <w:p w14:paraId="15F01F1C" w14:textId="77777777" w:rsidR="00C95A82" w:rsidRDefault="0088601F">
            <w:pPr>
              <w:pStyle w:val="Compact"/>
              <w:jc w:val="right"/>
            </w:pPr>
            <w:r>
              <w:t>0.02</w:t>
            </w:r>
          </w:p>
        </w:tc>
        <w:tc>
          <w:tcPr>
            <w:tcW w:w="0" w:type="auto"/>
          </w:tcPr>
          <w:p w14:paraId="37E621D4" w14:textId="77777777" w:rsidR="00C95A82" w:rsidRDefault="0088601F">
            <w:pPr>
              <w:pStyle w:val="Compact"/>
              <w:jc w:val="right"/>
            </w:pPr>
            <w:r>
              <w:t>5.54</w:t>
            </w:r>
          </w:p>
        </w:tc>
        <w:tc>
          <w:tcPr>
            <w:tcW w:w="0" w:type="auto"/>
          </w:tcPr>
          <w:p w14:paraId="12ACA5C0" w14:textId="77777777" w:rsidR="00C95A82" w:rsidRDefault="0088601F">
            <w:pPr>
              <w:pStyle w:val="Compact"/>
              <w:jc w:val="right"/>
            </w:pPr>
            <w:r>
              <w:t>7.02</w:t>
            </w:r>
          </w:p>
        </w:tc>
        <w:tc>
          <w:tcPr>
            <w:tcW w:w="0" w:type="auto"/>
          </w:tcPr>
          <w:p w14:paraId="045F612A" w14:textId="77777777" w:rsidR="00C95A82" w:rsidRDefault="0088601F">
            <w:pPr>
              <w:pStyle w:val="Compact"/>
              <w:jc w:val="right"/>
            </w:pPr>
            <w:r>
              <w:t>5.17</w:t>
            </w:r>
          </w:p>
        </w:tc>
      </w:tr>
      <w:tr w:rsidR="00C95A82" w14:paraId="1E2DD958" w14:textId="77777777">
        <w:tc>
          <w:tcPr>
            <w:tcW w:w="0" w:type="auto"/>
          </w:tcPr>
          <w:p w14:paraId="7A29B9A4" w14:textId="77777777" w:rsidR="00C95A82" w:rsidRDefault="0088601F">
            <w:pPr>
              <w:pStyle w:val="Compact"/>
              <w:jc w:val="left"/>
            </w:pPr>
            <w:r>
              <w:t>2011</w:t>
            </w:r>
          </w:p>
        </w:tc>
        <w:tc>
          <w:tcPr>
            <w:tcW w:w="0" w:type="auto"/>
          </w:tcPr>
          <w:p w14:paraId="2DC3B633" w14:textId="77777777" w:rsidR="00C95A82" w:rsidRDefault="0088601F">
            <w:pPr>
              <w:pStyle w:val="Compact"/>
              <w:jc w:val="right"/>
            </w:pPr>
            <w:r>
              <w:t>23,866</w:t>
            </w:r>
          </w:p>
        </w:tc>
        <w:tc>
          <w:tcPr>
            <w:tcW w:w="0" w:type="auto"/>
          </w:tcPr>
          <w:p w14:paraId="4831927A" w14:textId="77777777" w:rsidR="00C95A82" w:rsidRDefault="0088601F">
            <w:pPr>
              <w:pStyle w:val="Compact"/>
              <w:jc w:val="right"/>
            </w:pPr>
            <w:r>
              <w:t>163.6002</w:t>
            </w:r>
          </w:p>
        </w:tc>
        <w:tc>
          <w:tcPr>
            <w:tcW w:w="0" w:type="auto"/>
          </w:tcPr>
          <w:p w14:paraId="30CD24E4" w14:textId="77777777" w:rsidR="00C95A82" w:rsidRDefault="0088601F">
            <w:pPr>
              <w:pStyle w:val="Compact"/>
              <w:jc w:val="right"/>
            </w:pPr>
            <w:r>
              <w:t>44.70</w:t>
            </w:r>
          </w:p>
        </w:tc>
        <w:tc>
          <w:tcPr>
            <w:tcW w:w="0" w:type="auto"/>
          </w:tcPr>
          <w:p w14:paraId="490D1F1C" w14:textId="77777777" w:rsidR="00C95A82" w:rsidRDefault="0088601F">
            <w:pPr>
              <w:pStyle w:val="Compact"/>
              <w:jc w:val="right"/>
            </w:pPr>
            <w:r>
              <w:t>37.92</w:t>
            </w:r>
          </w:p>
        </w:tc>
        <w:tc>
          <w:tcPr>
            <w:tcW w:w="0" w:type="auto"/>
          </w:tcPr>
          <w:p w14:paraId="176F5EAC" w14:textId="77777777" w:rsidR="00C95A82" w:rsidRDefault="0088601F">
            <w:pPr>
              <w:pStyle w:val="Compact"/>
              <w:jc w:val="right"/>
            </w:pPr>
            <w:r>
              <w:t>0.03</w:t>
            </w:r>
          </w:p>
        </w:tc>
        <w:tc>
          <w:tcPr>
            <w:tcW w:w="0" w:type="auto"/>
          </w:tcPr>
          <w:p w14:paraId="268FBCBC" w14:textId="77777777" w:rsidR="00C95A82" w:rsidRDefault="0088601F">
            <w:pPr>
              <w:pStyle w:val="Compact"/>
              <w:jc w:val="right"/>
            </w:pPr>
            <w:r>
              <w:t>5.91</w:t>
            </w:r>
          </w:p>
        </w:tc>
        <w:tc>
          <w:tcPr>
            <w:tcW w:w="0" w:type="auto"/>
          </w:tcPr>
          <w:p w14:paraId="73484060" w14:textId="77777777" w:rsidR="00C95A82" w:rsidRDefault="0088601F">
            <w:pPr>
              <w:pStyle w:val="Compact"/>
              <w:jc w:val="right"/>
            </w:pPr>
            <w:r>
              <w:t>7.47</w:t>
            </w:r>
          </w:p>
        </w:tc>
        <w:tc>
          <w:tcPr>
            <w:tcW w:w="0" w:type="auto"/>
          </w:tcPr>
          <w:p w14:paraId="35DA990A" w14:textId="77777777" w:rsidR="00C95A82" w:rsidRDefault="0088601F">
            <w:pPr>
              <w:pStyle w:val="Compact"/>
              <w:jc w:val="right"/>
            </w:pPr>
            <w:r>
              <w:t>3.98</w:t>
            </w:r>
          </w:p>
        </w:tc>
      </w:tr>
      <w:tr w:rsidR="00C95A82" w14:paraId="3F21C99B" w14:textId="77777777">
        <w:tc>
          <w:tcPr>
            <w:tcW w:w="0" w:type="auto"/>
          </w:tcPr>
          <w:p w14:paraId="5FF7CE19" w14:textId="77777777" w:rsidR="00C95A82" w:rsidRDefault="0088601F">
            <w:pPr>
              <w:pStyle w:val="Compact"/>
              <w:jc w:val="left"/>
            </w:pPr>
            <w:r>
              <w:t>2012</w:t>
            </w:r>
          </w:p>
        </w:tc>
        <w:tc>
          <w:tcPr>
            <w:tcW w:w="0" w:type="auto"/>
          </w:tcPr>
          <w:p w14:paraId="40AA79B6" w14:textId="77777777" w:rsidR="00C95A82" w:rsidRDefault="0088601F">
            <w:pPr>
              <w:pStyle w:val="Compact"/>
              <w:jc w:val="right"/>
            </w:pPr>
            <w:r>
              <w:t>22,703</w:t>
            </w:r>
          </w:p>
        </w:tc>
        <w:tc>
          <w:tcPr>
            <w:tcW w:w="0" w:type="auto"/>
          </w:tcPr>
          <w:p w14:paraId="670C12C8" w14:textId="77777777" w:rsidR="00C95A82" w:rsidRDefault="0088601F">
            <w:pPr>
              <w:pStyle w:val="Compact"/>
              <w:jc w:val="right"/>
            </w:pPr>
            <w:r>
              <w:t>159.5993</w:t>
            </w:r>
          </w:p>
        </w:tc>
        <w:tc>
          <w:tcPr>
            <w:tcW w:w="0" w:type="auto"/>
          </w:tcPr>
          <w:p w14:paraId="5539706D" w14:textId="77777777" w:rsidR="00C95A82" w:rsidRDefault="0088601F">
            <w:pPr>
              <w:pStyle w:val="Compact"/>
              <w:jc w:val="right"/>
            </w:pPr>
            <w:r>
              <w:t>43.45</w:t>
            </w:r>
          </w:p>
        </w:tc>
        <w:tc>
          <w:tcPr>
            <w:tcW w:w="0" w:type="auto"/>
          </w:tcPr>
          <w:p w14:paraId="179AE369" w14:textId="77777777" w:rsidR="00C95A82" w:rsidRDefault="0088601F">
            <w:pPr>
              <w:pStyle w:val="Compact"/>
              <w:jc w:val="right"/>
            </w:pPr>
            <w:r>
              <w:t>39.01</w:t>
            </w:r>
          </w:p>
        </w:tc>
        <w:tc>
          <w:tcPr>
            <w:tcW w:w="0" w:type="auto"/>
          </w:tcPr>
          <w:p w14:paraId="2C12F682" w14:textId="77777777" w:rsidR="00C95A82" w:rsidRDefault="0088601F">
            <w:pPr>
              <w:pStyle w:val="Compact"/>
              <w:jc w:val="right"/>
            </w:pPr>
            <w:r>
              <w:t>0.01</w:t>
            </w:r>
          </w:p>
        </w:tc>
        <w:tc>
          <w:tcPr>
            <w:tcW w:w="0" w:type="auto"/>
          </w:tcPr>
          <w:p w14:paraId="6E879804" w14:textId="77777777" w:rsidR="00C95A82" w:rsidRDefault="0088601F">
            <w:pPr>
              <w:pStyle w:val="Compact"/>
              <w:jc w:val="right"/>
            </w:pPr>
            <w:r>
              <w:t>6.92</w:t>
            </w:r>
          </w:p>
        </w:tc>
        <w:tc>
          <w:tcPr>
            <w:tcW w:w="0" w:type="auto"/>
          </w:tcPr>
          <w:p w14:paraId="62DFB388" w14:textId="77777777" w:rsidR="00C95A82" w:rsidRDefault="0088601F">
            <w:pPr>
              <w:pStyle w:val="Compact"/>
              <w:jc w:val="right"/>
            </w:pPr>
            <w:r>
              <w:t>7.77</w:t>
            </w:r>
          </w:p>
        </w:tc>
        <w:tc>
          <w:tcPr>
            <w:tcW w:w="0" w:type="auto"/>
          </w:tcPr>
          <w:p w14:paraId="3AF75FC5" w14:textId="77777777" w:rsidR="00C95A82" w:rsidRDefault="0088601F">
            <w:pPr>
              <w:pStyle w:val="Compact"/>
              <w:jc w:val="right"/>
            </w:pPr>
            <w:r>
              <w:t>2.83</w:t>
            </w:r>
          </w:p>
        </w:tc>
      </w:tr>
      <w:tr w:rsidR="00C95A82" w14:paraId="086EA1D5" w14:textId="77777777">
        <w:tc>
          <w:tcPr>
            <w:tcW w:w="0" w:type="auto"/>
          </w:tcPr>
          <w:p w14:paraId="0E400C43" w14:textId="77777777" w:rsidR="00C95A82" w:rsidRDefault="0088601F">
            <w:pPr>
              <w:pStyle w:val="Compact"/>
              <w:jc w:val="left"/>
            </w:pPr>
            <w:r>
              <w:t>2013</w:t>
            </w:r>
          </w:p>
        </w:tc>
        <w:tc>
          <w:tcPr>
            <w:tcW w:w="0" w:type="auto"/>
          </w:tcPr>
          <w:p w14:paraId="4A232EB8" w14:textId="77777777" w:rsidR="00C95A82" w:rsidRDefault="0088601F">
            <w:pPr>
              <w:pStyle w:val="Compact"/>
              <w:jc w:val="right"/>
            </w:pPr>
            <w:r>
              <w:t>21,113</w:t>
            </w:r>
          </w:p>
        </w:tc>
        <w:tc>
          <w:tcPr>
            <w:tcW w:w="0" w:type="auto"/>
          </w:tcPr>
          <w:p w14:paraId="42C43484" w14:textId="77777777" w:rsidR="00C95A82" w:rsidRDefault="0088601F">
            <w:pPr>
              <w:pStyle w:val="Compact"/>
              <w:jc w:val="right"/>
            </w:pPr>
            <w:r>
              <w:t>151.9686</w:t>
            </w:r>
          </w:p>
        </w:tc>
        <w:tc>
          <w:tcPr>
            <w:tcW w:w="0" w:type="auto"/>
          </w:tcPr>
          <w:p w14:paraId="7C1F8677" w14:textId="77777777" w:rsidR="00C95A82" w:rsidRDefault="0088601F">
            <w:pPr>
              <w:pStyle w:val="Compact"/>
              <w:jc w:val="right"/>
            </w:pPr>
            <w:r>
              <w:t>32.10</w:t>
            </w:r>
          </w:p>
        </w:tc>
        <w:tc>
          <w:tcPr>
            <w:tcW w:w="0" w:type="auto"/>
          </w:tcPr>
          <w:p w14:paraId="60766D41" w14:textId="77777777" w:rsidR="00C95A82" w:rsidRDefault="0088601F">
            <w:pPr>
              <w:pStyle w:val="Compact"/>
              <w:jc w:val="right"/>
            </w:pPr>
            <w:r>
              <w:t>48.08</w:t>
            </w:r>
          </w:p>
        </w:tc>
        <w:tc>
          <w:tcPr>
            <w:tcW w:w="0" w:type="auto"/>
          </w:tcPr>
          <w:p w14:paraId="3A4A315A" w14:textId="77777777" w:rsidR="00C95A82" w:rsidRDefault="0088601F">
            <w:pPr>
              <w:pStyle w:val="Compact"/>
              <w:jc w:val="right"/>
            </w:pPr>
            <w:r>
              <w:t>0.02</w:t>
            </w:r>
          </w:p>
        </w:tc>
        <w:tc>
          <w:tcPr>
            <w:tcW w:w="0" w:type="auto"/>
          </w:tcPr>
          <w:p w14:paraId="4B542243" w14:textId="77777777" w:rsidR="00C95A82" w:rsidRDefault="0088601F">
            <w:pPr>
              <w:pStyle w:val="Compact"/>
              <w:jc w:val="right"/>
            </w:pPr>
            <w:r>
              <w:t>6.56</w:t>
            </w:r>
          </w:p>
        </w:tc>
        <w:tc>
          <w:tcPr>
            <w:tcW w:w="0" w:type="auto"/>
          </w:tcPr>
          <w:p w14:paraId="75B332A3" w14:textId="77777777" w:rsidR="00C95A82" w:rsidRDefault="0088601F">
            <w:pPr>
              <w:pStyle w:val="Compact"/>
              <w:jc w:val="right"/>
            </w:pPr>
            <w:r>
              <w:t>10.03</w:t>
            </w:r>
          </w:p>
        </w:tc>
        <w:tc>
          <w:tcPr>
            <w:tcW w:w="0" w:type="auto"/>
          </w:tcPr>
          <w:p w14:paraId="76AA904C" w14:textId="77777777" w:rsidR="00C95A82" w:rsidRDefault="0088601F">
            <w:pPr>
              <w:pStyle w:val="Compact"/>
              <w:jc w:val="right"/>
            </w:pPr>
            <w:r>
              <w:t>3.20</w:t>
            </w:r>
          </w:p>
        </w:tc>
      </w:tr>
      <w:tr w:rsidR="00C95A82" w14:paraId="3FAB1256" w14:textId="77777777">
        <w:tc>
          <w:tcPr>
            <w:tcW w:w="0" w:type="auto"/>
          </w:tcPr>
          <w:p w14:paraId="1743235A" w14:textId="77777777" w:rsidR="00C95A82" w:rsidRDefault="0088601F">
            <w:pPr>
              <w:pStyle w:val="Compact"/>
              <w:jc w:val="left"/>
            </w:pPr>
            <w:r>
              <w:t>2014</w:t>
            </w:r>
          </w:p>
        </w:tc>
        <w:tc>
          <w:tcPr>
            <w:tcW w:w="0" w:type="auto"/>
          </w:tcPr>
          <w:p w14:paraId="05AFE54D" w14:textId="77777777" w:rsidR="00C95A82" w:rsidRDefault="0088601F">
            <w:pPr>
              <w:pStyle w:val="Compact"/>
              <w:jc w:val="right"/>
            </w:pPr>
            <w:r>
              <w:t>20,325</w:t>
            </w:r>
          </w:p>
        </w:tc>
        <w:tc>
          <w:tcPr>
            <w:tcW w:w="0" w:type="auto"/>
          </w:tcPr>
          <w:p w14:paraId="47FC77E4" w14:textId="77777777" w:rsidR="00C95A82" w:rsidRDefault="0088601F">
            <w:pPr>
              <w:pStyle w:val="Compact"/>
              <w:jc w:val="right"/>
            </w:pPr>
            <w:r>
              <w:t>151.7924</w:t>
            </w:r>
          </w:p>
        </w:tc>
        <w:tc>
          <w:tcPr>
            <w:tcW w:w="0" w:type="auto"/>
          </w:tcPr>
          <w:p w14:paraId="3B903328" w14:textId="77777777" w:rsidR="00C95A82" w:rsidRDefault="0088601F">
            <w:pPr>
              <w:pStyle w:val="Compact"/>
              <w:jc w:val="right"/>
            </w:pPr>
            <w:r>
              <w:t>18.48</w:t>
            </w:r>
          </w:p>
        </w:tc>
        <w:tc>
          <w:tcPr>
            <w:tcW w:w="0" w:type="auto"/>
          </w:tcPr>
          <w:p w14:paraId="26074A64" w14:textId="77777777" w:rsidR="00C95A82" w:rsidRDefault="0088601F">
            <w:pPr>
              <w:pStyle w:val="Compact"/>
              <w:jc w:val="right"/>
            </w:pPr>
            <w:r>
              <w:t>55.46</w:t>
            </w:r>
          </w:p>
        </w:tc>
        <w:tc>
          <w:tcPr>
            <w:tcW w:w="0" w:type="auto"/>
          </w:tcPr>
          <w:p w14:paraId="00BDB566" w14:textId="77777777" w:rsidR="00C95A82" w:rsidRDefault="0088601F">
            <w:pPr>
              <w:pStyle w:val="Compact"/>
              <w:jc w:val="right"/>
            </w:pPr>
            <w:r>
              <w:t>0.01</w:t>
            </w:r>
          </w:p>
        </w:tc>
        <w:tc>
          <w:tcPr>
            <w:tcW w:w="0" w:type="auto"/>
          </w:tcPr>
          <w:p w14:paraId="08E4C015" w14:textId="77777777" w:rsidR="00C95A82" w:rsidRDefault="0088601F">
            <w:pPr>
              <w:pStyle w:val="Compact"/>
              <w:jc w:val="right"/>
            </w:pPr>
            <w:r>
              <w:t>6.60</w:t>
            </w:r>
          </w:p>
        </w:tc>
        <w:tc>
          <w:tcPr>
            <w:tcW w:w="0" w:type="auto"/>
          </w:tcPr>
          <w:p w14:paraId="4AA997AF" w14:textId="77777777" w:rsidR="00C95A82" w:rsidRDefault="0088601F">
            <w:pPr>
              <w:pStyle w:val="Compact"/>
              <w:jc w:val="right"/>
            </w:pPr>
            <w:r>
              <w:t>14.53</w:t>
            </w:r>
          </w:p>
        </w:tc>
        <w:tc>
          <w:tcPr>
            <w:tcW w:w="0" w:type="auto"/>
          </w:tcPr>
          <w:p w14:paraId="672CE070" w14:textId="77777777" w:rsidR="00C95A82" w:rsidRDefault="0088601F">
            <w:pPr>
              <w:pStyle w:val="Compact"/>
              <w:jc w:val="right"/>
            </w:pPr>
            <w:r>
              <w:t>4.92</w:t>
            </w:r>
          </w:p>
        </w:tc>
      </w:tr>
      <w:tr w:rsidR="00C95A82" w14:paraId="18BC95A9" w14:textId="77777777">
        <w:tc>
          <w:tcPr>
            <w:tcW w:w="0" w:type="auto"/>
          </w:tcPr>
          <w:p w14:paraId="20EB4B6E" w14:textId="77777777" w:rsidR="00C95A82" w:rsidRDefault="0088601F">
            <w:pPr>
              <w:pStyle w:val="Compact"/>
              <w:jc w:val="left"/>
            </w:pPr>
            <w:r>
              <w:t>2015</w:t>
            </w:r>
          </w:p>
        </w:tc>
        <w:tc>
          <w:tcPr>
            <w:tcW w:w="0" w:type="auto"/>
          </w:tcPr>
          <w:p w14:paraId="7DB97ACC" w14:textId="77777777" w:rsidR="00C95A82" w:rsidRDefault="0088601F">
            <w:pPr>
              <w:pStyle w:val="Compact"/>
              <w:jc w:val="right"/>
            </w:pPr>
            <w:r>
              <w:t>19,873</w:t>
            </w:r>
          </w:p>
        </w:tc>
        <w:tc>
          <w:tcPr>
            <w:tcW w:w="0" w:type="auto"/>
          </w:tcPr>
          <w:p w14:paraId="4FA8DB05" w14:textId="77777777" w:rsidR="00C95A82" w:rsidRDefault="0088601F">
            <w:pPr>
              <w:pStyle w:val="Compact"/>
              <w:jc w:val="right"/>
            </w:pPr>
            <w:r>
              <w:t>149.6010</w:t>
            </w:r>
          </w:p>
        </w:tc>
        <w:tc>
          <w:tcPr>
            <w:tcW w:w="0" w:type="auto"/>
          </w:tcPr>
          <w:p w14:paraId="1BE732D9" w14:textId="77777777" w:rsidR="00C95A82" w:rsidRDefault="0088601F">
            <w:pPr>
              <w:pStyle w:val="Compact"/>
              <w:jc w:val="right"/>
            </w:pPr>
            <w:r>
              <w:t>18.49</w:t>
            </w:r>
          </w:p>
        </w:tc>
        <w:tc>
          <w:tcPr>
            <w:tcW w:w="0" w:type="auto"/>
          </w:tcPr>
          <w:p w14:paraId="0F96751E" w14:textId="77777777" w:rsidR="00C95A82" w:rsidRDefault="0088601F">
            <w:pPr>
              <w:pStyle w:val="Compact"/>
              <w:jc w:val="right"/>
            </w:pPr>
            <w:r>
              <w:t>53.91</w:t>
            </w:r>
          </w:p>
        </w:tc>
        <w:tc>
          <w:tcPr>
            <w:tcW w:w="0" w:type="auto"/>
          </w:tcPr>
          <w:p w14:paraId="1A17C1EA" w14:textId="77777777" w:rsidR="00C95A82" w:rsidRDefault="0088601F">
            <w:pPr>
              <w:pStyle w:val="Compact"/>
              <w:jc w:val="right"/>
            </w:pPr>
            <w:r>
              <w:t>0.06</w:t>
            </w:r>
          </w:p>
        </w:tc>
        <w:tc>
          <w:tcPr>
            <w:tcW w:w="0" w:type="auto"/>
          </w:tcPr>
          <w:p w14:paraId="1C76E276" w14:textId="77777777" w:rsidR="00C95A82" w:rsidRDefault="0088601F">
            <w:pPr>
              <w:pStyle w:val="Compact"/>
              <w:jc w:val="right"/>
            </w:pPr>
            <w:r>
              <w:t>7.25</w:t>
            </w:r>
          </w:p>
        </w:tc>
        <w:tc>
          <w:tcPr>
            <w:tcW w:w="0" w:type="auto"/>
          </w:tcPr>
          <w:p w14:paraId="17DA820A" w14:textId="77777777" w:rsidR="00C95A82" w:rsidRDefault="0088601F">
            <w:pPr>
              <w:pStyle w:val="Compact"/>
              <w:jc w:val="right"/>
            </w:pPr>
            <w:r>
              <w:t>14.95</w:t>
            </w:r>
          </w:p>
        </w:tc>
        <w:tc>
          <w:tcPr>
            <w:tcW w:w="0" w:type="auto"/>
          </w:tcPr>
          <w:p w14:paraId="34BB83D0" w14:textId="77777777" w:rsidR="00C95A82" w:rsidRDefault="0088601F">
            <w:pPr>
              <w:pStyle w:val="Compact"/>
              <w:jc w:val="right"/>
            </w:pPr>
            <w:r>
              <w:t>5.34</w:t>
            </w:r>
          </w:p>
        </w:tc>
      </w:tr>
      <w:tr w:rsidR="00C95A82" w14:paraId="36BC4BC9" w14:textId="77777777">
        <w:tc>
          <w:tcPr>
            <w:tcW w:w="0" w:type="auto"/>
          </w:tcPr>
          <w:p w14:paraId="15C638BB" w14:textId="77777777" w:rsidR="00C95A82" w:rsidRDefault="0088601F">
            <w:pPr>
              <w:pStyle w:val="Compact"/>
              <w:jc w:val="left"/>
            </w:pPr>
            <w:r>
              <w:t>2016</w:t>
            </w:r>
          </w:p>
        </w:tc>
        <w:tc>
          <w:tcPr>
            <w:tcW w:w="0" w:type="auto"/>
          </w:tcPr>
          <w:p w14:paraId="707B2A95" w14:textId="77777777" w:rsidR="00C95A82" w:rsidRDefault="0088601F">
            <w:pPr>
              <w:pStyle w:val="Compact"/>
              <w:jc w:val="right"/>
            </w:pPr>
            <w:r>
              <w:t>20,543</w:t>
            </w:r>
          </w:p>
        </w:tc>
        <w:tc>
          <w:tcPr>
            <w:tcW w:w="0" w:type="auto"/>
          </w:tcPr>
          <w:p w14:paraId="401D8F5D" w14:textId="77777777" w:rsidR="00C95A82" w:rsidRDefault="0088601F">
            <w:pPr>
              <w:pStyle w:val="Compact"/>
              <w:jc w:val="right"/>
            </w:pPr>
            <w:r>
              <w:t>160.3294</w:t>
            </w:r>
          </w:p>
        </w:tc>
        <w:tc>
          <w:tcPr>
            <w:tcW w:w="0" w:type="auto"/>
          </w:tcPr>
          <w:p w14:paraId="4911B8BA" w14:textId="77777777" w:rsidR="00C95A82" w:rsidRDefault="0088601F">
            <w:pPr>
              <w:pStyle w:val="Compact"/>
              <w:jc w:val="right"/>
            </w:pPr>
            <w:r>
              <w:t>35.28</w:t>
            </w:r>
          </w:p>
        </w:tc>
        <w:tc>
          <w:tcPr>
            <w:tcW w:w="0" w:type="auto"/>
          </w:tcPr>
          <w:p w14:paraId="47E89E86" w14:textId="77777777" w:rsidR="00C95A82" w:rsidRDefault="0088601F">
            <w:pPr>
              <w:pStyle w:val="Compact"/>
              <w:jc w:val="right"/>
            </w:pPr>
            <w:r>
              <w:t>41.68</w:t>
            </w:r>
          </w:p>
        </w:tc>
        <w:tc>
          <w:tcPr>
            <w:tcW w:w="0" w:type="auto"/>
          </w:tcPr>
          <w:p w14:paraId="4216442F" w14:textId="77777777" w:rsidR="00C95A82" w:rsidRDefault="0088601F">
            <w:pPr>
              <w:pStyle w:val="Compact"/>
              <w:jc w:val="right"/>
            </w:pPr>
            <w:r>
              <w:t>0.04</w:t>
            </w:r>
          </w:p>
        </w:tc>
        <w:tc>
          <w:tcPr>
            <w:tcW w:w="0" w:type="auto"/>
          </w:tcPr>
          <w:p w14:paraId="6B42A02E" w14:textId="77777777" w:rsidR="00C95A82" w:rsidRDefault="0088601F">
            <w:pPr>
              <w:pStyle w:val="Compact"/>
              <w:jc w:val="right"/>
            </w:pPr>
            <w:r>
              <w:t>5.52</w:t>
            </w:r>
          </w:p>
        </w:tc>
        <w:tc>
          <w:tcPr>
            <w:tcW w:w="0" w:type="auto"/>
          </w:tcPr>
          <w:p w14:paraId="7607EE22" w14:textId="77777777" w:rsidR="00C95A82" w:rsidRDefault="0088601F">
            <w:pPr>
              <w:pStyle w:val="Compact"/>
              <w:jc w:val="right"/>
            </w:pPr>
            <w:r>
              <w:t>12.91</w:t>
            </w:r>
          </w:p>
        </w:tc>
        <w:tc>
          <w:tcPr>
            <w:tcW w:w="0" w:type="auto"/>
          </w:tcPr>
          <w:p w14:paraId="29477E12" w14:textId="77777777" w:rsidR="00C95A82" w:rsidRDefault="0088601F">
            <w:pPr>
              <w:pStyle w:val="Compact"/>
              <w:jc w:val="right"/>
            </w:pPr>
            <w:r>
              <w:t>4.57</w:t>
            </w:r>
          </w:p>
        </w:tc>
      </w:tr>
    </w:tbl>
    <w:p w14:paraId="70B4304A" w14:textId="77777777" w:rsidR="00C95A82" w:rsidRDefault="0088601F">
      <w:pPr>
        <w:pStyle w:val="BodyText"/>
      </w:pPr>
      <w:r>
        <w:lastRenderedPageBreak/>
        <w:t>The proportion of visits resulting in antimicrobial prescription and the incidence of antimicrobial prescriptions linked to each of the study’s diagnostic groups are shown in Figure 1. The proportion of otitis media visits resulting in a antimicrobial pres</w:t>
      </w:r>
      <w:r>
        <w:t>cription remained stable between 57% and 64% of visits. The incidence of otitis media associated prescriptions decreased from a high of 54.9 prescriptions per 100 person-years in 2008 to 39.8 prescriptions per 100 person-years in 2015.</w:t>
      </w:r>
    </w:p>
    <w:p w14:paraId="4BAD71A8" w14:textId="77777777" w:rsidR="00C95A82" w:rsidRDefault="0088601F">
      <w:r>
        <w:rPr>
          <w:noProof/>
          <w:lang w:val="en-GB" w:eastAsia="en-GB"/>
        </w:rPr>
        <w:drawing>
          <wp:inline distT="0" distB="0" distL="0" distR="0" wp14:anchorId="0BFC71CA" wp14:editId="6EA5F825">
            <wp:extent cx="5676900" cy="6149641"/>
            <wp:effectExtent l="0" t="0" r="0" b="0"/>
            <wp:docPr id="1" name="Picture" descr="Figure 1 Proportion of visits due to each diagnostic group resulting in antimicrobial prescription and incidence of associated antimicrobial prescriptions"/>
            <wp:cNvGraphicFramePr/>
            <a:graphic xmlns:a="http://schemas.openxmlformats.org/drawingml/2006/main">
              <a:graphicData uri="http://schemas.openxmlformats.org/drawingml/2006/picture">
                <pic:pic xmlns:pic="http://schemas.openxmlformats.org/drawingml/2006/picture">
                  <pic:nvPicPr>
                    <pic:cNvPr id="0" name="Picture" descr="_figures/paper_3/2018-11-26-prop-incidence.png"/>
                    <pic:cNvPicPr>
                      <a:picLocks noChangeAspect="1" noChangeArrowheads="1"/>
                    </pic:cNvPicPr>
                  </pic:nvPicPr>
                  <pic:blipFill>
                    <a:blip r:embed="rId7"/>
                    <a:stretch>
                      <a:fillRect/>
                    </a:stretch>
                  </pic:blipFill>
                  <pic:spPr bwMode="auto">
                    <a:xfrm>
                      <a:off x="0" y="0"/>
                      <a:ext cx="5676900" cy="6149641"/>
                    </a:xfrm>
                    <a:prstGeom prst="rect">
                      <a:avLst/>
                    </a:prstGeom>
                    <a:noFill/>
                    <a:ln w="9525">
                      <a:noFill/>
                      <a:headEnd/>
                      <a:tailEnd/>
                    </a:ln>
                  </pic:spPr>
                </pic:pic>
              </a:graphicData>
            </a:graphic>
          </wp:inline>
        </w:drawing>
      </w:r>
    </w:p>
    <w:p w14:paraId="57EE0DBA" w14:textId="77777777" w:rsidR="00C95A82" w:rsidRDefault="0088601F">
      <w:pPr>
        <w:pStyle w:val="ImageCaption"/>
      </w:pPr>
      <w:r>
        <w:t>Figure 1 Proportion of visits due to each diagnostic group resulting in antimicrobial prescription and incidence of associated antimicrobial prescriptions</w:t>
      </w:r>
    </w:p>
    <w:p w14:paraId="62916E49" w14:textId="77777777" w:rsidR="00C95A82" w:rsidRDefault="0088601F">
      <w:pPr>
        <w:pStyle w:val="BodyText"/>
      </w:pPr>
      <w:r>
        <w:t>A total of 226,084 outpatient antimicrobial prescriptions were recorded among birth-cohorts 2005-2015</w:t>
      </w:r>
      <w:r>
        <w:t xml:space="preserve"> during the study period. The crude incidence rate of outpatient antimicrobial prescriptions per </w:t>
      </w:r>
      <w:r>
        <w:lastRenderedPageBreak/>
        <w:t>100 person-years in the VNEC and VEC was 164.6 and 150.2 respectively. The incidence rate and number of outpatient antimicrobial prescriptions by birth-cohort,</w:t>
      </w:r>
      <w:r>
        <w:t xml:space="preserve"> and gender is shown in Table 2.</w:t>
      </w:r>
    </w:p>
    <w:p w14:paraId="0040DEEF" w14:textId="77777777" w:rsidR="00C95A82" w:rsidRDefault="0088601F">
      <w:pPr>
        <w:pStyle w:val="TableCaption"/>
      </w:pPr>
      <w:r>
        <w:t>Table 2 Incidence rate and number of outpatient antimicrobial prescriptions by birth-cohort and gender</w:t>
      </w:r>
    </w:p>
    <w:tbl>
      <w:tblPr>
        <w:tblW w:w="0" w:type="pct"/>
        <w:tblLook w:val="07E0" w:firstRow="1" w:lastRow="1" w:firstColumn="1" w:lastColumn="1" w:noHBand="1" w:noVBand="1"/>
        <w:tblCaption w:val="Table 2 Incidence rate and number of outpatient antimicrobial prescriptions by birth-cohort and gender"/>
      </w:tblPr>
      <w:tblGrid>
        <w:gridCol w:w="1250"/>
        <w:gridCol w:w="1517"/>
        <w:gridCol w:w="1517"/>
      </w:tblGrid>
      <w:tr w:rsidR="00C95A82" w14:paraId="4E958387" w14:textId="77777777">
        <w:tc>
          <w:tcPr>
            <w:tcW w:w="0" w:type="auto"/>
            <w:tcBorders>
              <w:bottom w:val="single" w:sz="0" w:space="0" w:color="auto"/>
            </w:tcBorders>
            <w:vAlign w:val="bottom"/>
          </w:tcPr>
          <w:p w14:paraId="53B52654" w14:textId="77777777" w:rsidR="00C95A82" w:rsidRDefault="0088601F">
            <w:pPr>
              <w:pStyle w:val="Compact"/>
              <w:jc w:val="right"/>
            </w:pPr>
            <w:r>
              <w:t>Birth-cohort</w:t>
            </w:r>
          </w:p>
        </w:tc>
        <w:tc>
          <w:tcPr>
            <w:tcW w:w="0" w:type="auto"/>
            <w:tcBorders>
              <w:bottom w:val="single" w:sz="0" w:space="0" w:color="auto"/>
            </w:tcBorders>
            <w:vAlign w:val="bottom"/>
          </w:tcPr>
          <w:p w14:paraId="678C4480" w14:textId="77777777" w:rsidR="00C95A82" w:rsidRDefault="0088601F">
            <w:pPr>
              <w:pStyle w:val="Compact"/>
              <w:jc w:val="left"/>
            </w:pPr>
            <w:r>
              <w:t>Females</w:t>
            </w:r>
          </w:p>
        </w:tc>
        <w:tc>
          <w:tcPr>
            <w:tcW w:w="0" w:type="auto"/>
            <w:tcBorders>
              <w:bottom w:val="single" w:sz="0" w:space="0" w:color="auto"/>
            </w:tcBorders>
            <w:vAlign w:val="bottom"/>
          </w:tcPr>
          <w:p w14:paraId="0B2CBE84" w14:textId="77777777" w:rsidR="00C95A82" w:rsidRDefault="0088601F">
            <w:pPr>
              <w:pStyle w:val="Compact"/>
              <w:jc w:val="left"/>
            </w:pPr>
            <w:r>
              <w:t>Males</w:t>
            </w:r>
          </w:p>
        </w:tc>
      </w:tr>
      <w:tr w:rsidR="00C95A82" w14:paraId="5DCDC9D5" w14:textId="77777777">
        <w:tc>
          <w:tcPr>
            <w:tcW w:w="0" w:type="auto"/>
          </w:tcPr>
          <w:p w14:paraId="58E3A703" w14:textId="77777777" w:rsidR="00C95A82" w:rsidRDefault="0088601F">
            <w:pPr>
              <w:pStyle w:val="Compact"/>
              <w:jc w:val="right"/>
            </w:pPr>
            <w:r>
              <w:t>2005</w:t>
            </w:r>
          </w:p>
        </w:tc>
        <w:tc>
          <w:tcPr>
            <w:tcW w:w="0" w:type="auto"/>
          </w:tcPr>
          <w:p w14:paraId="308AF72E" w14:textId="77777777" w:rsidR="00C95A82" w:rsidRDefault="0088601F">
            <w:pPr>
              <w:pStyle w:val="Compact"/>
              <w:jc w:val="left"/>
            </w:pPr>
            <w:r>
              <w:t>176.0 (11,178)</w:t>
            </w:r>
          </w:p>
        </w:tc>
        <w:tc>
          <w:tcPr>
            <w:tcW w:w="0" w:type="auto"/>
          </w:tcPr>
          <w:p w14:paraId="5E39786D" w14:textId="77777777" w:rsidR="00C95A82" w:rsidRDefault="0088601F">
            <w:pPr>
              <w:pStyle w:val="Compact"/>
              <w:jc w:val="left"/>
            </w:pPr>
            <w:r>
              <w:t>200.0 (13,423)</w:t>
            </w:r>
          </w:p>
        </w:tc>
      </w:tr>
      <w:tr w:rsidR="00C95A82" w14:paraId="7AAD1CF1" w14:textId="77777777">
        <w:tc>
          <w:tcPr>
            <w:tcW w:w="0" w:type="auto"/>
          </w:tcPr>
          <w:p w14:paraId="3AC4E139" w14:textId="77777777" w:rsidR="00C95A82" w:rsidRDefault="0088601F">
            <w:pPr>
              <w:pStyle w:val="Compact"/>
              <w:jc w:val="right"/>
            </w:pPr>
            <w:r>
              <w:t>2006</w:t>
            </w:r>
          </w:p>
        </w:tc>
        <w:tc>
          <w:tcPr>
            <w:tcW w:w="0" w:type="auto"/>
          </w:tcPr>
          <w:p w14:paraId="2E011050" w14:textId="77777777" w:rsidR="00C95A82" w:rsidRDefault="0088601F">
            <w:pPr>
              <w:pStyle w:val="Compact"/>
              <w:jc w:val="left"/>
            </w:pPr>
            <w:r>
              <w:t>167.0 (10,843)</w:t>
            </w:r>
          </w:p>
        </w:tc>
        <w:tc>
          <w:tcPr>
            <w:tcW w:w="0" w:type="auto"/>
          </w:tcPr>
          <w:p w14:paraId="79DBA746" w14:textId="77777777" w:rsidR="00C95A82" w:rsidRDefault="0088601F">
            <w:pPr>
              <w:pStyle w:val="Compact"/>
              <w:jc w:val="left"/>
            </w:pPr>
            <w:r>
              <w:t>190.0 (13,109)</w:t>
            </w:r>
          </w:p>
        </w:tc>
      </w:tr>
      <w:tr w:rsidR="00C95A82" w14:paraId="6FDB257C" w14:textId="77777777">
        <w:tc>
          <w:tcPr>
            <w:tcW w:w="0" w:type="auto"/>
          </w:tcPr>
          <w:p w14:paraId="5E3C34C6" w14:textId="77777777" w:rsidR="00C95A82" w:rsidRDefault="0088601F">
            <w:pPr>
              <w:pStyle w:val="Compact"/>
              <w:jc w:val="right"/>
            </w:pPr>
            <w:r>
              <w:t>2007</w:t>
            </w:r>
          </w:p>
        </w:tc>
        <w:tc>
          <w:tcPr>
            <w:tcW w:w="0" w:type="auto"/>
          </w:tcPr>
          <w:p w14:paraId="46C16712" w14:textId="77777777" w:rsidR="00C95A82" w:rsidRDefault="0088601F">
            <w:pPr>
              <w:pStyle w:val="Compact"/>
              <w:jc w:val="left"/>
            </w:pPr>
            <w:r>
              <w:t>153.0 (10,140)</w:t>
            </w:r>
          </w:p>
        </w:tc>
        <w:tc>
          <w:tcPr>
            <w:tcW w:w="0" w:type="auto"/>
          </w:tcPr>
          <w:p w14:paraId="049C00E6" w14:textId="77777777" w:rsidR="00C95A82" w:rsidRDefault="0088601F">
            <w:pPr>
              <w:pStyle w:val="Compact"/>
              <w:jc w:val="left"/>
            </w:pPr>
            <w:r>
              <w:t>174.0 (12,339)</w:t>
            </w:r>
          </w:p>
        </w:tc>
      </w:tr>
      <w:tr w:rsidR="00C95A82" w14:paraId="5B1466EC" w14:textId="77777777">
        <w:tc>
          <w:tcPr>
            <w:tcW w:w="0" w:type="auto"/>
          </w:tcPr>
          <w:p w14:paraId="4539ED26" w14:textId="77777777" w:rsidR="00C95A82" w:rsidRDefault="0088601F">
            <w:pPr>
              <w:pStyle w:val="Compact"/>
              <w:jc w:val="right"/>
            </w:pPr>
            <w:r>
              <w:t>2008</w:t>
            </w:r>
          </w:p>
        </w:tc>
        <w:tc>
          <w:tcPr>
            <w:tcW w:w="0" w:type="auto"/>
          </w:tcPr>
          <w:p w14:paraId="5A4BA23F" w14:textId="77777777" w:rsidR="00C95A82" w:rsidRDefault="0088601F">
            <w:pPr>
              <w:pStyle w:val="Compact"/>
              <w:jc w:val="left"/>
            </w:pPr>
            <w:r>
              <w:t>153.0 (10,543)</w:t>
            </w:r>
          </w:p>
        </w:tc>
        <w:tc>
          <w:tcPr>
            <w:tcW w:w="0" w:type="auto"/>
          </w:tcPr>
          <w:p w14:paraId="229C23C1" w14:textId="77777777" w:rsidR="00C95A82" w:rsidRDefault="0088601F">
            <w:pPr>
              <w:pStyle w:val="Compact"/>
              <w:jc w:val="left"/>
            </w:pPr>
            <w:r>
              <w:t>171.0 (12,492)</w:t>
            </w:r>
          </w:p>
        </w:tc>
      </w:tr>
      <w:tr w:rsidR="00C95A82" w14:paraId="161D276B" w14:textId="77777777">
        <w:tc>
          <w:tcPr>
            <w:tcW w:w="0" w:type="auto"/>
          </w:tcPr>
          <w:p w14:paraId="38BD5456" w14:textId="77777777" w:rsidR="00C95A82" w:rsidRDefault="0088601F">
            <w:pPr>
              <w:pStyle w:val="Compact"/>
              <w:jc w:val="right"/>
            </w:pPr>
            <w:r>
              <w:t>2009</w:t>
            </w:r>
          </w:p>
        </w:tc>
        <w:tc>
          <w:tcPr>
            <w:tcW w:w="0" w:type="auto"/>
          </w:tcPr>
          <w:p w14:paraId="52593099" w14:textId="77777777" w:rsidR="00C95A82" w:rsidRDefault="0088601F">
            <w:pPr>
              <w:pStyle w:val="Compact"/>
              <w:jc w:val="left"/>
            </w:pPr>
            <w:r>
              <w:t>151.0 (10,699)</w:t>
            </w:r>
          </w:p>
        </w:tc>
        <w:tc>
          <w:tcPr>
            <w:tcW w:w="0" w:type="auto"/>
          </w:tcPr>
          <w:p w14:paraId="42AA30C1" w14:textId="77777777" w:rsidR="00C95A82" w:rsidRDefault="0088601F">
            <w:pPr>
              <w:pStyle w:val="Compact"/>
              <w:jc w:val="left"/>
            </w:pPr>
            <w:r>
              <w:t>169.0 (12,775)</w:t>
            </w:r>
          </w:p>
        </w:tc>
      </w:tr>
      <w:tr w:rsidR="00C95A82" w14:paraId="01823131" w14:textId="77777777">
        <w:tc>
          <w:tcPr>
            <w:tcW w:w="0" w:type="auto"/>
          </w:tcPr>
          <w:p w14:paraId="777DFC66" w14:textId="77777777" w:rsidR="00C95A82" w:rsidRDefault="0088601F">
            <w:pPr>
              <w:pStyle w:val="Compact"/>
              <w:jc w:val="right"/>
            </w:pPr>
            <w:r>
              <w:t>2010</w:t>
            </w:r>
          </w:p>
        </w:tc>
        <w:tc>
          <w:tcPr>
            <w:tcW w:w="0" w:type="auto"/>
          </w:tcPr>
          <w:p w14:paraId="3748CEAA" w14:textId="77777777" w:rsidR="00C95A82" w:rsidRDefault="0088601F">
            <w:pPr>
              <w:pStyle w:val="Compact"/>
              <w:jc w:val="left"/>
            </w:pPr>
            <w:r>
              <w:t>150.0 (10,366)</w:t>
            </w:r>
          </w:p>
        </w:tc>
        <w:tc>
          <w:tcPr>
            <w:tcW w:w="0" w:type="auto"/>
          </w:tcPr>
          <w:p w14:paraId="7F2D221A" w14:textId="77777777" w:rsidR="00C95A82" w:rsidRDefault="0088601F">
            <w:pPr>
              <w:pStyle w:val="Compact"/>
              <w:jc w:val="left"/>
            </w:pPr>
            <w:r>
              <w:t>161.0 (11,854)</w:t>
            </w:r>
          </w:p>
        </w:tc>
      </w:tr>
      <w:tr w:rsidR="00C95A82" w14:paraId="2416FD7F" w14:textId="77777777">
        <w:tc>
          <w:tcPr>
            <w:tcW w:w="0" w:type="auto"/>
          </w:tcPr>
          <w:p w14:paraId="7AA5CE15" w14:textId="77777777" w:rsidR="00C95A82" w:rsidRDefault="0088601F">
            <w:pPr>
              <w:pStyle w:val="Compact"/>
              <w:jc w:val="right"/>
            </w:pPr>
            <w:r>
              <w:t>2011</w:t>
            </w:r>
          </w:p>
        </w:tc>
        <w:tc>
          <w:tcPr>
            <w:tcW w:w="0" w:type="auto"/>
          </w:tcPr>
          <w:p w14:paraId="45DFFF0E" w14:textId="77777777" w:rsidR="00C95A82" w:rsidRDefault="0088601F">
            <w:pPr>
              <w:pStyle w:val="Compact"/>
              <w:jc w:val="left"/>
            </w:pPr>
            <w:r>
              <w:t>142.0 ( 9,230)</w:t>
            </w:r>
          </w:p>
        </w:tc>
        <w:tc>
          <w:tcPr>
            <w:tcW w:w="0" w:type="auto"/>
          </w:tcPr>
          <w:p w14:paraId="3D489207" w14:textId="77777777" w:rsidR="00C95A82" w:rsidRDefault="0088601F">
            <w:pPr>
              <w:pStyle w:val="Compact"/>
              <w:jc w:val="left"/>
            </w:pPr>
            <w:r>
              <w:t>156.0 (10,906)</w:t>
            </w:r>
          </w:p>
        </w:tc>
      </w:tr>
      <w:tr w:rsidR="00C95A82" w14:paraId="46F93648" w14:textId="77777777">
        <w:tc>
          <w:tcPr>
            <w:tcW w:w="0" w:type="auto"/>
          </w:tcPr>
          <w:p w14:paraId="2107BAA5" w14:textId="77777777" w:rsidR="00C95A82" w:rsidRDefault="0088601F">
            <w:pPr>
              <w:pStyle w:val="Compact"/>
              <w:jc w:val="right"/>
            </w:pPr>
            <w:r>
              <w:t>2012</w:t>
            </w:r>
          </w:p>
        </w:tc>
        <w:tc>
          <w:tcPr>
            <w:tcW w:w="0" w:type="auto"/>
          </w:tcPr>
          <w:p w14:paraId="409006AF" w14:textId="77777777" w:rsidR="00C95A82" w:rsidRDefault="0088601F">
            <w:pPr>
              <w:pStyle w:val="Compact"/>
              <w:jc w:val="left"/>
            </w:pPr>
            <w:r>
              <w:t>142.0 ( 9,447)</w:t>
            </w:r>
          </w:p>
        </w:tc>
        <w:tc>
          <w:tcPr>
            <w:tcW w:w="0" w:type="auto"/>
          </w:tcPr>
          <w:p w14:paraId="705D50FF" w14:textId="77777777" w:rsidR="00C95A82" w:rsidRDefault="0088601F">
            <w:pPr>
              <w:pStyle w:val="Compact"/>
              <w:jc w:val="left"/>
            </w:pPr>
            <w:r>
              <w:t>158.0 (11,058)</w:t>
            </w:r>
          </w:p>
        </w:tc>
      </w:tr>
      <w:tr w:rsidR="00C95A82" w14:paraId="19765929" w14:textId="77777777">
        <w:tc>
          <w:tcPr>
            <w:tcW w:w="0" w:type="auto"/>
          </w:tcPr>
          <w:p w14:paraId="61A43482" w14:textId="77777777" w:rsidR="00C95A82" w:rsidRDefault="0088601F">
            <w:pPr>
              <w:pStyle w:val="Compact"/>
              <w:jc w:val="right"/>
            </w:pPr>
            <w:r>
              <w:t>2013</w:t>
            </w:r>
          </w:p>
        </w:tc>
        <w:tc>
          <w:tcPr>
            <w:tcW w:w="0" w:type="auto"/>
          </w:tcPr>
          <w:p w14:paraId="737F3C96" w14:textId="77777777" w:rsidR="00C95A82" w:rsidRDefault="0088601F">
            <w:pPr>
              <w:pStyle w:val="Compact"/>
              <w:jc w:val="left"/>
            </w:pPr>
            <w:r>
              <w:t>138.0 ( 9,015)</w:t>
            </w:r>
          </w:p>
        </w:tc>
        <w:tc>
          <w:tcPr>
            <w:tcW w:w="0" w:type="auto"/>
          </w:tcPr>
          <w:p w14:paraId="73442CC4" w14:textId="77777777" w:rsidR="00C95A82" w:rsidRDefault="0088601F">
            <w:pPr>
              <w:pStyle w:val="Compact"/>
              <w:jc w:val="left"/>
            </w:pPr>
            <w:r>
              <w:t>158.0 (10,180)</w:t>
            </w:r>
          </w:p>
        </w:tc>
      </w:tr>
      <w:tr w:rsidR="00C95A82" w14:paraId="262ED9BD" w14:textId="77777777">
        <w:tc>
          <w:tcPr>
            <w:tcW w:w="0" w:type="auto"/>
          </w:tcPr>
          <w:p w14:paraId="6C473A68" w14:textId="77777777" w:rsidR="00C95A82" w:rsidRDefault="0088601F">
            <w:pPr>
              <w:pStyle w:val="Compact"/>
              <w:jc w:val="right"/>
            </w:pPr>
            <w:r>
              <w:t>2014</w:t>
            </w:r>
          </w:p>
        </w:tc>
        <w:tc>
          <w:tcPr>
            <w:tcW w:w="0" w:type="auto"/>
          </w:tcPr>
          <w:p w14:paraId="039890AF" w14:textId="77777777" w:rsidR="00C95A82" w:rsidRDefault="0088601F">
            <w:pPr>
              <w:pStyle w:val="Compact"/>
              <w:jc w:val="left"/>
            </w:pPr>
            <w:r>
              <w:t>145.0 (7,726)</w:t>
            </w:r>
          </w:p>
        </w:tc>
        <w:tc>
          <w:tcPr>
            <w:tcW w:w="0" w:type="auto"/>
          </w:tcPr>
          <w:p w14:paraId="0EF34871" w14:textId="77777777" w:rsidR="00C95A82" w:rsidRDefault="0088601F">
            <w:pPr>
              <w:pStyle w:val="Compact"/>
              <w:jc w:val="left"/>
            </w:pPr>
            <w:r>
              <w:t>167.0 (9,234)</w:t>
            </w:r>
          </w:p>
        </w:tc>
      </w:tr>
      <w:tr w:rsidR="00C95A82" w14:paraId="1DEEBFD2" w14:textId="77777777">
        <w:tc>
          <w:tcPr>
            <w:tcW w:w="0" w:type="auto"/>
          </w:tcPr>
          <w:p w14:paraId="6E63F476" w14:textId="77777777" w:rsidR="00C95A82" w:rsidRDefault="0088601F">
            <w:pPr>
              <w:pStyle w:val="Compact"/>
              <w:jc w:val="right"/>
            </w:pPr>
            <w:r>
              <w:t>2015</w:t>
            </w:r>
          </w:p>
        </w:tc>
        <w:tc>
          <w:tcPr>
            <w:tcW w:w="0" w:type="auto"/>
          </w:tcPr>
          <w:p w14:paraId="0BA633AE" w14:textId="77777777" w:rsidR="00C95A82" w:rsidRDefault="0088601F">
            <w:pPr>
              <w:pStyle w:val="Compact"/>
              <w:jc w:val="left"/>
            </w:pPr>
            <w:r>
              <w:t>138.0 (4,075)</w:t>
            </w:r>
          </w:p>
        </w:tc>
        <w:tc>
          <w:tcPr>
            <w:tcW w:w="0" w:type="auto"/>
          </w:tcPr>
          <w:p w14:paraId="02194167" w14:textId="77777777" w:rsidR="00C95A82" w:rsidRDefault="0088601F">
            <w:pPr>
              <w:pStyle w:val="Compact"/>
              <w:jc w:val="left"/>
            </w:pPr>
            <w:r>
              <w:t>173.0 (5,452)</w:t>
            </w:r>
          </w:p>
        </w:tc>
      </w:tr>
    </w:tbl>
    <w:p w14:paraId="6B41A5FE" w14:textId="77777777" w:rsidR="00C95A82" w:rsidRDefault="0088601F">
      <w:pPr>
        <w:pStyle w:val="BodyText"/>
      </w:pPr>
      <w:r>
        <w:t>The lowest incidence was observed in children zero to five months of age. The incidence increased sharply thereafter and peaked in children six to eleven and twelve to seventeen months of age, after which it</w:t>
      </w:r>
      <w:r>
        <w:t xml:space="preserve"> decreased again. The crude IR decreased significantly in all age-groups, with incidence rate ratios ranging from 0.82-0.94. The largest and visually most consistent decrease in incidence was noted among children zero to five months of age, IRR 0.82 (95%CI</w:t>
      </w:r>
      <w:r>
        <w:t xml:space="preserve"> 0.79-0.85), Figure 2</w:t>
      </w:r>
    </w:p>
    <w:p w14:paraId="5089F5C9" w14:textId="77777777" w:rsidR="00C95A82" w:rsidRDefault="0088601F">
      <w:r>
        <w:rPr>
          <w:noProof/>
          <w:lang w:val="en-GB" w:eastAsia="en-GB"/>
        </w:rPr>
        <w:lastRenderedPageBreak/>
        <w:drawing>
          <wp:inline distT="0" distB="0" distL="0" distR="0" wp14:anchorId="702D9242" wp14:editId="1F50E0B2">
            <wp:extent cx="5676900" cy="3783932"/>
            <wp:effectExtent l="0" t="0" r="0" b="0"/>
            <wp:docPr id="2" name="Picture" descr="Figure 2 Incidence of outpatient antimicrobial prescriptions by age-group and birth-cohort"/>
            <wp:cNvGraphicFramePr/>
            <a:graphic xmlns:a="http://schemas.openxmlformats.org/drawingml/2006/main">
              <a:graphicData uri="http://schemas.openxmlformats.org/drawingml/2006/picture">
                <pic:pic xmlns:pic="http://schemas.openxmlformats.org/drawingml/2006/picture">
                  <pic:nvPicPr>
                    <pic:cNvPr id="0" name="Picture" descr="_figures/paper_3/2018-11-26-incidence.png"/>
                    <pic:cNvPicPr>
                      <a:picLocks noChangeAspect="1" noChangeArrowheads="1"/>
                    </pic:cNvPicPr>
                  </pic:nvPicPr>
                  <pic:blipFill>
                    <a:blip r:embed="rId8"/>
                    <a:stretch>
                      <a:fillRect/>
                    </a:stretch>
                  </pic:blipFill>
                  <pic:spPr bwMode="auto">
                    <a:xfrm>
                      <a:off x="0" y="0"/>
                      <a:ext cx="5676900" cy="3783932"/>
                    </a:xfrm>
                    <a:prstGeom prst="rect">
                      <a:avLst/>
                    </a:prstGeom>
                    <a:noFill/>
                    <a:ln w="9525">
                      <a:noFill/>
                      <a:headEnd/>
                      <a:tailEnd/>
                    </a:ln>
                  </pic:spPr>
                </pic:pic>
              </a:graphicData>
            </a:graphic>
          </wp:inline>
        </w:drawing>
      </w:r>
    </w:p>
    <w:p w14:paraId="57A70B3E" w14:textId="77777777" w:rsidR="00C95A82" w:rsidRDefault="0088601F">
      <w:pPr>
        <w:pStyle w:val="ImageCaption"/>
      </w:pPr>
      <w:r>
        <w:t>Figure 2 Incidence of outpatient antimicrobial prescriptions by age-group and birth-cohort</w:t>
      </w:r>
    </w:p>
    <w:p w14:paraId="3E672097" w14:textId="77777777" w:rsidR="00C95A82" w:rsidRDefault="0088601F">
      <w:pPr>
        <w:pStyle w:val="BodyText"/>
      </w:pPr>
      <w:r>
        <w:t>The proportion of children in the VNEC and VEC who filled at least one antimicrobial prescription by three years of age was 88.6% and 86.8 re</w:t>
      </w:r>
      <w:r>
        <w:t>spectively. Children in the VEC were significantly more likely than children in the VNEC to have not filled an antimicrobial prescription (incidence risk ratio 1.16, 95%CI 1.10-1.23) or filled only between one and four antimicrobial prescriptions (incidenc</w:t>
      </w:r>
      <w:r>
        <w:t>e risk ratio 1.08, 95%CI 1.06–1.11). The cumulative number of prescriptions by vaccine eligibility cohort in shown in Table 3.</w:t>
      </w:r>
    </w:p>
    <w:p w14:paraId="155A1D3F" w14:textId="77777777" w:rsidR="00C95A82" w:rsidRDefault="0088601F">
      <w:pPr>
        <w:pStyle w:val="TableCaption"/>
      </w:pPr>
      <w:r>
        <w:t>Table 3 The proportion of children in the vaccine non-eligible cohorts (VNEC, born: 2005–2010) and vaccine eligible cohorts (VEC,</w:t>
      </w:r>
      <w:r>
        <w:t xml:space="preserve"> born 2011–2013) that had filled 0, 1–4, 5–9, 10–14 and ≥ 15 prescriptions at 36 months of age.</w:t>
      </w:r>
    </w:p>
    <w:tbl>
      <w:tblPr>
        <w:tblW w:w="0" w:type="pct"/>
        <w:tblLook w:val="07E0" w:firstRow="1" w:lastRow="1" w:firstColumn="1" w:lastColumn="1" w:noHBand="1" w:noVBand="1"/>
        <w:tblCaption w:val="Table 3 The proportion of children in the vaccine non-eligible cohorts (VNEC, born: 2005–2010) and vaccine eligible cohorts (VEC, born 2011–2013) that had filled 0, 1–4, 5–9, 10–14 and ≥ 15 prescriptions at 36 months of age."/>
      </w:tblPr>
      <w:tblGrid>
        <w:gridCol w:w="1717"/>
        <w:gridCol w:w="1139"/>
        <w:gridCol w:w="994"/>
        <w:gridCol w:w="2228"/>
      </w:tblGrid>
      <w:tr w:rsidR="00C95A82" w14:paraId="41F246B0" w14:textId="77777777">
        <w:tc>
          <w:tcPr>
            <w:tcW w:w="0" w:type="auto"/>
            <w:tcBorders>
              <w:bottom w:val="single" w:sz="0" w:space="0" w:color="auto"/>
            </w:tcBorders>
            <w:vAlign w:val="bottom"/>
          </w:tcPr>
          <w:p w14:paraId="3D20ABF0" w14:textId="77777777" w:rsidR="00C95A82" w:rsidRDefault="0088601F">
            <w:pPr>
              <w:pStyle w:val="Compact"/>
              <w:jc w:val="left"/>
            </w:pPr>
            <w:r>
              <w:t>No. prescriptions</w:t>
            </w:r>
          </w:p>
        </w:tc>
        <w:tc>
          <w:tcPr>
            <w:tcW w:w="0" w:type="auto"/>
            <w:tcBorders>
              <w:bottom w:val="single" w:sz="0" w:space="0" w:color="auto"/>
            </w:tcBorders>
            <w:vAlign w:val="bottom"/>
          </w:tcPr>
          <w:p w14:paraId="2970FCEA" w14:textId="77777777" w:rsidR="00C95A82" w:rsidRDefault="0088601F">
            <w:pPr>
              <w:pStyle w:val="Compact"/>
              <w:jc w:val="left"/>
            </w:pPr>
            <w:r>
              <w:t>VNEC (%)</w:t>
            </w:r>
          </w:p>
        </w:tc>
        <w:tc>
          <w:tcPr>
            <w:tcW w:w="0" w:type="auto"/>
            <w:tcBorders>
              <w:bottom w:val="single" w:sz="0" w:space="0" w:color="auto"/>
            </w:tcBorders>
            <w:vAlign w:val="bottom"/>
          </w:tcPr>
          <w:p w14:paraId="6EA377F8" w14:textId="77777777" w:rsidR="00C95A82" w:rsidRDefault="0088601F">
            <w:pPr>
              <w:pStyle w:val="Compact"/>
              <w:jc w:val="left"/>
            </w:pPr>
            <w:r>
              <w:t>VEC (%)</w:t>
            </w:r>
          </w:p>
        </w:tc>
        <w:tc>
          <w:tcPr>
            <w:tcW w:w="0" w:type="auto"/>
            <w:tcBorders>
              <w:bottom w:val="single" w:sz="0" w:space="0" w:color="auto"/>
            </w:tcBorders>
            <w:vAlign w:val="bottom"/>
          </w:tcPr>
          <w:p w14:paraId="103E5291" w14:textId="77777777" w:rsidR="00C95A82" w:rsidRDefault="0088601F">
            <w:pPr>
              <w:pStyle w:val="Compact"/>
              <w:jc w:val="left"/>
            </w:pPr>
            <w:r>
              <w:t>Incidence risk (95%CI)</w:t>
            </w:r>
          </w:p>
        </w:tc>
      </w:tr>
      <w:tr w:rsidR="00C95A82" w14:paraId="3AD74909" w14:textId="77777777">
        <w:tc>
          <w:tcPr>
            <w:tcW w:w="0" w:type="auto"/>
          </w:tcPr>
          <w:p w14:paraId="068EA8C1" w14:textId="77777777" w:rsidR="00C95A82" w:rsidRDefault="0088601F">
            <w:pPr>
              <w:pStyle w:val="Compact"/>
              <w:jc w:val="left"/>
            </w:pPr>
            <w:r>
              <w:t>0</w:t>
            </w:r>
          </w:p>
        </w:tc>
        <w:tc>
          <w:tcPr>
            <w:tcW w:w="0" w:type="auto"/>
          </w:tcPr>
          <w:p w14:paraId="29ECAD49" w14:textId="77777777" w:rsidR="00C95A82" w:rsidRDefault="0088601F">
            <w:pPr>
              <w:pStyle w:val="Compact"/>
              <w:jc w:val="left"/>
            </w:pPr>
            <w:r>
              <w:t>11.4</w:t>
            </w:r>
          </w:p>
        </w:tc>
        <w:tc>
          <w:tcPr>
            <w:tcW w:w="0" w:type="auto"/>
          </w:tcPr>
          <w:p w14:paraId="77C093B2" w14:textId="77777777" w:rsidR="00C95A82" w:rsidRDefault="0088601F">
            <w:pPr>
              <w:pStyle w:val="Compact"/>
              <w:jc w:val="left"/>
            </w:pPr>
            <w:r>
              <w:t>13.2</w:t>
            </w:r>
          </w:p>
        </w:tc>
        <w:tc>
          <w:tcPr>
            <w:tcW w:w="0" w:type="auto"/>
          </w:tcPr>
          <w:p w14:paraId="31EF0D20" w14:textId="77777777" w:rsidR="00C95A82" w:rsidRDefault="0088601F">
            <w:pPr>
              <w:pStyle w:val="Compact"/>
              <w:jc w:val="left"/>
            </w:pPr>
            <w:r>
              <w:t>1.16 (1.10-1.23)</w:t>
            </w:r>
          </w:p>
        </w:tc>
      </w:tr>
      <w:tr w:rsidR="00C95A82" w14:paraId="780777F8" w14:textId="77777777">
        <w:tc>
          <w:tcPr>
            <w:tcW w:w="0" w:type="auto"/>
          </w:tcPr>
          <w:p w14:paraId="7019B1E3" w14:textId="77777777" w:rsidR="00C95A82" w:rsidRDefault="0088601F">
            <w:pPr>
              <w:pStyle w:val="Compact"/>
              <w:jc w:val="left"/>
            </w:pPr>
            <w:r>
              <w:t>1-4</w:t>
            </w:r>
          </w:p>
        </w:tc>
        <w:tc>
          <w:tcPr>
            <w:tcW w:w="0" w:type="auto"/>
          </w:tcPr>
          <w:p w14:paraId="24CA4694" w14:textId="77777777" w:rsidR="00C95A82" w:rsidRDefault="0088601F">
            <w:pPr>
              <w:pStyle w:val="Compact"/>
              <w:jc w:val="left"/>
            </w:pPr>
            <w:r>
              <w:t>43.7</w:t>
            </w:r>
          </w:p>
        </w:tc>
        <w:tc>
          <w:tcPr>
            <w:tcW w:w="0" w:type="auto"/>
          </w:tcPr>
          <w:p w14:paraId="7F027201" w14:textId="77777777" w:rsidR="00C95A82" w:rsidRDefault="0088601F">
            <w:pPr>
              <w:pStyle w:val="Compact"/>
              <w:jc w:val="left"/>
            </w:pPr>
            <w:r>
              <w:t>47.3</w:t>
            </w:r>
          </w:p>
        </w:tc>
        <w:tc>
          <w:tcPr>
            <w:tcW w:w="0" w:type="auto"/>
          </w:tcPr>
          <w:p w14:paraId="1BDC9331" w14:textId="77777777" w:rsidR="00C95A82" w:rsidRDefault="0088601F">
            <w:pPr>
              <w:pStyle w:val="Compact"/>
              <w:jc w:val="left"/>
            </w:pPr>
            <w:r>
              <w:t>1.08 (1.06-1.11)</w:t>
            </w:r>
          </w:p>
        </w:tc>
      </w:tr>
      <w:tr w:rsidR="00C95A82" w14:paraId="2C6921D9" w14:textId="77777777">
        <w:tc>
          <w:tcPr>
            <w:tcW w:w="0" w:type="auto"/>
          </w:tcPr>
          <w:p w14:paraId="519255A3" w14:textId="77777777" w:rsidR="00C95A82" w:rsidRDefault="0088601F">
            <w:pPr>
              <w:pStyle w:val="Compact"/>
              <w:jc w:val="left"/>
            </w:pPr>
            <w:r>
              <w:t>5-9</w:t>
            </w:r>
          </w:p>
        </w:tc>
        <w:tc>
          <w:tcPr>
            <w:tcW w:w="0" w:type="auto"/>
          </w:tcPr>
          <w:p w14:paraId="75EC2175" w14:textId="77777777" w:rsidR="00C95A82" w:rsidRDefault="0088601F">
            <w:pPr>
              <w:pStyle w:val="Compact"/>
              <w:jc w:val="left"/>
            </w:pPr>
            <w:r>
              <w:t>31.6</w:t>
            </w:r>
          </w:p>
        </w:tc>
        <w:tc>
          <w:tcPr>
            <w:tcW w:w="0" w:type="auto"/>
          </w:tcPr>
          <w:p w14:paraId="7ECC7E23" w14:textId="77777777" w:rsidR="00C95A82" w:rsidRDefault="0088601F">
            <w:pPr>
              <w:pStyle w:val="Compact"/>
              <w:jc w:val="left"/>
            </w:pPr>
            <w:r>
              <w:t>29.0</w:t>
            </w:r>
          </w:p>
        </w:tc>
        <w:tc>
          <w:tcPr>
            <w:tcW w:w="0" w:type="auto"/>
          </w:tcPr>
          <w:p w14:paraId="060FEFA4" w14:textId="77777777" w:rsidR="00C95A82" w:rsidRDefault="0088601F">
            <w:pPr>
              <w:pStyle w:val="Compact"/>
              <w:jc w:val="left"/>
            </w:pPr>
            <w:r>
              <w:t>0.918 (0.889-0.947)</w:t>
            </w:r>
          </w:p>
        </w:tc>
      </w:tr>
      <w:tr w:rsidR="00C95A82" w14:paraId="56DA8A3C" w14:textId="77777777">
        <w:tc>
          <w:tcPr>
            <w:tcW w:w="0" w:type="auto"/>
          </w:tcPr>
          <w:p w14:paraId="58444F4F" w14:textId="77777777" w:rsidR="00C95A82" w:rsidRDefault="0088601F">
            <w:pPr>
              <w:pStyle w:val="Compact"/>
              <w:jc w:val="left"/>
            </w:pPr>
            <w:r>
              <w:t>10-14</w:t>
            </w:r>
          </w:p>
        </w:tc>
        <w:tc>
          <w:tcPr>
            <w:tcW w:w="0" w:type="auto"/>
          </w:tcPr>
          <w:p w14:paraId="4FA35C7F" w14:textId="77777777" w:rsidR="00C95A82" w:rsidRDefault="0088601F">
            <w:pPr>
              <w:pStyle w:val="Compact"/>
              <w:jc w:val="left"/>
            </w:pPr>
            <w:r>
              <w:t>9.79</w:t>
            </w:r>
          </w:p>
        </w:tc>
        <w:tc>
          <w:tcPr>
            <w:tcW w:w="0" w:type="auto"/>
          </w:tcPr>
          <w:p w14:paraId="492042F6" w14:textId="77777777" w:rsidR="00C95A82" w:rsidRDefault="0088601F">
            <w:pPr>
              <w:pStyle w:val="Compact"/>
              <w:jc w:val="left"/>
            </w:pPr>
            <w:r>
              <w:t>7.52</w:t>
            </w:r>
          </w:p>
        </w:tc>
        <w:tc>
          <w:tcPr>
            <w:tcW w:w="0" w:type="auto"/>
          </w:tcPr>
          <w:p w14:paraId="75B5B480" w14:textId="77777777" w:rsidR="00C95A82" w:rsidRDefault="0088601F">
            <w:pPr>
              <w:pStyle w:val="Compact"/>
              <w:jc w:val="left"/>
            </w:pPr>
            <w:r>
              <w:t>0.768 (0.716-0.823)</w:t>
            </w:r>
          </w:p>
        </w:tc>
      </w:tr>
      <w:tr w:rsidR="00C95A82" w14:paraId="4BE81BF4" w14:textId="77777777">
        <w:tc>
          <w:tcPr>
            <w:tcW w:w="0" w:type="auto"/>
          </w:tcPr>
          <w:p w14:paraId="18F603D4" w14:textId="77777777" w:rsidR="00C95A82" w:rsidRDefault="0088601F">
            <w:pPr>
              <w:pStyle w:val="Compact"/>
              <w:jc w:val="left"/>
            </w:pPr>
            <w:r>
              <w:t>≥15</w:t>
            </w:r>
          </w:p>
        </w:tc>
        <w:tc>
          <w:tcPr>
            <w:tcW w:w="0" w:type="auto"/>
          </w:tcPr>
          <w:p w14:paraId="30FDA24D" w14:textId="77777777" w:rsidR="00C95A82" w:rsidRDefault="0088601F">
            <w:pPr>
              <w:pStyle w:val="Compact"/>
              <w:jc w:val="left"/>
            </w:pPr>
            <w:r>
              <w:t>3.51</w:t>
            </w:r>
          </w:p>
        </w:tc>
        <w:tc>
          <w:tcPr>
            <w:tcW w:w="0" w:type="auto"/>
          </w:tcPr>
          <w:p w14:paraId="0D4825FD" w14:textId="77777777" w:rsidR="00C95A82" w:rsidRDefault="0088601F">
            <w:pPr>
              <w:pStyle w:val="Compact"/>
              <w:jc w:val="left"/>
            </w:pPr>
            <w:r>
              <w:t>2.91</w:t>
            </w:r>
          </w:p>
        </w:tc>
        <w:tc>
          <w:tcPr>
            <w:tcW w:w="0" w:type="auto"/>
          </w:tcPr>
          <w:p w14:paraId="23E60F5D" w14:textId="77777777" w:rsidR="00C95A82" w:rsidRDefault="0088601F">
            <w:pPr>
              <w:pStyle w:val="Compact"/>
              <w:jc w:val="left"/>
            </w:pPr>
            <w:r>
              <w:t>0.831 (0.74-0.934)</w:t>
            </w:r>
          </w:p>
        </w:tc>
      </w:tr>
    </w:tbl>
    <w:p w14:paraId="2285502F" w14:textId="77777777" w:rsidR="00C95A82" w:rsidRDefault="0088601F">
      <w:pPr>
        <w:pStyle w:val="BodyText"/>
      </w:pPr>
      <w:r>
        <w:t xml:space="preserve">Discrimination indices for the Andersen-Gill multiple event model were adequate, Nagelkerke’s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0.212 and Somer’s </w:t>
      </w:r>
      <m:oMath>
        <m:sSub>
          <m:sSubPr>
            <m:ctrlPr>
              <w:rPr>
                <w:rFonts w:ascii="Cambria Math" w:hAnsi="Cambria Math"/>
              </w:rPr>
            </m:ctrlPr>
          </m:sSubPr>
          <m:e>
            <m:r>
              <w:rPr>
                <w:rFonts w:ascii="Cambria Math" w:hAnsi="Cambria Math"/>
              </w:rPr>
              <m:t>D</m:t>
            </m:r>
          </m:e>
          <m:sub>
            <m:r>
              <w:rPr>
                <w:rFonts w:ascii="Cambria Math" w:hAnsi="Cambria Math"/>
              </w:rPr>
              <m:t>xy</m:t>
            </m:r>
          </m:sub>
        </m:sSub>
      </m:oMath>
      <w:r>
        <w:t xml:space="preserve"> = 0.295. </w:t>
      </w:r>
      <w:r>
        <w:t>A diagnostic plot of Schoenfeld residuals was used to visually assess the proportional hazard assumption for each covariate and no systematic deviations were detected. The model was used to estimate the hazard ratio of outpatient antimicrobial prescription</w:t>
      </w:r>
      <w:r>
        <w:t xml:space="preserve">s </w:t>
      </w:r>
      <w:r>
        <w:lastRenderedPageBreak/>
        <w:t>between each of the study’s birth-cohorts and the last vaccine non-eligible cohort, 2010. Visually, there seemed to be a decreasing trend in hazard among the vaccine non-eligible birth-cohorts (Figure 3). The hazard did not change significantly between t</w:t>
      </w:r>
      <w:r>
        <w:t>he last vaccine non-eligible birth-cohort and the preceeding two cohorts, but decreased significantly thereafter, with each vaccine eligible cohort having a significantly lower hazard of outpatient antimicrobial prescription. The estimated impact of PHiD-C</w:t>
      </w:r>
      <w:r>
        <w:t>V10 on outpatient antimicrobial prescriptions among children under three years of age was 8% (95%CI 4%-12%).</w:t>
      </w:r>
    </w:p>
    <w:p w14:paraId="6F61EE2B" w14:textId="77777777" w:rsidR="00C95A82" w:rsidRDefault="0088601F">
      <w:r>
        <w:rPr>
          <w:noProof/>
          <w:lang w:val="en-GB" w:eastAsia="en-GB"/>
        </w:rPr>
        <w:drawing>
          <wp:inline distT="0" distB="0" distL="0" distR="0" wp14:anchorId="7CC8C3BC" wp14:editId="3D09F08B">
            <wp:extent cx="5676900" cy="3783932"/>
            <wp:effectExtent l="0" t="0" r="0" b="0"/>
            <wp:docPr id="3" name="Picture" descr="Figure 3 Estimated hazard ratio between each of the study’s birth-cohorts and the last vaccine non-eligible birth-cohort"/>
            <wp:cNvGraphicFramePr/>
            <a:graphic xmlns:a="http://schemas.openxmlformats.org/drawingml/2006/main">
              <a:graphicData uri="http://schemas.openxmlformats.org/drawingml/2006/picture">
                <pic:pic xmlns:pic="http://schemas.openxmlformats.org/drawingml/2006/picture">
                  <pic:nvPicPr>
                    <pic:cNvPr id="0" name="Picture" descr="_figures/paper_3/2018-11-26-hazardratio.png"/>
                    <pic:cNvPicPr>
                      <a:picLocks noChangeAspect="1" noChangeArrowheads="1"/>
                    </pic:cNvPicPr>
                  </pic:nvPicPr>
                  <pic:blipFill>
                    <a:blip r:embed="rId9"/>
                    <a:stretch>
                      <a:fillRect/>
                    </a:stretch>
                  </pic:blipFill>
                  <pic:spPr bwMode="auto">
                    <a:xfrm>
                      <a:off x="0" y="0"/>
                      <a:ext cx="5676900" cy="3783932"/>
                    </a:xfrm>
                    <a:prstGeom prst="rect">
                      <a:avLst/>
                    </a:prstGeom>
                    <a:noFill/>
                    <a:ln w="9525">
                      <a:noFill/>
                      <a:headEnd/>
                      <a:tailEnd/>
                    </a:ln>
                  </pic:spPr>
                </pic:pic>
              </a:graphicData>
            </a:graphic>
          </wp:inline>
        </w:drawing>
      </w:r>
    </w:p>
    <w:p w14:paraId="1AFAD252" w14:textId="77777777" w:rsidR="00C95A82" w:rsidRDefault="0088601F">
      <w:pPr>
        <w:pStyle w:val="ImageCaption"/>
      </w:pPr>
      <w:r>
        <w:t>Figure 3 Estimated hazard ratio between each of the study’s birth-cohorts and the last vaccine non-eligible birth-cohort</w:t>
      </w:r>
    </w:p>
    <w:p w14:paraId="23636071" w14:textId="77777777" w:rsidR="00C95A82" w:rsidRDefault="0088601F">
      <w:pPr>
        <w:pStyle w:val="BodyText"/>
      </w:pPr>
      <w:r>
        <w:t>When the hazard ratio of</w:t>
      </w:r>
      <w:r>
        <w:t xml:space="preserve"> outpatient antimicrobial prescriptions between the VEC and VNEC was stratified by the number of previous prescriptions, the vaccine impact was descernable for children who had up to three prior antimicrobial prescriptions, after which no effect was found </w:t>
      </w:r>
      <w:r>
        <w:t>(Figure 4).</w:t>
      </w:r>
    </w:p>
    <w:p w14:paraId="3677A1EC" w14:textId="77777777" w:rsidR="00C95A82" w:rsidRDefault="0088601F">
      <w:r>
        <w:rPr>
          <w:noProof/>
          <w:lang w:val="en-GB" w:eastAsia="en-GB"/>
        </w:rPr>
        <w:lastRenderedPageBreak/>
        <w:drawing>
          <wp:inline distT="0" distB="0" distL="0" distR="0" wp14:anchorId="415DD80B" wp14:editId="4835E5C7">
            <wp:extent cx="5676900" cy="3783932"/>
            <wp:effectExtent l="0" t="0" r="0" b="0"/>
            <wp:docPr id="4" name="Picture" descr="Figure 4 Estimated hazard ratio of AOM between VEC and VNEC stratified by the number of previous visits"/>
            <wp:cNvGraphicFramePr/>
            <a:graphic xmlns:a="http://schemas.openxmlformats.org/drawingml/2006/main">
              <a:graphicData uri="http://schemas.openxmlformats.org/drawingml/2006/picture">
                <pic:pic xmlns:pic="http://schemas.openxmlformats.org/drawingml/2006/picture">
                  <pic:nvPicPr>
                    <pic:cNvPr id="0" name="Picture" descr="_figures/paper_3/2018-11-26-hr-previous.png"/>
                    <pic:cNvPicPr>
                      <a:picLocks noChangeAspect="1" noChangeArrowheads="1"/>
                    </pic:cNvPicPr>
                  </pic:nvPicPr>
                  <pic:blipFill>
                    <a:blip r:embed="rId10"/>
                    <a:stretch>
                      <a:fillRect/>
                    </a:stretch>
                  </pic:blipFill>
                  <pic:spPr bwMode="auto">
                    <a:xfrm>
                      <a:off x="0" y="0"/>
                      <a:ext cx="5676900" cy="3783932"/>
                    </a:xfrm>
                    <a:prstGeom prst="rect">
                      <a:avLst/>
                    </a:prstGeom>
                    <a:noFill/>
                    <a:ln w="9525">
                      <a:noFill/>
                      <a:headEnd/>
                      <a:tailEnd/>
                    </a:ln>
                  </pic:spPr>
                </pic:pic>
              </a:graphicData>
            </a:graphic>
          </wp:inline>
        </w:drawing>
      </w:r>
    </w:p>
    <w:p w14:paraId="268BB087" w14:textId="77777777" w:rsidR="00C95A82" w:rsidRDefault="0088601F">
      <w:pPr>
        <w:pStyle w:val="ImageCaption"/>
      </w:pPr>
      <w:r>
        <w:t>Figure 4 Estimated hazard ratio of AOM between VEC and VNEC stratified by the number of previous visits</w:t>
      </w:r>
    </w:p>
    <w:p w14:paraId="5800040E" w14:textId="77777777" w:rsidR="00C95A82" w:rsidRDefault="0088601F">
      <w:pPr>
        <w:pStyle w:val="BodyText"/>
      </w:pPr>
      <w:r>
        <w:t xml:space="preserve">The mean number of outpatient antimicrobial prescriptions as a function of age was caclulated using the generalized Nelson-Aalen estimate </w:t>
      </w:r>
      <w:r>
        <w:t>on the underlying Andersen-Gill model. By their fourth birthday, the average male child in the VNEC had filled 6.48 antimicrobial prescriptions and the average female had filled 6.07. The average male and female in the VEC had filled 5.84 and 5.46 prescrip</w:t>
      </w:r>
      <w:r>
        <w:t>tions respectively. The mean number of antimicrobial prescriptions by age and gender is shown in Figure 5.</w:t>
      </w:r>
    </w:p>
    <w:p w14:paraId="13A88533" w14:textId="77777777" w:rsidR="00C95A82" w:rsidRDefault="0088601F">
      <w:r>
        <w:rPr>
          <w:noProof/>
          <w:lang w:val="en-GB" w:eastAsia="en-GB"/>
        </w:rPr>
        <w:lastRenderedPageBreak/>
        <w:drawing>
          <wp:inline distT="0" distB="0" distL="0" distR="0" wp14:anchorId="56BCDD95" wp14:editId="268D7240">
            <wp:extent cx="5676900" cy="3783932"/>
            <wp:effectExtent l="0" t="0" r="0" b="0"/>
            <wp:docPr id="5" name="Picture" descr="Figure 5 Mean number of AOM episodes by age in the vaccine eligible and vaccine non-eligible cohorts"/>
            <wp:cNvGraphicFramePr/>
            <a:graphic xmlns:a="http://schemas.openxmlformats.org/drawingml/2006/main">
              <a:graphicData uri="http://schemas.openxmlformats.org/drawingml/2006/picture">
                <pic:pic xmlns:pic="http://schemas.openxmlformats.org/drawingml/2006/picture">
                  <pic:nvPicPr>
                    <pic:cNvPr id="0" name="Picture" descr="_figures/paper_3/2018-11-26-nelsonaalen.png"/>
                    <pic:cNvPicPr>
                      <a:picLocks noChangeAspect="1" noChangeArrowheads="1"/>
                    </pic:cNvPicPr>
                  </pic:nvPicPr>
                  <pic:blipFill>
                    <a:blip r:embed="rId11"/>
                    <a:stretch>
                      <a:fillRect/>
                    </a:stretch>
                  </pic:blipFill>
                  <pic:spPr bwMode="auto">
                    <a:xfrm>
                      <a:off x="0" y="0"/>
                      <a:ext cx="5676900" cy="3783932"/>
                    </a:xfrm>
                    <a:prstGeom prst="rect">
                      <a:avLst/>
                    </a:prstGeom>
                    <a:noFill/>
                    <a:ln w="9525">
                      <a:noFill/>
                      <a:headEnd/>
                      <a:tailEnd/>
                    </a:ln>
                  </pic:spPr>
                </pic:pic>
              </a:graphicData>
            </a:graphic>
          </wp:inline>
        </w:drawing>
      </w:r>
    </w:p>
    <w:p w14:paraId="430AAF86" w14:textId="77777777" w:rsidR="00C95A82" w:rsidRDefault="0088601F" w:rsidP="004B7C79">
      <w:pPr>
        <w:pStyle w:val="ImageCaption"/>
      </w:pPr>
      <w:r>
        <w:t>Figure 5 Mean number of AOM episodes by age in the vaccine eligible and vaccine non-eligible cohorts</w:t>
      </w:r>
      <w:bookmarkStart w:id="1" w:name="paper4results"/>
      <w:bookmarkStart w:id="2" w:name="discussion"/>
      <w:bookmarkStart w:id="3" w:name="_GoBack"/>
      <w:bookmarkEnd w:id="1"/>
      <w:bookmarkEnd w:id="2"/>
      <w:bookmarkEnd w:id="3"/>
    </w:p>
    <w:sectPr w:rsidR="00C95A82" w:rsidSect="00864715">
      <w:type w:val="oddPage"/>
      <w:pgSz w:w="12240" w:h="15840"/>
      <w:pgMar w:top="1474" w:right="1644" w:bottom="1474" w:left="1644" w:header="680" w:footer="510" w:gutter="0"/>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26F825" w14:textId="77777777" w:rsidR="0088601F" w:rsidRDefault="0088601F">
      <w:pPr>
        <w:spacing w:after="0"/>
      </w:pPr>
      <w:r>
        <w:separator/>
      </w:r>
    </w:p>
  </w:endnote>
  <w:endnote w:type="continuationSeparator" w:id="0">
    <w:p w14:paraId="3010695B" w14:textId="77777777" w:rsidR="0088601F" w:rsidRDefault="0088601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639087" w14:textId="77777777" w:rsidR="0088601F" w:rsidRDefault="0088601F">
      <w:r>
        <w:separator/>
      </w:r>
    </w:p>
  </w:footnote>
  <w:footnote w:type="continuationSeparator" w:id="0">
    <w:p w14:paraId="711FBE57" w14:textId="77777777" w:rsidR="0088601F" w:rsidRDefault="0088601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E26044D"/>
    <w:multiLevelType w:val="multilevel"/>
    <w:tmpl w:val="1D5CD34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C8FD36ED"/>
    <w:multiLevelType w:val="multilevel"/>
    <w:tmpl w:val="B14895A0"/>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D3C709DE"/>
    <w:multiLevelType w:val="multilevel"/>
    <w:tmpl w:val="7498883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DC945753"/>
    <w:multiLevelType w:val="multilevel"/>
    <w:tmpl w:val="9C9E044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nsid w:val="E17F69BA"/>
    <w:multiLevelType w:val="multilevel"/>
    <w:tmpl w:val="664E15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E250AA80"/>
    <w:multiLevelType w:val="multilevel"/>
    <w:tmpl w:val="3C02871A"/>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nsid w:val="FFFFFF1D"/>
    <w:multiLevelType w:val="multilevel"/>
    <w:tmpl w:val="D5361D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7">
    <w:nsid w:val="FFFFFF7C"/>
    <w:multiLevelType w:val="singleLevel"/>
    <w:tmpl w:val="BD6C8BD6"/>
    <w:lvl w:ilvl="0">
      <w:start w:val="1"/>
      <w:numFmt w:val="decimal"/>
      <w:lvlText w:val="%1."/>
      <w:lvlJc w:val="left"/>
      <w:pPr>
        <w:tabs>
          <w:tab w:val="num" w:pos="1492"/>
        </w:tabs>
        <w:ind w:left="1492" w:hanging="360"/>
      </w:pPr>
    </w:lvl>
  </w:abstractNum>
  <w:abstractNum w:abstractNumId="8">
    <w:nsid w:val="FFFFFF7D"/>
    <w:multiLevelType w:val="singleLevel"/>
    <w:tmpl w:val="1C5EC8CE"/>
    <w:lvl w:ilvl="0">
      <w:start w:val="1"/>
      <w:numFmt w:val="decimal"/>
      <w:lvlText w:val="%1."/>
      <w:lvlJc w:val="left"/>
      <w:pPr>
        <w:tabs>
          <w:tab w:val="num" w:pos="1209"/>
        </w:tabs>
        <w:ind w:left="1209" w:hanging="360"/>
      </w:pPr>
    </w:lvl>
  </w:abstractNum>
  <w:abstractNum w:abstractNumId="9">
    <w:nsid w:val="FFFFFF7E"/>
    <w:multiLevelType w:val="singleLevel"/>
    <w:tmpl w:val="3FBC6698"/>
    <w:lvl w:ilvl="0">
      <w:start w:val="1"/>
      <w:numFmt w:val="decimal"/>
      <w:lvlText w:val="%1."/>
      <w:lvlJc w:val="left"/>
      <w:pPr>
        <w:tabs>
          <w:tab w:val="num" w:pos="926"/>
        </w:tabs>
        <w:ind w:left="926" w:hanging="360"/>
      </w:pPr>
    </w:lvl>
  </w:abstractNum>
  <w:abstractNum w:abstractNumId="10">
    <w:nsid w:val="FFFFFF7F"/>
    <w:multiLevelType w:val="singleLevel"/>
    <w:tmpl w:val="74FEA27E"/>
    <w:lvl w:ilvl="0">
      <w:start w:val="1"/>
      <w:numFmt w:val="decimal"/>
      <w:lvlText w:val="%1."/>
      <w:lvlJc w:val="left"/>
      <w:pPr>
        <w:tabs>
          <w:tab w:val="num" w:pos="643"/>
        </w:tabs>
        <w:ind w:left="643" w:hanging="360"/>
      </w:pPr>
    </w:lvl>
  </w:abstractNum>
  <w:abstractNum w:abstractNumId="11">
    <w:nsid w:val="FFFFFF80"/>
    <w:multiLevelType w:val="singleLevel"/>
    <w:tmpl w:val="BDCCDB7E"/>
    <w:lvl w:ilvl="0">
      <w:start w:val="1"/>
      <w:numFmt w:val="bullet"/>
      <w:lvlText w:val=""/>
      <w:lvlJc w:val="left"/>
      <w:pPr>
        <w:tabs>
          <w:tab w:val="num" w:pos="1492"/>
        </w:tabs>
        <w:ind w:left="1492" w:hanging="360"/>
      </w:pPr>
      <w:rPr>
        <w:rFonts w:ascii="Symbol" w:hAnsi="Symbol" w:hint="default"/>
      </w:rPr>
    </w:lvl>
  </w:abstractNum>
  <w:abstractNum w:abstractNumId="12">
    <w:nsid w:val="FFFFFF81"/>
    <w:multiLevelType w:val="singleLevel"/>
    <w:tmpl w:val="1BD08098"/>
    <w:lvl w:ilvl="0">
      <w:start w:val="1"/>
      <w:numFmt w:val="bullet"/>
      <w:lvlText w:val=""/>
      <w:lvlJc w:val="left"/>
      <w:pPr>
        <w:tabs>
          <w:tab w:val="num" w:pos="1209"/>
        </w:tabs>
        <w:ind w:left="1209" w:hanging="360"/>
      </w:pPr>
      <w:rPr>
        <w:rFonts w:ascii="Symbol" w:hAnsi="Symbol" w:hint="default"/>
      </w:rPr>
    </w:lvl>
  </w:abstractNum>
  <w:abstractNum w:abstractNumId="13">
    <w:nsid w:val="FFFFFF82"/>
    <w:multiLevelType w:val="singleLevel"/>
    <w:tmpl w:val="DCA0A724"/>
    <w:lvl w:ilvl="0">
      <w:start w:val="1"/>
      <w:numFmt w:val="bullet"/>
      <w:lvlText w:val=""/>
      <w:lvlJc w:val="left"/>
      <w:pPr>
        <w:tabs>
          <w:tab w:val="num" w:pos="926"/>
        </w:tabs>
        <w:ind w:left="926" w:hanging="360"/>
      </w:pPr>
      <w:rPr>
        <w:rFonts w:ascii="Symbol" w:hAnsi="Symbol" w:hint="default"/>
      </w:rPr>
    </w:lvl>
  </w:abstractNum>
  <w:abstractNum w:abstractNumId="14">
    <w:nsid w:val="FFFFFF83"/>
    <w:multiLevelType w:val="singleLevel"/>
    <w:tmpl w:val="7B922538"/>
    <w:lvl w:ilvl="0">
      <w:start w:val="1"/>
      <w:numFmt w:val="bullet"/>
      <w:lvlText w:val=""/>
      <w:lvlJc w:val="left"/>
      <w:pPr>
        <w:tabs>
          <w:tab w:val="num" w:pos="643"/>
        </w:tabs>
        <w:ind w:left="643" w:hanging="360"/>
      </w:pPr>
      <w:rPr>
        <w:rFonts w:ascii="Symbol" w:hAnsi="Symbol" w:hint="default"/>
      </w:rPr>
    </w:lvl>
  </w:abstractNum>
  <w:abstractNum w:abstractNumId="15">
    <w:nsid w:val="FFFFFF88"/>
    <w:multiLevelType w:val="singleLevel"/>
    <w:tmpl w:val="5E405AF4"/>
    <w:lvl w:ilvl="0">
      <w:start w:val="1"/>
      <w:numFmt w:val="decimal"/>
      <w:lvlText w:val="%1."/>
      <w:lvlJc w:val="left"/>
      <w:pPr>
        <w:tabs>
          <w:tab w:val="num" w:pos="360"/>
        </w:tabs>
        <w:ind w:left="360" w:hanging="360"/>
      </w:pPr>
    </w:lvl>
  </w:abstractNum>
  <w:abstractNum w:abstractNumId="16">
    <w:nsid w:val="FFFFFF89"/>
    <w:multiLevelType w:val="singleLevel"/>
    <w:tmpl w:val="20500572"/>
    <w:lvl w:ilvl="0">
      <w:start w:val="1"/>
      <w:numFmt w:val="bullet"/>
      <w:lvlText w:val=""/>
      <w:lvlJc w:val="left"/>
      <w:pPr>
        <w:tabs>
          <w:tab w:val="num" w:pos="360"/>
        </w:tabs>
        <w:ind w:left="360" w:hanging="360"/>
      </w:pPr>
      <w:rPr>
        <w:rFonts w:ascii="Symbol" w:hAnsi="Symbol" w:hint="default"/>
      </w:rPr>
    </w:lvl>
  </w:abstractNum>
  <w:abstractNum w:abstractNumId="17">
    <w:nsid w:val="125C785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2390EEAC"/>
    <w:multiLevelType w:val="multilevel"/>
    <w:tmpl w:val="EBA492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9">
    <w:nsid w:val="2FCE1550"/>
    <w:multiLevelType w:val="multilevel"/>
    <w:tmpl w:val="8D38303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0">
    <w:nsid w:val="32F3DF0E"/>
    <w:multiLevelType w:val="multilevel"/>
    <w:tmpl w:val="EA3A697C"/>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1">
    <w:nsid w:val="33F86A94"/>
    <w:multiLevelType w:val="hybridMultilevel"/>
    <w:tmpl w:val="6A16593E"/>
    <w:lvl w:ilvl="0" w:tplc="0E820976">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46DD9AD"/>
    <w:multiLevelType w:val="multilevel"/>
    <w:tmpl w:val="9F9EE4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3">
    <w:nsid w:val="66AF269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6A6E4A0A"/>
    <w:multiLevelType w:val="multilevel"/>
    <w:tmpl w:val="1F6E41C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nsid w:val="76FC7A2E"/>
    <w:multiLevelType w:val="multilevel"/>
    <w:tmpl w:val="1F6E41C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4"/>
  </w:num>
  <w:num w:numId="2">
    <w:abstractNumId w:val="2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3"/>
  </w:num>
  <w:num w:numId="5">
    <w:abstractNumId w:val="6"/>
  </w:num>
  <w:num w:numId="6">
    <w:abstractNumId w:val="7"/>
  </w:num>
  <w:num w:numId="7">
    <w:abstractNumId w:val="8"/>
  </w:num>
  <w:num w:numId="8">
    <w:abstractNumId w:val="9"/>
  </w:num>
  <w:num w:numId="9">
    <w:abstractNumId w:val="10"/>
  </w:num>
  <w:num w:numId="10">
    <w:abstractNumId w:val="15"/>
  </w:num>
  <w:num w:numId="11">
    <w:abstractNumId w:val="11"/>
  </w:num>
  <w:num w:numId="12">
    <w:abstractNumId w:val="12"/>
  </w:num>
  <w:num w:numId="13">
    <w:abstractNumId w:val="13"/>
  </w:num>
  <w:num w:numId="14">
    <w:abstractNumId w:val="14"/>
  </w:num>
  <w:num w:numId="15">
    <w:abstractNumId w:val="16"/>
  </w:num>
  <w:num w:numId="16">
    <w:abstractNumId w:val="21"/>
  </w:num>
  <w:num w:numId="17">
    <w:abstractNumId w:val="24"/>
  </w:num>
  <w:num w:numId="18">
    <w:abstractNumId w:val="17"/>
  </w:num>
  <w:num w:numId="19">
    <w:abstractNumId w:val="23"/>
  </w:num>
  <w:num w:numId="20">
    <w:abstractNumId w:val="2"/>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19"/>
  </w:num>
  <w:num w:numId="23">
    <w:abstractNumId w:val="25"/>
  </w:num>
  <w:num w:numId="24">
    <w:abstractNumId w:val="18"/>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B7C79"/>
    <w:rsid w:val="004E29B3"/>
    <w:rsid w:val="00590D07"/>
    <w:rsid w:val="00784D58"/>
    <w:rsid w:val="0088601F"/>
    <w:rsid w:val="008D6863"/>
    <w:rsid w:val="00B86B75"/>
    <w:rsid w:val="00BC48D5"/>
    <w:rsid w:val="00C36279"/>
    <w:rsid w:val="00C95A82"/>
    <w:rsid w:val="00E315A3"/>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ECA264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2B750F"/>
    <w:rPr>
      <w:rFonts w:ascii="Arial" w:hAnsi="Arial"/>
      <w:sz w:val="20"/>
    </w:rPr>
  </w:style>
  <w:style w:type="paragraph" w:styleId="Heading1">
    <w:name w:val="heading 1"/>
    <w:basedOn w:val="Normal"/>
    <w:next w:val="FirstParagraph"/>
    <w:uiPriority w:val="9"/>
    <w:qFormat/>
    <w:rsid w:val="00EA6F75"/>
    <w:pPr>
      <w:keepNext/>
      <w:keepLines/>
      <w:numPr>
        <w:numId w:val="17"/>
      </w:numPr>
      <w:spacing w:before="840" w:after="240"/>
      <w:outlineLvl w:val="0"/>
    </w:pPr>
    <w:rPr>
      <w:rFonts w:eastAsiaTheme="majorEastAsia" w:cstheme="majorBidi"/>
      <w:b/>
      <w:bCs/>
      <w:sz w:val="26"/>
      <w:szCs w:val="32"/>
    </w:rPr>
  </w:style>
  <w:style w:type="paragraph" w:styleId="Heading2">
    <w:name w:val="heading 2"/>
    <w:basedOn w:val="Normal"/>
    <w:next w:val="FirstParagraph"/>
    <w:uiPriority w:val="9"/>
    <w:unhideWhenUsed/>
    <w:qFormat/>
    <w:rsid w:val="00EA6F75"/>
    <w:pPr>
      <w:keepNext/>
      <w:keepLines/>
      <w:numPr>
        <w:ilvl w:val="1"/>
        <w:numId w:val="17"/>
      </w:numPr>
      <w:spacing w:before="240" w:after="120"/>
      <w:outlineLvl w:val="1"/>
    </w:pPr>
    <w:rPr>
      <w:rFonts w:eastAsiaTheme="majorEastAsia" w:cstheme="majorBidi"/>
      <w:b/>
      <w:bCs/>
      <w:sz w:val="24"/>
      <w:szCs w:val="32"/>
    </w:rPr>
  </w:style>
  <w:style w:type="paragraph" w:styleId="Heading3">
    <w:name w:val="heading 3"/>
    <w:basedOn w:val="Normal"/>
    <w:next w:val="FirstParagraph"/>
    <w:uiPriority w:val="9"/>
    <w:unhideWhenUsed/>
    <w:qFormat/>
    <w:rsid w:val="00EA6F75"/>
    <w:pPr>
      <w:numPr>
        <w:ilvl w:val="2"/>
        <w:numId w:val="17"/>
      </w:numPr>
      <w:spacing w:before="200" w:after="60"/>
      <w:outlineLvl w:val="2"/>
    </w:pPr>
    <w:rPr>
      <w:rFonts w:eastAsiaTheme="majorEastAsia" w:cstheme="majorBidi"/>
      <w:b/>
      <w:bCs/>
      <w:sz w:val="22"/>
      <w:szCs w:val="28"/>
    </w:rPr>
  </w:style>
  <w:style w:type="paragraph" w:styleId="Heading4">
    <w:name w:val="heading 4"/>
    <w:basedOn w:val="Normal"/>
    <w:next w:val="BodyText"/>
    <w:uiPriority w:val="9"/>
    <w:unhideWhenUsed/>
    <w:qFormat/>
    <w:rsid w:val="00EA6F75"/>
    <w:pPr>
      <w:keepNext/>
      <w:keepLines/>
      <w:numPr>
        <w:ilvl w:val="3"/>
        <w:numId w:val="17"/>
      </w:numPr>
      <w:spacing w:before="200" w:after="60"/>
      <w:outlineLvl w:val="3"/>
    </w:pPr>
    <w:rPr>
      <w:rFonts w:eastAsiaTheme="majorEastAsia" w:cstheme="majorBidi"/>
      <w:b/>
      <w:bCs/>
      <w:i/>
    </w:rPr>
  </w:style>
  <w:style w:type="paragraph" w:styleId="Heading5">
    <w:name w:val="heading 5"/>
    <w:basedOn w:val="Normal"/>
    <w:next w:val="BodyText"/>
    <w:uiPriority w:val="9"/>
    <w:unhideWhenUsed/>
    <w:qFormat/>
    <w:rsid w:val="009E306E"/>
    <w:pPr>
      <w:keepNext/>
      <w:keepLines/>
      <w:numPr>
        <w:ilvl w:val="4"/>
        <w:numId w:val="17"/>
      </w:numPr>
      <w:spacing w:before="200" w:after="0"/>
      <w:outlineLvl w:val="4"/>
    </w:pPr>
    <w:rPr>
      <w:rFonts w:eastAsiaTheme="majorEastAsia" w:cstheme="majorBidi"/>
      <w:b/>
      <w:i/>
      <w:iCs/>
    </w:rPr>
  </w:style>
  <w:style w:type="paragraph" w:styleId="Heading6">
    <w:name w:val="heading 6"/>
    <w:basedOn w:val="Normal"/>
    <w:next w:val="BodyText"/>
    <w:uiPriority w:val="9"/>
    <w:unhideWhenUsed/>
    <w:qFormat/>
    <w:rsid w:val="009E306E"/>
    <w:pPr>
      <w:keepNext/>
      <w:keepLines/>
      <w:numPr>
        <w:ilvl w:val="5"/>
        <w:numId w:val="17"/>
      </w:numPr>
      <w:spacing w:before="200" w:after="0"/>
      <w:outlineLvl w:val="5"/>
    </w:pPr>
    <w:rPr>
      <w:rFonts w:eastAsiaTheme="majorEastAsia" w:cstheme="majorBidi"/>
    </w:rPr>
  </w:style>
  <w:style w:type="paragraph" w:styleId="Heading7">
    <w:name w:val="heading 7"/>
    <w:basedOn w:val="Normal"/>
    <w:next w:val="Normal"/>
    <w:link w:val="Heading7Char"/>
    <w:rsid w:val="00EA6F75"/>
    <w:pPr>
      <w:keepNext/>
      <w:keepLines/>
      <w:numPr>
        <w:ilvl w:val="6"/>
        <w:numId w:val="1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rsid w:val="00EA6F75"/>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rsid w:val="00EA6F75"/>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4546A3"/>
    <w:pPr>
      <w:spacing w:before="120" w:after="60" w:line="280" w:lineRule="exact"/>
      <w:ind w:firstLine="284"/>
      <w:jc w:val="both"/>
    </w:pPr>
  </w:style>
  <w:style w:type="paragraph" w:customStyle="1" w:styleId="FirstParagraph">
    <w:name w:val="First Paragraph"/>
    <w:basedOn w:val="BodyText"/>
    <w:next w:val="BodyText"/>
    <w:qFormat/>
    <w:rsid w:val="004546A3"/>
    <w:pPr>
      <w:ind w:firstLine="0"/>
    </w:pPr>
  </w:style>
  <w:style w:type="paragraph" w:customStyle="1" w:styleId="Compact">
    <w:name w:val="Compact"/>
    <w:basedOn w:val="BodyText"/>
    <w:qFormat/>
    <w:rsid w:val="004546A3"/>
    <w:pPr>
      <w:spacing w:before="36" w:after="36"/>
      <w:ind w:firstLine="0"/>
    </w:pPr>
  </w:style>
  <w:style w:type="paragraph" w:styleId="Title">
    <w:name w:val="Title"/>
    <w:basedOn w:val="Normal"/>
    <w:next w:val="BodyText"/>
    <w:qFormat/>
    <w:rsid w:val="004546A3"/>
    <w:pPr>
      <w:keepNext/>
      <w:keepLines/>
      <w:spacing w:before="3000" w:after="0" w:line="280" w:lineRule="exact"/>
      <w:jc w:val="center"/>
    </w:pPr>
    <w:rPr>
      <w:rFonts w:eastAsiaTheme="majorEastAsia" w:cstheme="majorBidi"/>
      <w:b/>
      <w:bCs/>
      <w:sz w:val="36"/>
      <w:szCs w:val="36"/>
    </w:rPr>
  </w:style>
  <w:style w:type="paragraph" w:styleId="Subtitle">
    <w:name w:val="Subtitle"/>
    <w:basedOn w:val="Title"/>
    <w:next w:val="BodyText"/>
    <w:qFormat/>
    <w:pPr>
      <w:spacing w:before="240" w:after="240"/>
    </w:pPr>
    <w:rPr>
      <w:sz w:val="30"/>
      <w:szCs w:val="30"/>
    </w:rPr>
  </w:style>
  <w:style w:type="paragraph" w:customStyle="1" w:styleId="Author">
    <w:name w:val="Author"/>
    <w:next w:val="BodyText"/>
    <w:qFormat/>
    <w:rsid w:val="004546A3"/>
    <w:pPr>
      <w:keepNext/>
      <w:keepLines/>
      <w:spacing w:after="1320"/>
      <w:jc w:val="center"/>
    </w:pPr>
    <w:rPr>
      <w:rFonts w:ascii="Arial" w:hAnsi="Arial"/>
      <w:b/>
      <w:sz w:val="28"/>
    </w:rPr>
  </w:style>
  <w:style w:type="paragraph" w:styleId="Date">
    <w:name w:val="Date"/>
    <w:next w:val="BodyText"/>
    <w:qFormat/>
    <w:pPr>
      <w:keepNext/>
      <w:keepLines/>
      <w:jc w:val="center"/>
    </w:pPr>
  </w:style>
  <w:style w:type="paragraph" w:customStyle="1" w:styleId="Abstract">
    <w:name w:val="Abstract"/>
    <w:basedOn w:val="Normal"/>
    <w:next w:val="BodyText"/>
    <w:qFormat/>
    <w:rsid w:val="002B750F"/>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4546A3"/>
    <w:pPr>
      <w:spacing w:before="120" w:after="240"/>
    </w:pPr>
    <w:rPr>
      <w:sz w:val="18"/>
    </w:rPr>
  </w:style>
  <w:style w:type="paragraph" w:customStyle="1" w:styleId="TableCaption">
    <w:name w:val="Table Caption"/>
    <w:basedOn w:val="Caption"/>
    <w:rsid w:val="00EA6F75"/>
    <w:pPr>
      <w:jc w:val="both"/>
    </w:pPr>
  </w:style>
  <w:style w:type="paragraph" w:customStyle="1" w:styleId="ImageCaption">
    <w:name w:val="Image Caption"/>
    <w:basedOn w:val="Caption"/>
    <w:rsid w:val="00EA6F75"/>
    <w:pPr>
      <w:jc w:val="both"/>
    </w:pPr>
  </w:style>
  <w:style w:type="paragraph" w:customStyle="1" w:styleId="Figure">
    <w:name w:val="Figure"/>
    <w:basedOn w:val="Normal"/>
  </w:style>
  <w:style w:type="paragraph" w:customStyle="1" w:styleId="FigurewithCaption">
    <w:name w:val="Figure with Caption"/>
    <w:basedOn w:val="Figure"/>
    <w:rsid w:val="004546A3"/>
    <w:pPr>
      <w:keepNext/>
    </w:pPr>
    <w:rPr>
      <w:sz w:val="18"/>
    </w:rPr>
  </w:style>
  <w:style w:type="character" w:customStyle="1" w:styleId="CaptionChar">
    <w:name w:val="Caption Char"/>
    <w:basedOn w:val="DefaultParagraphFont"/>
    <w:link w:val="Caption"/>
    <w:rsid w:val="004546A3"/>
    <w:rPr>
      <w:rFonts w:ascii="Arial" w:hAnsi="Arial"/>
      <w:sz w:val="18"/>
    </w:rPr>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rFonts w:ascii="Arial" w:hAnsi="Arial"/>
      <w:sz w:val="18"/>
      <w:vertAlign w:val="superscript"/>
    </w:rPr>
  </w:style>
  <w:style w:type="character" w:styleId="Hyperlink">
    <w:name w:val="Hyperlink"/>
    <w:uiPriority w:val="99"/>
    <w:rsid w:val="00512FCD"/>
    <w:rPr>
      <w:rFonts w:ascii="Arial" w:hAnsi="Arial"/>
      <w:color w:val="auto"/>
      <w:sz w:val="18"/>
    </w:rPr>
  </w:style>
  <w:style w:type="paragraph" w:styleId="TOCHeading">
    <w:name w:val="TOC Heading"/>
    <w:basedOn w:val="Heading1"/>
    <w:next w:val="BodyText"/>
    <w:uiPriority w:val="39"/>
    <w:unhideWhenUsed/>
    <w:qFormat/>
    <w:rsid w:val="00512FCD"/>
    <w:pPr>
      <w:numPr>
        <w:numId w:val="0"/>
      </w:numPr>
      <w:spacing w:before="240" w:line="259" w:lineRule="auto"/>
      <w:outlineLvl w:val="9"/>
    </w:pPr>
    <w:rPr>
      <w:rFonts w:asciiTheme="majorHAnsi" w:hAnsiTheme="majorHAnsi"/>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4546A3"/>
    <w:rPr>
      <w:rFonts w:ascii="Arial" w:hAnsi="Arial"/>
      <w:sz w:val="20"/>
    </w:rPr>
  </w:style>
  <w:style w:type="character" w:customStyle="1" w:styleId="Heading7Char">
    <w:name w:val="Heading 7 Char"/>
    <w:basedOn w:val="DefaultParagraphFont"/>
    <w:link w:val="Heading7"/>
    <w:rsid w:val="00EA6F75"/>
    <w:rPr>
      <w:rFonts w:asciiTheme="majorHAnsi" w:eastAsiaTheme="majorEastAsia" w:hAnsiTheme="majorHAnsi" w:cstheme="majorBidi"/>
      <w:i/>
      <w:iCs/>
      <w:color w:val="243F60" w:themeColor="accent1" w:themeShade="7F"/>
      <w:sz w:val="20"/>
    </w:rPr>
  </w:style>
  <w:style w:type="character" w:customStyle="1" w:styleId="Heading8Char">
    <w:name w:val="Heading 8 Char"/>
    <w:basedOn w:val="DefaultParagraphFont"/>
    <w:link w:val="Heading8"/>
    <w:semiHidden/>
    <w:rsid w:val="00EA6F7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EA6F75"/>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512FCD"/>
    <w:pPr>
      <w:spacing w:before="100" w:after="0" w:line="312" w:lineRule="auto"/>
    </w:pPr>
    <w:rPr>
      <w:b/>
    </w:rPr>
  </w:style>
  <w:style w:type="paragraph" w:styleId="TOC2">
    <w:name w:val="toc 2"/>
    <w:basedOn w:val="Normal"/>
    <w:next w:val="Normal"/>
    <w:autoRedefine/>
    <w:uiPriority w:val="39"/>
    <w:unhideWhenUsed/>
    <w:rsid w:val="00512FCD"/>
    <w:pPr>
      <w:spacing w:after="0" w:line="288" w:lineRule="auto"/>
      <w:ind w:left="850" w:right="340" w:hanging="425"/>
    </w:pPr>
  </w:style>
  <w:style w:type="paragraph" w:styleId="TOC3">
    <w:name w:val="toc 3"/>
    <w:basedOn w:val="Normal"/>
    <w:next w:val="Normal"/>
    <w:autoRedefine/>
    <w:uiPriority w:val="39"/>
    <w:unhideWhenUsed/>
    <w:rsid w:val="00512FCD"/>
    <w:pPr>
      <w:spacing w:after="0" w:line="288" w:lineRule="auto"/>
      <w:ind w:left="1134" w:right="567" w:hanging="567"/>
    </w:pPr>
  </w:style>
  <w:style w:type="paragraph" w:styleId="TOC4">
    <w:name w:val="toc 4"/>
    <w:basedOn w:val="Normal"/>
    <w:next w:val="Normal"/>
    <w:autoRedefine/>
    <w:uiPriority w:val="39"/>
    <w:unhideWhenUsed/>
    <w:rsid w:val="00512FCD"/>
    <w:pPr>
      <w:spacing w:before="120" w:after="0" w:line="288" w:lineRule="auto"/>
      <w:ind w:left="2269" w:right="567" w:hanging="141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1041</Words>
  <Characters>5934</Characters>
  <Application>Microsoft Macintosh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PhD thesis</vt:lpstr>
    </vt:vector>
  </TitlesOfParts>
  <LinksUpToDate>false</LinksUpToDate>
  <CharactersWithSpaces>6962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PhD thesis</dc:title>
  <dc:creator>Elías Sæbjörn Eyþórsson</dc:creator>
  <cp:lastModifiedBy>Elías Sæbjörn Eyþórsson</cp:lastModifiedBy>
  <cp:revision>2</cp:revision>
  <dcterms:created xsi:type="dcterms:W3CDTF">2018-11-28T14:38:00Z</dcterms:created>
  <dcterms:modified xsi:type="dcterms:W3CDTF">2018-11-28T14:39:00Z</dcterms:modified>
</cp:coreProperties>
</file>