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70.png" ContentType="image/png"/>
  <Override PartName="/word/media/rId69.png" ContentType="image/png"/>
  <Override PartName="/word/media/rId71.png" ContentType="image/png"/>
  <Override PartName="/word/media/image2.png" ContentType="image/png"/>
  <Override PartName="/word/media/image1.jpeg" ContentType="image/jpe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PhD</w:t>
      </w:r>
      <w:r>
        <w:t xml:space="preserve"> </w:t>
      </w:r>
      <w:r>
        <w:t xml:space="preserve">thesis</w:t>
      </w:r>
    </w:p>
    <w:p>
      <w:pPr>
        <w:pStyle w:val="Author"/>
      </w:pPr>
      <w:r>
        <w:t xml:space="preserve">Elías</w:t>
      </w:r>
      <w:r>
        <w:t xml:space="preserve"> </w:t>
      </w:r>
      <w:r>
        <w:t xml:space="preserve">Sæbjörn</w:t>
      </w:r>
      <w:r>
        <w:t xml:space="preserve"> </w:t>
      </w:r>
      <w:r>
        <w:t xml:space="preserve">Eyþórsson</w:t>
      </w:r>
    </w:p>
    <w:p>
      <w:pPr>
        <w:pStyle w:val="Date"/>
      </w:pPr>
      <w:r>
        <w:t xml:space="preserve">2018-12-27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1"/>
      </w:pPr>
      <w:bookmarkStart w:id="21" w:name="preamble"/>
      <w:bookmarkEnd w:id="21"/>
      <w:r>
        <w:t xml:space="preserve">Preamble</w:t>
      </w:r>
    </w:p>
    <w:p>
      <w:pPr>
        <w:pStyle w:val="FirstParagraph"/>
      </w:pPr>
      <w:r>
        <w:t xml:space="preserve">Placeholder</w:t>
      </w:r>
    </w:p>
    <w:p>
      <w:pPr>
        <w:pStyle w:val="Heading1"/>
      </w:pPr>
      <w:bookmarkStart w:id="22" w:name="intro"/>
      <w:bookmarkEnd w:id="22"/>
      <w:r>
        <w:t xml:space="preserve">Introduction</w:t>
      </w:r>
    </w:p>
    <w:p>
      <w:pPr>
        <w:pStyle w:val="FirstParagraph"/>
      </w:pPr>
      <w:r>
        <w:t xml:space="preserve">Placeholder</w:t>
      </w:r>
    </w:p>
    <w:p>
      <w:pPr>
        <w:pStyle w:val="Heading2"/>
      </w:pPr>
      <w:bookmarkStart w:id="23" w:name="clinical-manifestations-of-streptococcus-pneumoniae"/>
      <w:bookmarkEnd w:id="23"/>
      <w:r>
        <w:t xml:space="preserve">Clinical manifestations of</w:t>
      </w:r>
      <w:r>
        <w:t xml:space="preserve"> </w:t>
      </w:r>
      <w:r>
        <w:rPr>
          <w:i/>
        </w:rPr>
        <w:t xml:space="preserve">Streptococcus pneumoniae</w:t>
      </w:r>
    </w:p>
    <w:p>
      <w:pPr>
        <w:pStyle w:val="Heading3"/>
      </w:pPr>
      <w:bookmarkStart w:id="24" w:name="acuteotitismediaintroduction"/>
      <w:bookmarkEnd w:id="24"/>
      <w:r>
        <w:t xml:space="preserve">Acute otitis media</w:t>
      </w:r>
    </w:p>
    <w:p>
      <w:pPr>
        <w:pStyle w:val="Heading4"/>
      </w:pPr>
      <w:bookmarkStart w:id="25" w:name="pathogens-implicated-in-acute-otitis-media"/>
      <w:bookmarkEnd w:id="25"/>
      <w:r>
        <w:t xml:space="preserve">Pathogens implicated in acute otitis media</w:t>
      </w:r>
    </w:p>
    <w:p>
      <w:pPr>
        <w:pStyle w:val="Heading4"/>
      </w:pPr>
      <w:bookmarkStart w:id="26" w:name="healthcare-burden-of-otitis-media"/>
      <w:bookmarkEnd w:id="26"/>
      <w:r>
        <w:t xml:space="preserve">Healthcare burden of otitis media</w:t>
      </w:r>
    </w:p>
    <w:p>
      <w:pPr>
        <w:pStyle w:val="Heading4"/>
      </w:pPr>
      <w:bookmarkStart w:id="27" w:name="tympanostomy-tube-procedures"/>
      <w:bookmarkEnd w:id="27"/>
      <w:r>
        <w:t xml:space="preserve">Tympanostomy tube procedures</w:t>
      </w:r>
    </w:p>
    <w:p>
      <w:pPr>
        <w:pStyle w:val="Heading4"/>
      </w:pPr>
      <w:bookmarkStart w:id="28" w:name="acute-otitis-media-in-iceland"/>
      <w:bookmarkEnd w:id="28"/>
      <w:r>
        <w:t xml:space="preserve">Acute otitis media in Iceland</w:t>
      </w:r>
    </w:p>
    <w:p>
      <w:pPr>
        <w:pStyle w:val="Heading3"/>
      </w:pPr>
      <w:bookmarkStart w:id="29" w:name="pneumonia"/>
      <w:bookmarkEnd w:id="29"/>
      <w:r>
        <w:t xml:space="preserve">Pneumonia</w:t>
      </w:r>
    </w:p>
    <w:p>
      <w:pPr>
        <w:pStyle w:val="Heading4"/>
      </w:pPr>
      <w:bookmarkStart w:id="30" w:name="pathogens-causing-pneumonia"/>
      <w:bookmarkEnd w:id="30"/>
      <w:r>
        <w:t xml:space="preserve">Pathogens causing pneumonia</w:t>
      </w:r>
    </w:p>
    <w:p>
      <w:pPr>
        <w:pStyle w:val="Heading4"/>
      </w:pPr>
      <w:bookmarkStart w:id="31" w:name="healthcare-burden-of-pneumonia"/>
      <w:bookmarkEnd w:id="31"/>
      <w:r>
        <w:t xml:space="preserve">Healthcare burden of pneumonia</w:t>
      </w:r>
    </w:p>
    <w:p>
      <w:pPr>
        <w:pStyle w:val="Heading3"/>
      </w:pPr>
      <w:bookmarkStart w:id="32" w:name="invasive-pneumococcal-disease"/>
      <w:bookmarkEnd w:id="32"/>
      <w:r>
        <w:t xml:space="preserve">Invasive pneumococcal disease</w:t>
      </w:r>
    </w:p>
    <w:p>
      <w:pPr>
        <w:pStyle w:val="Heading2"/>
      </w:pPr>
      <w:bookmarkStart w:id="33" w:name="pneumococcal-vaccines"/>
      <w:bookmarkEnd w:id="33"/>
      <w:r>
        <w:t xml:space="preserve">Pneumococcal vaccines</w:t>
      </w:r>
    </w:p>
    <w:p>
      <w:pPr>
        <w:pStyle w:val="Heading3"/>
      </w:pPr>
      <w:bookmarkStart w:id="34" w:name="a-brief-history-of-pneumococcal-vaccination"/>
      <w:bookmarkEnd w:id="34"/>
      <w:r>
        <w:t xml:space="preserve">A brief history of pneumococcal vaccination</w:t>
      </w:r>
    </w:p>
    <w:p>
      <w:pPr>
        <w:pStyle w:val="Heading3"/>
      </w:pPr>
      <w:bookmarkStart w:id="35" w:name="the-impact-of-pneumococcal-conjugate-vaccines-on-otitis-media"/>
      <w:bookmarkEnd w:id="35"/>
      <w:r>
        <w:t xml:space="preserve">The impact of pneumococcal conjugate vaccines on otitis media</w:t>
      </w:r>
    </w:p>
    <w:p>
      <w:pPr>
        <w:pStyle w:val="Heading4"/>
      </w:pPr>
      <w:bookmarkStart w:id="36" w:name="intro-aom-rct"/>
      <w:bookmarkEnd w:id="36"/>
      <w:r>
        <w:t xml:space="preserve">Randomized controlled trials evaluting the efficacy of pneumococcal conjugate vaccines for otitis media</w:t>
      </w:r>
    </w:p>
    <w:p>
      <w:pPr>
        <w:pStyle w:val="Heading4"/>
      </w:pPr>
      <w:bookmarkStart w:id="37" w:name="observational-studies-evaluting-the-impact-of-pneumococcal-conjugate-vaccines-for-otitis-media."/>
      <w:bookmarkEnd w:id="37"/>
      <w:r>
        <w:t xml:space="preserve">Observational studies evaluting the impact of pneumococcal conjugate vaccines for otitis media.</w:t>
      </w:r>
    </w:p>
    <w:p>
      <w:pPr>
        <w:pStyle w:val="Heading3"/>
      </w:pPr>
      <w:bookmarkStart w:id="38" w:name="intro-pneumonia-impact"/>
      <w:bookmarkEnd w:id="38"/>
      <w:r>
        <w:t xml:space="preserve">The impact of pneumococcal conjugate vaccines on pneumonia</w:t>
      </w:r>
    </w:p>
    <w:p>
      <w:pPr>
        <w:pStyle w:val="Heading3"/>
      </w:pPr>
      <w:bookmarkStart w:id="39" w:name="intro-ipd-impact"/>
      <w:bookmarkEnd w:id="39"/>
      <w:r>
        <w:t xml:space="preserve">The impact of pneumococcal conjugate vaccines on invasive pneumococcal disease</w:t>
      </w:r>
    </w:p>
    <w:p>
      <w:pPr>
        <w:pStyle w:val="Heading2"/>
      </w:pPr>
      <w:bookmarkStart w:id="40" w:name="cea-introduction"/>
      <w:bookmarkEnd w:id="40"/>
      <w:r>
        <w:t xml:space="preserve">Cost-effectiveness in the context of pneumococcal conjugate vaccination</w:t>
      </w:r>
    </w:p>
    <w:p>
      <w:pPr>
        <w:pStyle w:val="Heading3"/>
      </w:pPr>
      <w:bookmarkStart w:id="41" w:name="vaccine-efficacy-assumptions-in-economic-analyses-of-pneumococcal-conjugate-vaccines"/>
      <w:bookmarkEnd w:id="41"/>
      <w:r>
        <w:t xml:space="preserve">Vaccine efficacy assumptions in economic analyses of pneumococcal conjugate vaccines</w:t>
      </w:r>
    </w:p>
    <w:p>
      <w:pPr>
        <w:pStyle w:val="Heading3"/>
      </w:pPr>
      <w:bookmarkStart w:id="42" w:name="assumptions-regarding-costs-and-utilities-in-economic-analyses-of-pneumococcal-vaccines"/>
      <w:bookmarkEnd w:id="42"/>
      <w:r>
        <w:t xml:space="preserve">Assumptions regarding costs and utilities in economic analyses of pneumococcal vaccines</w:t>
      </w:r>
    </w:p>
    <w:p>
      <w:pPr>
        <w:pStyle w:val="Heading1"/>
      </w:pPr>
      <w:bookmarkStart w:id="43" w:name="aims"/>
      <w:bookmarkEnd w:id="43"/>
      <w:r>
        <w:t xml:space="preserve">Aims</w:t>
      </w:r>
    </w:p>
    <w:p>
      <w:pPr>
        <w:pStyle w:val="FirstParagraph"/>
      </w:pPr>
      <w:r>
        <w:t xml:space="preserve">The aims of the thesis were to estimate the impact of PHiD-CV10 on various facets of pneumococcal disease, associated healthcare burden, and cost:</w:t>
      </w:r>
    </w:p>
    <w:p>
      <w:pPr>
        <w:pStyle w:val="Compact"/>
        <w:numPr>
          <w:numId w:val="1001"/>
          <w:ilvl w:val="0"/>
        </w:numPr>
      </w:pPr>
      <w:r>
        <w:t xml:space="preserve">The incidence of paediatric emergency department visits for otitis media with treatment failure (Paper I)</w:t>
      </w:r>
    </w:p>
    <w:p>
      <w:pPr>
        <w:pStyle w:val="Compact"/>
        <w:numPr>
          <w:numId w:val="1001"/>
          <w:ilvl w:val="0"/>
        </w:numPr>
      </w:pPr>
      <w:r>
        <w:t xml:space="preserve">The incidence of otitis media visits to primary care (Paper II)</w:t>
      </w:r>
    </w:p>
    <w:p>
      <w:pPr>
        <w:pStyle w:val="Compact"/>
        <w:numPr>
          <w:numId w:val="1001"/>
          <w:ilvl w:val="0"/>
        </w:numPr>
      </w:pPr>
      <w:r>
        <w:t xml:space="preserve">The incidence of outpatient antimicrobial prescriptions (Paper III)</w:t>
      </w:r>
    </w:p>
    <w:p>
      <w:pPr>
        <w:pStyle w:val="Compact"/>
        <w:numPr>
          <w:numId w:val="1001"/>
          <w:ilvl w:val="0"/>
        </w:numPr>
      </w:pPr>
      <w:r>
        <w:t xml:space="preserve">The incidence of tymapnostomy tube procedures (Paper IV)</w:t>
      </w:r>
    </w:p>
    <w:p>
      <w:pPr>
        <w:pStyle w:val="Compact"/>
        <w:numPr>
          <w:numId w:val="1001"/>
          <w:ilvl w:val="0"/>
        </w:numPr>
      </w:pPr>
      <w:r>
        <w:t xml:space="preserve">The incidence of hospitalizations for respiratory and invasive infections commonly associated with</w:t>
      </w:r>
      <w:r>
        <w:t xml:space="preserve"> </w:t>
      </w:r>
      <w:r>
        <w:rPr>
          <w:i/>
        </w:rPr>
        <w:t xml:space="preserve">Streptococcus pneumoniae</w:t>
      </w:r>
      <w:r>
        <w:t xml:space="preserve"> </w:t>
      </w:r>
      <w:r>
        <w:t xml:space="preserve">(Paper V)</w:t>
      </w:r>
    </w:p>
    <w:p>
      <w:pPr>
        <w:pStyle w:val="Compact"/>
        <w:numPr>
          <w:numId w:val="1001"/>
          <w:ilvl w:val="0"/>
        </w:numPr>
      </w:pPr>
      <w:r>
        <w:t xml:space="preserve">Incidence of pneumococcal disease in all age-groups and cost-effectiveness analysis (Paper VI)</w:t>
      </w:r>
    </w:p>
    <w:p>
      <w:pPr>
        <w:pStyle w:val="Heading1"/>
      </w:pPr>
      <w:bookmarkStart w:id="44" w:name="methods"/>
      <w:bookmarkEnd w:id="44"/>
      <w:r>
        <w:t xml:space="preserve">Materials and methods</w:t>
      </w:r>
    </w:p>
    <w:p>
      <w:pPr>
        <w:pStyle w:val="FirstParagraph"/>
      </w:pPr>
      <w:r>
        <w:t xml:space="preserve">Placeholder</w:t>
      </w:r>
    </w:p>
    <w:p>
      <w:pPr>
        <w:pStyle w:val="Heading2"/>
      </w:pPr>
      <w:bookmarkStart w:id="45" w:name="datasources"/>
      <w:bookmarkEnd w:id="45"/>
      <w:r>
        <w:t xml:space="preserve">Data collection and sources</w:t>
      </w:r>
    </w:p>
    <w:p>
      <w:pPr>
        <w:pStyle w:val="Heading3"/>
      </w:pPr>
      <w:bookmarkStart w:id="46" w:name="statisticsiceland"/>
      <w:bookmarkEnd w:id="46"/>
      <w:r>
        <w:t xml:space="preserve">Statistics Iceland</w:t>
      </w:r>
    </w:p>
    <w:p>
      <w:pPr>
        <w:pStyle w:val="Heading3"/>
      </w:pPr>
      <w:bookmarkStart w:id="47" w:name="patientregistry"/>
      <w:bookmarkEnd w:id="47"/>
      <w:r>
        <w:t xml:space="preserve">Landspitali University Hospital patient registry</w:t>
      </w:r>
    </w:p>
    <w:p>
      <w:pPr>
        <w:pStyle w:val="Heading3"/>
      </w:pPr>
      <w:bookmarkStart w:id="48" w:name="primarycareregistry"/>
      <w:bookmarkEnd w:id="48"/>
      <w:r>
        <w:t xml:space="preserve">The Primary Care Registry</w:t>
      </w:r>
    </w:p>
    <w:p>
      <w:pPr>
        <w:pStyle w:val="Heading3"/>
      </w:pPr>
      <w:bookmarkStart w:id="49" w:name="vaccineregistry"/>
      <w:bookmarkEnd w:id="49"/>
      <w:r>
        <w:t xml:space="preserve">The National Vaccine Registry</w:t>
      </w:r>
    </w:p>
    <w:p>
      <w:pPr>
        <w:pStyle w:val="Heading3"/>
      </w:pPr>
      <w:bookmarkStart w:id="50" w:name="prescriptionregistry"/>
      <w:bookmarkEnd w:id="50"/>
      <w:r>
        <w:t xml:space="preserve">The National Drug Prescription Registry</w:t>
      </w:r>
    </w:p>
    <w:p>
      <w:pPr>
        <w:pStyle w:val="Heading3"/>
      </w:pPr>
      <w:bookmarkStart w:id="51" w:name="reimbursementdatabase"/>
      <w:bookmarkEnd w:id="51"/>
      <w:r>
        <w:t xml:space="preserve">Reimbursement database of Icelandic Health Insurance</w:t>
      </w:r>
    </w:p>
    <w:p>
      <w:pPr>
        <w:pStyle w:val="Heading2"/>
      </w:pPr>
      <w:bookmarkStart w:id="52" w:name="paper1"/>
      <w:bookmarkEnd w:id="52"/>
      <w:r>
        <w:t xml:space="preserve">Impact on otitis media with treatment failure (Paper I)</w:t>
      </w:r>
    </w:p>
    <w:p>
      <w:pPr>
        <w:pStyle w:val="Heading2"/>
      </w:pPr>
      <w:bookmarkStart w:id="53" w:name="paper2"/>
      <w:bookmarkEnd w:id="53"/>
      <w:r>
        <w:t xml:space="preserve">Impact on primary care visits for acute otitis media (Paper II)</w:t>
      </w:r>
    </w:p>
    <w:p>
      <w:pPr>
        <w:pStyle w:val="Heading2"/>
      </w:pPr>
      <w:bookmarkStart w:id="54" w:name="paper3"/>
      <w:bookmarkEnd w:id="54"/>
      <w:r>
        <w:t xml:space="preserve">Impact on outpatient antimicrobial prescriptions (Paper III)</w:t>
      </w:r>
    </w:p>
    <w:p>
      <w:pPr>
        <w:pStyle w:val="Heading2"/>
      </w:pPr>
      <w:bookmarkStart w:id="55" w:name="paper4"/>
      <w:bookmarkEnd w:id="55"/>
      <w:r>
        <w:t xml:space="preserve">Impact on tympanostomy tube procedures (Paper IV)</w:t>
      </w:r>
    </w:p>
    <w:p>
      <w:pPr>
        <w:pStyle w:val="Heading2"/>
      </w:pPr>
      <w:bookmarkStart w:id="56" w:name="paper5"/>
      <w:bookmarkEnd w:id="56"/>
      <w:r>
        <w:t xml:space="preserve">Impact on respiratory associated hospitalizations (Paper V)</w:t>
      </w:r>
    </w:p>
    <w:p>
      <w:pPr>
        <w:pStyle w:val="Heading2"/>
      </w:pPr>
      <w:bookmarkStart w:id="57" w:name="paper6"/>
      <w:bookmarkEnd w:id="57"/>
      <w:r>
        <w:t xml:space="preserve">Impact and cost-effectiveness analysis (Paper VI)</w:t>
      </w:r>
    </w:p>
    <w:p>
      <w:pPr>
        <w:pStyle w:val="Heading3"/>
      </w:pPr>
      <w:bookmarkStart w:id="58" w:name="data-sources"/>
      <w:bookmarkEnd w:id="58"/>
      <w:r>
        <w:t xml:space="preserve">Data sources</w:t>
      </w:r>
    </w:p>
    <w:p>
      <w:pPr>
        <w:pStyle w:val="Heading3"/>
      </w:pPr>
      <w:bookmarkStart w:id="59" w:name="statistical-analysis"/>
      <w:bookmarkEnd w:id="59"/>
      <w:r>
        <w:t xml:space="preserve">Statistical analysis</w:t>
      </w:r>
    </w:p>
    <w:p>
      <w:pPr>
        <w:pStyle w:val="Heading1"/>
      </w:pPr>
      <w:bookmarkStart w:id="60" w:name="results"/>
      <w:bookmarkEnd w:id="60"/>
      <w:r>
        <w:t xml:space="preserve">Results</w:t>
      </w:r>
    </w:p>
    <w:p>
      <w:pPr>
        <w:pStyle w:val="FirstParagraph"/>
      </w:pPr>
      <w:r>
        <w:t xml:space="preserve">Placeholder</w:t>
      </w:r>
    </w:p>
    <w:p>
      <w:pPr>
        <w:pStyle w:val="Heading2"/>
      </w:pPr>
      <w:bookmarkStart w:id="61" w:name="datasourcesresults"/>
      <w:bookmarkEnd w:id="61"/>
      <w:r>
        <w:t xml:space="preserve">Data collection and sources</w:t>
      </w:r>
    </w:p>
    <w:p>
      <w:pPr>
        <w:pStyle w:val="Heading3"/>
      </w:pPr>
      <w:bookmarkStart w:id="62" w:name="statistics-iceland"/>
      <w:bookmarkEnd w:id="62"/>
      <w:r>
        <w:t xml:space="preserve">Statistics Iceland</w:t>
      </w:r>
    </w:p>
    <w:p>
      <w:pPr>
        <w:pStyle w:val="Heading3"/>
      </w:pPr>
      <w:bookmarkStart w:id="63" w:name="landspitali-university-hospital-patient-registry"/>
      <w:bookmarkEnd w:id="63"/>
      <w:r>
        <w:t xml:space="preserve">Landspitali University Hospital patient registry</w:t>
      </w:r>
    </w:p>
    <w:p>
      <w:pPr>
        <w:pStyle w:val="Heading3"/>
      </w:pPr>
      <w:bookmarkStart w:id="64" w:name="the-primary-care-registry"/>
      <w:bookmarkEnd w:id="64"/>
      <w:r>
        <w:t xml:space="preserve">The Primary Care Registry</w:t>
      </w:r>
    </w:p>
    <w:p>
      <w:pPr>
        <w:pStyle w:val="Heading3"/>
      </w:pPr>
      <w:bookmarkStart w:id="65" w:name="the-national-vaccine-registry"/>
      <w:bookmarkEnd w:id="65"/>
      <w:r>
        <w:t xml:space="preserve">The National Vaccine Registry</w:t>
      </w:r>
    </w:p>
    <w:p>
      <w:pPr>
        <w:pStyle w:val="Heading3"/>
      </w:pPr>
      <w:bookmarkStart w:id="66" w:name="the-national-drug-prescription-registry"/>
      <w:bookmarkEnd w:id="66"/>
      <w:r>
        <w:t xml:space="preserve">The National Drug Prescription Registry</w:t>
      </w:r>
    </w:p>
    <w:p>
      <w:pPr>
        <w:pStyle w:val="Heading3"/>
      </w:pPr>
      <w:bookmarkStart w:id="67" w:name="reimbursement-database-of-icelandic-health-insurance"/>
      <w:bookmarkEnd w:id="67"/>
      <w:r>
        <w:t xml:space="preserve">Reimbursement database of Icelandic Health Insurance</w:t>
      </w:r>
    </w:p>
    <w:p>
      <w:pPr>
        <w:pStyle w:val="Heading2"/>
      </w:pPr>
      <w:bookmarkStart w:id="68" w:name="paper1results"/>
      <w:bookmarkEnd w:id="68"/>
      <w:r>
        <w:t xml:space="preserve">Impact on otitis media with treatment failure (Paper I)</w:t>
      </w:r>
    </w:p>
    <w:p>
      <w:pPr>
        <w:pStyle w:val="FirstParagraph"/>
      </w:pPr>
      <w:r>
        <w:t xml:space="preserve">The total number of children under 18 years of age who lived within Children’s Hospital Iceland’s referral region remained stable during the study period, decreasing from 62,067 in 2008 to 61,798 in 2015.</w:t>
      </w:r>
      <w:r>
        <w:t xml:space="preserve"> </w:t>
      </w:r>
      <w:r>
        <w:t xml:space="preserve">The variation in the number of children under four years of age in the same region was more pronounced, increasing from 13,562 in 2008 to 14,644 in 2011, and then decreasing again to 13,272 in 2015.</w:t>
      </w:r>
    </w:p>
    <w:p>
      <w:pPr>
        <w:pStyle w:val="BodyText"/>
      </w:pPr>
      <w:r>
        <w:t xml:space="preserve">During the period 1 January 2008 to 31 December 2015, 103,220 visits were recorded to the emergency department of Children’s Hospital Iceland.</w:t>
      </w:r>
      <w:r>
        <w:t xml:space="preserve"> </w:t>
      </w:r>
      <w:r>
        <w:t xml:space="preserve">The visits varied over the calendar year, spiking in the winter months and troughing in the summer months.</w:t>
      </w:r>
      <w:r>
        <w:t xml:space="preserve"> </w:t>
      </w:r>
      <w:r>
        <w:t xml:space="preserve">The total number of visits increased steadily during the study period, from 12,229 in 2008 to 14,502 in 2015 (Figure</w:t>
      </w:r>
      <w:r>
        <w:t xml:space="preserve"> </w:t>
      </w:r>
      <w:r>
        <w:t xml:space="preserve">1</w:t>
      </w:r>
      <w:r>
        <w:t xml:space="preserve">).</w:t>
      </w:r>
    </w:p>
    <w:p>
      <w:pPr>
        <w:pStyle w:val="FigureWithCaption"/>
      </w:pPr>
      <w:r>
        <w:drawing>
          <wp:inline>
            <wp:extent cx="4356100" cy="2903554"/>
            <wp:effectExtent b="0" l="0" r="0" t="0"/>
            <wp:docPr descr="Figure 1 The monthly number of visits of children zero to 18 years of age to Children’s Hospital Iceland’s emergency department for the period from January 2002 to December 2016. All visits are included regardless of International Classification of Diseases, 10th revision (ICD-10) diagnostic codes. The study period was from January 2008 to December 2015, and is delineated with two vertical dashed lines." title="" id="1" name="Picture"/>
            <a:graphic>
              <a:graphicData uri="http://schemas.openxmlformats.org/drawingml/2006/picture">
                <pic:pic>
                  <pic:nvPicPr>
                    <pic:cNvPr descr="_figures/paper_I/2018-11-03-monthly-visits.png" id="0" name="Picture"/>
                    <pic:cNvPicPr>
                      <a:picLocks noChangeArrowheads="1" noChangeAspect="1"/>
                    </pic:cNvPicPr>
                  </pic:nvPicPr>
                  <pic:blipFill>
                    <a:blip r:embed="rId69"/>
                    <a:stretch>
                      <a:fillRect/>
                    </a:stretch>
                  </pic:blipFill>
                  <pic:spPr bwMode="auto">
                    <a:xfrm>
                      <a:off x="0" y="0"/>
                      <a:ext cx="4356100" cy="2903554"/>
                    </a:xfrm>
                    <a:prstGeom prst="rect">
                      <a:avLst/>
                    </a:prstGeom>
                    <a:noFill/>
                    <a:ln w="9525">
                      <a:noFill/>
                      <a:headEnd/>
                      <a:tailEnd/>
                    </a:ln>
                  </pic:spPr>
                </pic:pic>
              </a:graphicData>
            </a:graphic>
          </wp:inline>
        </w:drawing>
      </w:r>
    </w:p>
    <w:p>
      <w:pPr>
        <w:pStyle w:val="ImageCaption"/>
      </w:pPr>
      <w:r>
        <w:t xml:space="preserve">Figure 1 The monthly number of visits of children zero to 18 years of age to Children’s Hospital Iceland’s emergency department for the period from January 2002 to December 2016. All visits are included regardless of International Classification of Diseases, 10th revision (ICD-10) diagnostic codes. The study period was from January 2008 to December 2015, and is delineated with two vertical dashed lines.</w:t>
      </w:r>
    </w:p>
    <w:p>
      <w:pPr>
        <w:pStyle w:val="BodyText"/>
      </w:pPr>
      <w:r>
        <w:t xml:space="preserve">During the same period, 6,232 visits to the Children’s Hospital Iceland for acute otitis media were recorded for 4,624 individual children under four years of age, representing 4,994 distinct episodes.</w:t>
      </w:r>
      <w:r>
        <w:t xml:space="preserve"> </w:t>
      </w:r>
      <w:r>
        <w:t xml:space="preserve">Of those episodes, 531 were treated with one or more doses of ceftriaxone.</w:t>
      </w:r>
      <w:r>
        <w:t xml:space="preserve"> </w:t>
      </w:r>
      <w:r>
        <w:t xml:space="preserve">The total number of visits, visits for AOM and ceftriaxone treatment episodes are shown in Table</w:t>
      </w:r>
      <w:r>
        <w:t xml:space="preserve"> </w:t>
      </w:r>
      <w:r>
        <w:t xml:space="preserve">1</w:t>
      </w:r>
      <w:r>
        <w:t xml:space="preserve">,</w:t>
      </w:r>
    </w:p>
    <w:p>
      <w:pPr>
        <w:pStyle w:val="TableCaption"/>
      </w:pPr>
      <w:r>
        <w:t xml:space="preserve">Table 1 The incidence of visits and parenteral ceftriaxone administrations at Children’s Hospital Iceland by calendar-year. The incidence is both presented for all visits regardless of diagnosis (Total) and visits associated with acute otitis media (AOM). When presented for total visits or administrations, the denominator is children 18 and younger who live within Children’s Hospital Iceland’s referral region and is expressed per 1,000 visits or person-years. The denominator of AOM associated visits are children younger than four years of age in the same region. The incidence rate and incidence risk are shown with the number of events within parentheses</w:t>
      </w:r>
    </w:p>
    <w:tbl>
      <w:tblPr>
        <w:tblStyle w:val="TableNormal"/>
        <w:tblW w:type="pct" w:w="0.0"/>
        <w:tblLook w:firstRow="1"/>
        <w:tblCaption w:val="Table 1 The incidence of visits and parenteral ceftriaxone administrations at Children’s Hospital Iceland by calendar-year. The incidence is both presented for all visits regardless of diagnosis (Total) and visits associated with acute otitis media (AOM). When presented for total visits or administrations, the denominator is children 18 and younger who live within Children’s Hospital Iceland’s referral region and is expressed per 1,000 visits or person-years. The denominator of AOM associated visits are children younger than four years of age in the same region. The incidence rate and incidence risk are shown with the number of events within parentheses"/>
      </w:tblPr>
      <w:tblGrid/>
      <w:tr>
        <w:trPr>
          <w:cnfStyle w:firstRow="1"/>
        </w:trPr>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Total (n)</w:t>
            </w:r>
          </w:p>
        </w:tc>
        <w:tc>
          <w:tcPr>
            <w:tcBorders>
              <w:bottom w:val="single"/>
            </w:tcBorders>
            <w:vAlign w:val="bottom"/>
          </w:tcPr>
          <w:p>
            <w:pPr>
              <w:pStyle w:val="Compact"/>
              <w:jc w:val="left"/>
            </w:pPr>
            <w:r>
              <w:t xml:space="preserve">AOM (n)</w:t>
            </w:r>
          </w:p>
        </w:tc>
        <w:tc>
          <w:tcPr>
            <w:tcBorders>
              <w:bottom w:val="single"/>
            </w:tcBorders>
            <w:vAlign w:val="bottom"/>
          </w:tcPr>
          <w:p>
            <w:pPr>
              <w:pStyle w:val="Compact"/>
              <w:jc w:val="left"/>
            </w:pPr>
            <w:r>
              <w:t xml:space="preserve">Total (n)</w:t>
            </w:r>
          </w:p>
        </w:tc>
        <w:tc>
          <w:tcPr>
            <w:tcBorders>
              <w:bottom w:val="single"/>
            </w:tcBorders>
            <w:vAlign w:val="bottom"/>
          </w:tcPr>
          <w:p>
            <w:pPr>
              <w:pStyle w:val="Compact"/>
              <w:jc w:val="left"/>
            </w:pPr>
            <w:r>
              <w:t xml:space="preserve">AOM (n)</w:t>
            </w:r>
          </w:p>
        </w:tc>
        <w:tc>
          <w:tcPr>
            <w:tcBorders>
              <w:bottom w:val="single"/>
            </w:tcBorders>
            <w:vAlign w:val="bottom"/>
          </w:tcPr>
          <w:p>
            <w:pPr>
              <w:pStyle w:val="Compact"/>
              <w:jc w:val="left"/>
            </w:pPr>
            <w:r>
              <w:t xml:space="preserve">Total (n)</w:t>
            </w:r>
          </w:p>
        </w:tc>
        <w:tc>
          <w:tcPr>
            <w:tcBorders>
              <w:bottom w:val="single"/>
            </w:tcBorders>
            <w:vAlign w:val="bottom"/>
          </w:tcPr>
          <w:p>
            <w:pPr>
              <w:pStyle w:val="Compact"/>
              <w:jc w:val="left"/>
            </w:pPr>
            <w:r>
              <w:t xml:space="preserve">AOM (n)</w:t>
            </w:r>
          </w:p>
        </w:tc>
      </w:tr>
      <w:tr>
        <w:tc>
          <w:p>
            <w:pPr>
              <w:pStyle w:val="Compact"/>
              <w:jc w:val="left"/>
            </w:pPr>
            <w:r>
              <w:t xml:space="preserve">2008</w:t>
            </w:r>
          </w:p>
        </w:tc>
        <w:tc>
          <w:p>
            <w:pPr>
              <w:pStyle w:val="Compact"/>
              <w:jc w:val="left"/>
            </w:pPr>
            <w:r>
              <w:t xml:space="preserve">197 (12,229)</w:t>
            </w:r>
          </w:p>
        </w:tc>
        <w:tc>
          <w:p>
            <w:pPr>
              <w:pStyle w:val="Compact"/>
              <w:jc w:val="left"/>
            </w:pPr>
            <w:r>
              <w:t xml:space="preserve">69 (936)</w:t>
            </w:r>
          </w:p>
        </w:tc>
        <w:tc>
          <w:p>
            <w:pPr>
              <w:pStyle w:val="Compact"/>
              <w:jc w:val="left"/>
            </w:pPr>
            <w:r>
              <w:t xml:space="preserve">80.8 (988)</w:t>
            </w:r>
          </w:p>
        </w:tc>
        <w:tc>
          <w:p>
            <w:pPr>
              <w:pStyle w:val="Compact"/>
              <w:jc w:val="left"/>
            </w:pPr>
            <w:r>
              <w:t xml:space="preserve">186 (174)</w:t>
            </w:r>
          </w:p>
        </w:tc>
        <w:tc>
          <w:p>
            <w:pPr>
              <w:pStyle w:val="Compact"/>
              <w:jc w:val="left"/>
            </w:pPr>
            <w:r>
              <w:t xml:space="preserve">15.9 (988)</w:t>
            </w:r>
          </w:p>
        </w:tc>
        <w:tc>
          <w:p>
            <w:pPr>
              <w:pStyle w:val="Compact"/>
              <w:jc w:val="left"/>
            </w:pPr>
            <w:r>
              <w:t xml:space="preserve">72.9 (174)</w:t>
            </w:r>
          </w:p>
        </w:tc>
      </w:tr>
      <w:tr>
        <w:tc>
          <w:p>
            <w:pPr>
              <w:pStyle w:val="Compact"/>
              <w:jc w:val="left"/>
            </w:pPr>
            <w:r>
              <w:t xml:space="preserve">2009</w:t>
            </w:r>
          </w:p>
        </w:tc>
        <w:tc>
          <w:p>
            <w:pPr>
              <w:pStyle w:val="Compact"/>
              <w:jc w:val="left"/>
            </w:pPr>
            <w:r>
              <w:t xml:space="preserve">199 (12,514)</w:t>
            </w:r>
          </w:p>
        </w:tc>
        <w:tc>
          <w:p>
            <w:pPr>
              <w:pStyle w:val="Compact"/>
              <w:jc w:val="left"/>
            </w:pPr>
            <w:r>
              <w:t xml:space="preserve">72 (1,012)</w:t>
            </w:r>
          </w:p>
        </w:tc>
        <w:tc>
          <w:p>
            <w:pPr>
              <w:pStyle w:val="Compact"/>
              <w:jc w:val="left"/>
            </w:pPr>
            <w:r>
              <w:t xml:space="preserve">74.8 (936)</w:t>
            </w:r>
          </w:p>
        </w:tc>
        <w:tc>
          <w:p>
            <w:pPr>
              <w:pStyle w:val="Compact"/>
              <w:jc w:val="left"/>
            </w:pPr>
            <w:r>
              <w:t xml:space="preserve">192 (194)</w:t>
            </w:r>
          </w:p>
        </w:tc>
        <w:tc>
          <w:p>
            <w:pPr>
              <w:pStyle w:val="Compact"/>
              <w:jc w:val="left"/>
            </w:pPr>
            <w:r>
              <w:t xml:space="preserve">14.9 (936)</w:t>
            </w:r>
          </w:p>
        </w:tc>
        <w:tc>
          <w:p>
            <w:pPr>
              <w:pStyle w:val="Compact"/>
              <w:jc w:val="left"/>
            </w:pPr>
            <w:r>
              <w:t xml:space="preserve">66.5 (194)</w:t>
            </w:r>
          </w:p>
        </w:tc>
      </w:tr>
      <w:tr>
        <w:tc>
          <w:p>
            <w:pPr>
              <w:pStyle w:val="Compact"/>
              <w:jc w:val="left"/>
            </w:pPr>
            <w:r>
              <w:t xml:space="preserve">2010</w:t>
            </w:r>
          </w:p>
        </w:tc>
        <w:tc>
          <w:p>
            <w:pPr>
              <w:pStyle w:val="Compact"/>
              <w:jc w:val="left"/>
            </w:pPr>
            <w:r>
              <w:t xml:space="preserve">181 (11,339)</w:t>
            </w:r>
          </w:p>
        </w:tc>
        <w:tc>
          <w:p>
            <w:pPr>
              <w:pStyle w:val="Compact"/>
              <w:jc w:val="left"/>
            </w:pPr>
            <w:r>
              <w:t xml:space="preserve">64.2 (925)</w:t>
            </w:r>
          </w:p>
        </w:tc>
        <w:tc>
          <w:p>
            <w:pPr>
              <w:pStyle w:val="Compact"/>
              <w:jc w:val="left"/>
            </w:pPr>
            <w:r>
              <w:t xml:space="preserve">81 (918)</w:t>
            </w:r>
          </w:p>
        </w:tc>
        <w:tc>
          <w:p>
            <w:pPr>
              <w:pStyle w:val="Compact"/>
              <w:jc w:val="left"/>
            </w:pPr>
            <w:r>
              <w:t xml:space="preserve">253 (234)</w:t>
            </w:r>
          </w:p>
        </w:tc>
        <w:tc>
          <w:p>
            <w:pPr>
              <w:pStyle w:val="Compact"/>
              <w:jc w:val="left"/>
            </w:pPr>
            <w:r>
              <w:t xml:space="preserve">14.6 (918)</w:t>
            </w:r>
          </w:p>
        </w:tc>
        <w:tc>
          <w:p>
            <w:pPr>
              <w:pStyle w:val="Compact"/>
              <w:jc w:val="left"/>
            </w:pPr>
            <w:r>
              <w:t xml:space="preserve">63.7 (234)</w:t>
            </w:r>
          </w:p>
        </w:tc>
      </w:tr>
      <w:tr>
        <w:tc>
          <w:p>
            <w:pPr>
              <w:pStyle w:val="Compact"/>
              <w:jc w:val="left"/>
            </w:pPr>
            <w:r>
              <w:t xml:space="preserve">2011</w:t>
            </w:r>
          </w:p>
        </w:tc>
        <w:tc>
          <w:p>
            <w:pPr>
              <w:pStyle w:val="Compact"/>
              <w:jc w:val="left"/>
            </w:pPr>
            <w:r>
              <w:t xml:space="preserve">201 (12,645)</w:t>
            </w:r>
          </w:p>
        </w:tc>
        <w:tc>
          <w:p>
            <w:pPr>
              <w:pStyle w:val="Compact"/>
              <w:jc w:val="left"/>
            </w:pPr>
            <w:r>
              <w:t xml:space="preserve">60.8 (890)</w:t>
            </w:r>
          </w:p>
        </w:tc>
        <w:tc>
          <w:p>
            <w:pPr>
              <w:pStyle w:val="Compact"/>
              <w:jc w:val="left"/>
            </w:pPr>
            <w:r>
              <w:t xml:space="preserve">63.8 (807)</w:t>
            </w:r>
          </w:p>
        </w:tc>
        <w:tc>
          <w:p>
            <w:pPr>
              <w:pStyle w:val="Compact"/>
              <w:jc w:val="left"/>
            </w:pPr>
            <w:r>
              <w:t xml:space="preserve">178 (158)</w:t>
            </w:r>
          </w:p>
        </w:tc>
        <w:tc>
          <w:p>
            <w:pPr>
              <w:pStyle w:val="Compact"/>
              <w:jc w:val="left"/>
            </w:pPr>
            <w:r>
              <w:t xml:space="preserve">12.8 (807)</w:t>
            </w:r>
          </w:p>
        </w:tc>
        <w:tc>
          <w:p>
            <w:pPr>
              <w:pStyle w:val="Compact"/>
              <w:jc w:val="left"/>
            </w:pPr>
            <w:r>
              <w:t xml:space="preserve">55.1 (158)</w:t>
            </w:r>
          </w:p>
        </w:tc>
      </w:tr>
      <w:tr>
        <w:tc>
          <w:p>
            <w:pPr>
              <w:pStyle w:val="Compact"/>
              <w:jc w:val="left"/>
            </w:pPr>
            <w:r>
              <w:t xml:space="preserve">2012</w:t>
            </w:r>
          </w:p>
        </w:tc>
        <w:tc>
          <w:p>
            <w:pPr>
              <w:pStyle w:val="Compact"/>
              <w:jc w:val="left"/>
            </w:pPr>
            <w:r>
              <w:t xml:space="preserve">215 (13,150)</w:t>
            </w:r>
          </w:p>
        </w:tc>
        <w:tc>
          <w:p>
            <w:pPr>
              <w:pStyle w:val="Compact"/>
              <w:jc w:val="left"/>
            </w:pPr>
            <w:r>
              <w:t xml:space="preserve">58.4 (830)</w:t>
            </w:r>
          </w:p>
        </w:tc>
        <w:tc>
          <w:p>
            <w:pPr>
              <w:pStyle w:val="Compact"/>
              <w:jc w:val="left"/>
            </w:pPr>
            <w:r>
              <w:t xml:space="preserve">52.5 (691)</w:t>
            </w:r>
          </w:p>
        </w:tc>
        <w:tc>
          <w:p>
            <w:pPr>
              <w:pStyle w:val="Compact"/>
              <w:jc w:val="left"/>
            </w:pPr>
            <w:r>
              <w:t xml:space="preserve">163 (135)</w:t>
            </w:r>
          </w:p>
        </w:tc>
        <w:tc>
          <w:p>
            <w:pPr>
              <w:pStyle w:val="Compact"/>
              <w:jc w:val="left"/>
            </w:pPr>
            <w:r>
              <w:t xml:space="preserve">11.3 (691)</w:t>
            </w:r>
          </w:p>
        </w:tc>
        <w:tc>
          <w:p>
            <w:pPr>
              <w:pStyle w:val="Compact"/>
              <w:jc w:val="left"/>
            </w:pPr>
            <w:r>
              <w:t xml:space="preserve">48.6 (135)</w:t>
            </w:r>
          </w:p>
        </w:tc>
      </w:tr>
      <w:tr>
        <w:tc>
          <w:p>
            <w:pPr>
              <w:pStyle w:val="Compact"/>
              <w:jc w:val="left"/>
            </w:pPr>
            <w:r>
              <w:t xml:space="preserve">2013</w:t>
            </w:r>
          </w:p>
        </w:tc>
        <w:tc>
          <w:p>
            <w:pPr>
              <w:pStyle w:val="Compact"/>
              <w:jc w:val="left"/>
            </w:pPr>
            <w:r>
              <w:t xml:space="preserve">221 (13,518)</w:t>
            </w:r>
          </w:p>
        </w:tc>
        <w:tc>
          <w:p>
            <w:pPr>
              <w:pStyle w:val="Compact"/>
              <w:jc w:val="left"/>
            </w:pPr>
            <w:r>
              <w:t xml:space="preserve">55.2 (772)</w:t>
            </w:r>
          </w:p>
        </w:tc>
        <w:tc>
          <w:p>
            <w:pPr>
              <w:pStyle w:val="Compact"/>
              <w:jc w:val="left"/>
            </w:pPr>
            <w:r>
              <w:t xml:space="preserve">54.7 (739)</w:t>
            </w:r>
          </w:p>
        </w:tc>
        <w:tc>
          <w:p>
            <w:pPr>
              <w:pStyle w:val="Compact"/>
              <w:jc w:val="left"/>
            </w:pPr>
            <w:r>
              <w:t xml:space="preserve">105 (81)</w:t>
            </w:r>
          </w:p>
        </w:tc>
        <w:tc>
          <w:p>
            <w:pPr>
              <w:pStyle w:val="Compact"/>
              <w:jc w:val="left"/>
            </w:pPr>
            <w:r>
              <w:t xml:space="preserve">12.1 (739)</w:t>
            </w:r>
          </w:p>
        </w:tc>
        <w:tc>
          <w:p>
            <w:pPr>
              <w:pStyle w:val="Compact"/>
              <w:jc w:val="left"/>
            </w:pPr>
            <w:r>
              <w:t xml:space="preserve">52.8 (81)</w:t>
            </w:r>
          </w:p>
        </w:tc>
      </w:tr>
      <w:tr>
        <w:tc>
          <w:p>
            <w:pPr>
              <w:pStyle w:val="Compact"/>
              <w:jc w:val="left"/>
            </w:pPr>
            <w:r>
              <w:t xml:space="preserve">2014</w:t>
            </w:r>
          </w:p>
        </w:tc>
        <w:tc>
          <w:p>
            <w:pPr>
              <w:pStyle w:val="Compact"/>
              <w:jc w:val="left"/>
            </w:pPr>
            <w:r>
              <w:t xml:space="preserve">216 (13,323)</w:t>
            </w:r>
          </w:p>
        </w:tc>
        <w:tc>
          <w:p>
            <w:pPr>
              <w:pStyle w:val="Compact"/>
              <w:jc w:val="left"/>
            </w:pPr>
            <w:r>
              <w:t xml:space="preserve">52 (708)</w:t>
            </w:r>
          </w:p>
        </w:tc>
        <w:tc>
          <w:p>
            <w:pPr>
              <w:pStyle w:val="Compact"/>
              <w:jc w:val="left"/>
            </w:pPr>
            <w:r>
              <w:t xml:space="preserve">48.9 (652)</w:t>
            </w:r>
          </w:p>
        </w:tc>
        <w:tc>
          <w:p>
            <w:pPr>
              <w:pStyle w:val="Compact"/>
              <w:jc w:val="left"/>
            </w:pPr>
            <w:r>
              <w:t xml:space="preserve">76.3 (54)</w:t>
            </w:r>
          </w:p>
        </w:tc>
        <w:tc>
          <w:p>
            <w:pPr>
              <w:pStyle w:val="Compact"/>
              <w:jc w:val="left"/>
            </w:pPr>
            <w:r>
              <w:t xml:space="preserve">10.6 (652)</w:t>
            </w:r>
          </w:p>
        </w:tc>
        <w:tc>
          <w:p>
            <w:pPr>
              <w:pStyle w:val="Compact"/>
              <w:jc w:val="left"/>
            </w:pPr>
            <w:r>
              <w:t xml:space="preserve">47.9 (54)</w:t>
            </w:r>
          </w:p>
        </w:tc>
      </w:tr>
      <w:tr>
        <w:tc>
          <w:p>
            <w:pPr>
              <w:pStyle w:val="Compact"/>
              <w:jc w:val="left"/>
            </w:pPr>
            <w:r>
              <w:t xml:space="preserve">2015</w:t>
            </w:r>
          </w:p>
        </w:tc>
        <w:tc>
          <w:p>
            <w:pPr>
              <w:pStyle w:val="Compact"/>
              <w:jc w:val="left"/>
            </w:pPr>
            <w:r>
              <w:t xml:space="preserve">235 (14,502)</w:t>
            </w:r>
          </w:p>
        </w:tc>
        <w:tc>
          <w:p>
            <w:pPr>
              <w:pStyle w:val="Compact"/>
              <w:jc w:val="left"/>
            </w:pPr>
            <w:r>
              <w:t xml:space="preserve">55.1 (731)</w:t>
            </w:r>
          </w:p>
        </w:tc>
        <w:tc>
          <w:p>
            <w:pPr>
              <w:pStyle w:val="Compact"/>
              <w:jc w:val="left"/>
            </w:pPr>
            <w:r>
              <w:t xml:space="preserve">56.7 (822)</w:t>
            </w:r>
          </w:p>
        </w:tc>
        <w:tc>
          <w:p>
            <w:pPr>
              <w:pStyle w:val="Compact"/>
              <w:jc w:val="left"/>
            </w:pPr>
            <w:r>
              <w:t xml:space="preserve">88.9 (65)</w:t>
            </w:r>
          </w:p>
        </w:tc>
        <w:tc>
          <w:p>
            <w:pPr>
              <w:pStyle w:val="Compact"/>
              <w:jc w:val="left"/>
            </w:pPr>
            <w:r>
              <w:t xml:space="preserve">13.3 (822)</w:t>
            </w:r>
          </w:p>
        </w:tc>
        <w:tc>
          <w:p>
            <w:pPr>
              <w:pStyle w:val="Compact"/>
              <w:jc w:val="left"/>
            </w:pPr>
            <w:r>
              <w:t xml:space="preserve">61.9 (65)</w:t>
            </w:r>
          </w:p>
        </w:tc>
      </w:tr>
    </w:tbl>
    <w:p>
      <w:pPr>
        <w:pStyle w:val="BodyText"/>
      </w:pPr>
      <w:r>
        <w:t xml:space="preserve">The incidence rate of AOM visits to Children’s Hospital Iceland decreased significantly in the post-vaccine period as compared to the pre-vaccine period; from 47.4 visits to 41.8 per 1,000 person-years.</w:t>
      </w:r>
      <w:r>
        <w:t xml:space="preserve"> </w:t>
      </w:r>
      <w:r>
        <w:t xml:space="preserve">The crude IRR was 0.88 (95% CI 0.83 to 0.93).</w:t>
      </w:r>
      <w:r>
        <w:t xml:space="preserve"> </w:t>
      </w:r>
      <w:r>
        <w:t xml:space="preserve">Mantel-Haenszel adjustment was not appropriate due to effect heterogeneity (</w:t>
      </w:r>
      <m:oMath>
        <m:sSup>
          <m:e>
            <m:r>
              <m:t>χ</m:t>
            </m:r>
          </m:e>
          <m:sup>
            <m:r>
              <m:t>2</m:t>
            </m:r>
          </m:sup>
        </m:sSup>
      </m:oMath>
      <w:r>
        <w:t xml:space="preserve"> </w:t>
      </w:r>
      <w:r>
        <w:t xml:space="preserve">= 15.2,</w:t>
      </w:r>
      <w:r>
        <w:t xml:space="preserve"> </w:t>
      </w:r>
      <w:r>
        <w:rPr>
          <w:i/>
        </w:rPr>
        <w:t xml:space="preserve">P</w:t>
      </w:r>
      <w:r>
        <w:t xml:space="preserve">&lt;0.001).</w:t>
      </w:r>
      <w:r>
        <w:t xml:space="preserve"> </w:t>
      </w:r>
      <w:r>
        <w:t xml:space="preserve">When each age-group was examined separately, a significant decrease in AOM visits was observed among children between one and two years of age (IRR 0.89) and between two and three years of age (IRR 0.79) as shown in Table</w:t>
      </w:r>
      <w:r>
        <w:t xml:space="preserve"> </w:t>
      </w:r>
      <w:r>
        <w:t xml:space="preserve">2</w:t>
      </w:r>
      <w:r>
        <w:t xml:space="preserve">.</w:t>
      </w:r>
      <w:r>
        <w:t xml:space="preserve"> </w:t>
      </w:r>
      <w:r>
        <w:t xml:space="preserve">Children younger than one year of age and children between three and four years of age, visited the Children’s Hospital Iceland because of AOM 471 times and 379 times, respectively.</w:t>
      </w:r>
    </w:p>
    <w:p>
      <w:pPr>
        <w:pStyle w:val="TableCaption"/>
      </w:pPr>
      <w:r>
        <w:t xml:space="preserve">Table 2 The incidence rate ratios (IRR) of acute otitis media (AOM) associated visits between the pre- and post-vaccine periods are presented for each age with 95% confidence intervals within parentheses. The chi-squared statistic and P-value are also presented.</w:t>
      </w:r>
    </w:p>
    <w:tbl>
      <w:tblPr>
        <w:tblStyle w:val="TableNormal"/>
        <w:tblW w:type="pct" w:w="0.0"/>
        <w:tblLook w:firstRow="1"/>
        <w:tblCaption w:val="Table 2 The incidence rate ratios (IRR) of acute otitis media (AOM) associated visits between the pre- and post-vaccine periods are presented for each age with 95% confidence intervals within parentheses. The chi-squared statistic and P-value are also presented."/>
      </w:tblPr>
      <w:tblGrid/>
      <w:tr>
        <w:trPr>
          <w:cnfStyle w:firstRow="1"/>
        </w:trPr>
        <w:tc>
          <w:tcPr>
            <w:tcBorders>
              <w:bottom w:val="single"/>
            </w:tcBorders>
            <w:vAlign w:val="bottom"/>
          </w:tcPr>
          <w:p>
            <w:pPr>
              <w:pStyle w:val="Compact"/>
              <w:jc w:val="left"/>
            </w:pPr>
            <w:r>
              <w:t xml:space="preserve">Age (years)</w:t>
            </w:r>
          </w:p>
        </w:tc>
        <w:tc>
          <w:tcPr>
            <w:tcBorders>
              <w:bottom w:val="single"/>
            </w:tcBorders>
            <w:vAlign w:val="bottom"/>
          </w:tcPr>
          <w:p>
            <w:pPr>
              <w:pStyle w:val="Compact"/>
              <w:jc w:val="left"/>
            </w:pPr>
            <w:r>
              <w:t xml:space="preserve">IRR (95% CI)</w:t>
            </w:r>
          </w:p>
        </w:tc>
        <w:tc>
          <w:tcPr>
            <w:tcBorders>
              <w:bottom w:val="single"/>
            </w:tcBorders>
            <w:vAlign w:val="bottom"/>
          </w:tcPr>
          <w:p>
            <w:pPr>
              <w:pStyle w:val="Compact"/>
              <w:jc w:val="left"/>
            </w:pPr>
            <w:r>
              <w:t xml:space="preserve">Chi-squared</w:t>
            </w:r>
          </w:p>
        </w:tc>
        <w:tc>
          <w:tcPr>
            <w:tcBorders>
              <w:bottom w:val="single"/>
            </w:tcBorders>
            <w:vAlign w:val="bottom"/>
          </w:tcPr>
          <w:p>
            <w:pPr>
              <w:pStyle w:val="Compact"/>
              <w:jc w:val="left"/>
            </w:pPr>
            <w:r>
              <w:t xml:space="preserve">P-value</w:t>
            </w:r>
          </w:p>
        </w:tc>
      </w:tr>
      <w:tr>
        <w:tc>
          <w:p>
            <w:pPr>
              <w:pStyle w:val="Compact"/>
              <w:jc w:val="left"/>
            </w:pPr>
            <w:r>
              <w:t xml:space="preserve">&lt;1</w:t>
            </w:r>
          </w:p>
        </w:tc>
        <w:tc>
          <w:p>
            <w:pPr>
              <w:pStyle w:val="Compact"/>
              <w:jc w:val="left"/>
            </w:pPr>
            <w:r>
              <w:t xml:space="preserve">1.10 (0.90-1.30)</w:t>
            </w:r>
          </w:p>
        </w:tc>
        <w:tc>
          <w:p>
            <w:pPr>
              <w:pStyle w:val="Compact"/>
              <w:jc w:val="left"/>
            </w:pPr>
            <w:r>
              <w:t xml:space="preserve">0.80</w:t>
            </w:r>
          </w:p>
        </w:tc>
        <w:tc>
          <w:p>
            <w:pPr>
              <w:pStyle w:val="Compact"/>
              <w:jc w:val="left"/>
            </w:pPr>
            <w:r>
              <w:t xml:space="preserve">0.370</w:t>
            </w:r>
          </w:p>
        </w:tc>
      </w:tr>
      <w:tr>
        <w:tc>
          <w:p>
            <w:pPr>
              <w:pStyle w:val="Compact"/>
              <w:jc w:val="left"/>
            </w:pPr>
            <w:r>
              <w:t xml:space="preserve">1-2</w:t>
            </w:r>
          </w:p>
        </w:tc>
        <w:tc>
          <w:p>
            <w:pPr>
              <w:pStyle w:val="Compact"/>
              <w:jc w:val="left"/>
            </w:pPr>
            <w:r>
              <w:t xml:space="preserve">0.89 (0.83-0.96)</w:t>
            </w:r>
          </w:p>
        </w:tc>
        <w:tc>
          <w:p>
            <w:pPr>
              <w:pStyle w:val="Compact"/>
              <w:jc w:val="left"/>
            </w:pPr>
            <w:r>
              <w:t xml:space="preserve">8.60</w:t>
            </w:r>
          </w:p>
        </w:tc>
        <w:tc>
          <w:p>
            <w:pPr>
              <w:pStyle w:val="Compact"/>
              <w:jc w:val="left"/>
            </w:pPr>
            <w:r>
              <w:t xml:space="preserve">0.003</w:t>
            </w:r>
          </w:p>
        </w:tc>
      </w:tr>
      <w:tr>
        <w:tc>
          <w:p>
            <w:pPr>
              <w:pStyle w:val="Compact"/>
              <w:jc w:val="left"/>
            </w:pPr>
            <w:r>
              <w:t xml:space="preserve">2-3</w:t>
            </w:r>
          </w:p>
        </w:tc>
        <w:tc>
          <w:p>
            <w:pPr>
              <w:pStyle w:val="Compact"/>
              <w:jc w:val="left"/>
            </w:pPr>
            <w:r>
              <w:t xml:space="preserve">0.79 (0.71-0.88)</w:t>
            </w:r>
          </w:p>
        </w:tc>
        <w:tc>
          <w:p>
            <w:pPr>
              <w:pStyle w:val="Compact"/>
              <w:jc w:val="left"/>
            </w:pPr>
            <w:r>
              <w:t xml:space="preserve">17.00</w:t>
            </w:r>
          </w:p>
        </w:tc>
        <w:tc>
          <w:p>
            <w:pPr>
              <w:pStyle w:val="Compact"/>
              <w:jc w:val="left"/>
            </w:pPr>
            <w:r>
              <w:t xml:space="preserve">&lt;0.001</w:t>
            </w:r>
          </w:p>
        </w:tc>
      </w:tr>
      <w:tr>
        <w:tc>
          <w:p>
            <w:pPr>
              <w:pStyle w:val="Compact"/>
              <w:jc w:val="left"/>
            </w:pPr>
            <w:r>
              <w:t xml:space="preserve">3-4</w:t>
            </w:r>
          </w:p>
        </w:tc>
        <w:tc>
          <w:p>
            <w:pPr>
              <w:pStyle w:val="Compact"/>
              <w:jc w:val="left"/>
            </w:pPr>
            <w:r>
              <w:t xml:space="preserve">1.00 (0.85-1.30)</w:t>
            </w:r>
          </w:p>
        </w:tc>
        <w:tc>
          <w:p>
            <w:pPr>
              <w:pStyle w:val="Compact"/>
              <w:jc w:val="left"/>
            </w:pPr>
            <w:r>
              <w:t xml:space="preserve">0.22</w:t>
            </w:r>
          </w:p>
        </w:tc>
        <w:tc>
          <w:p>
            <w:pPr>
              <w:pStyle w:val="Compact"/>
              <w:jc w:val="left"/>
            </w:pPr>
            <w:r>
              <w:t xml:space="preserve">0.639</w:t>
            </w:r>
          </w:p>
        </w:tc>
      </w:tr>
    </w:tbl>
    <w:p>
      <w:pPr>
        <w:pStyle w:val="BodyText"/>
      </w:pPr>
      <w:r>
        <w:t xml:space="preserve">Independent of the decrease in AOM associated visits to the Children’s Hospital, the incidence of ceftriaxone treatment episodes for AOM was also found to decrease significantly in the post-vaccine period compared to the pre-vaccine period.</w:t>
      </w:r>
      <w:r>
        <w:t xml:space="preserve"> </w:t>
      </w:r>
      <w:r>
        <w:t xml:space="preserve">The effect was heterogeneous across age-strata (</w:t>
      </w:r>
      <m:oMath>
        <m:sSup>
          <m:e>
            <m:r>
              <m:t>χ</m:t>
            </m:r>
          </m:e>
          <m:sup>
            <m:r>
              <m:t>2</m:t>
            </m:r>
          </m:sup>
        </m:sSup>
      </m:oMath>
      <w:r>
        <w:t xml:space="preserve"> </w:t>
      </w:r>
      <w:r>
        <w:t xml:space="preserve">= 57,</w:t>
      </w:r>
      <w:r>
        <w:t xml:space="preserve"> </w:t>
      </w:r>
      <w:r>
        <w:rPr>
          <w:i/>
        </w:rPr>
        <w:t xml:space="preserve">P</w:t>
      </w:r>
      <w:r>
        <w:t xml:space="preserve">&lt;0.001) and the crude overall IRR was 0.48 (95% CI 0.40 to 0.58).</w:t>
      </w:r>
      <w:r>
        <w:t xml:space="preserve"> </w:t>
      </w:r>
      <w:r>
        <w:t xml:space="preserve">The stratum specific results are shown in Table</w:t>
      </w:r>
      <w:r>
        <w:t xml:space="preserve"> </w:t>
      </w:r>
      <w:r>
        <w:t xml:space="preserve">3</w:t>
      </w:r>
      <w:r>
        <w:t xml:space="preserve">.</w:t>
      </w:r>
      <w:r>
        <w:t xml:space="preserve"> </w:t>
      </w:r>
      <w:r>
        <w:t xml:space="preserve">During the study period, only 17 episodes of AOM were treated with ceftriaxone among children zero to one years of age and 19 episodes were treated among children three to four years of age.</w:t>
      </w:r>
    </w:p>
    <w:p>
      <w:pPr>
        <w:pStyle w:val="TableCaption"/>
      </w:pPr>
      <w:r>
        <w:t xml:space="preserve">Table 3 The incidence rate ratios (IRR) of ceftriaxone treatment episodes of acute otitis media (AOM) between the pre- and post-vaccine periods are presented for each age with 95% confidence intervals within parentheses. The chi-squared statistic and P-value are also presented.</w:t>
      </w:r>
    </w:p>
    <w:tbl>
      <w:tblPr>
        <w:tblStyle w:val="TableNormal"/>
        <w:tblW w:type="pct" w:w="0.0"/>
        <w:tblLook w:firstRow="1"/>
        <w:tblCaption w:val="Table 3 The incidence rate ratios (IRR) of ceftriaxone treatment episodes of acute otitis media (AOM) between the pre- and post-vaccine periods are presented for each age with 95% confidence intervals within parentheses. The chi-squared statistic and P-value are also presented."/>
      </w:tblPr>
      <w:tblGrid/>
      <w:tr>
        <w:trPr>
          <w:cnfStyle w:firstRow="1"/>
        </w:trPr>
        <w:tc>
          <w:tcPr>
            <w:tcBorders>
              <w:bottom w:val="single"/>
            </w:tcBorders>
            <w:vAlign w:val="bottom"/>
          </w:tcPr>
          <w:p>
            <w:pPr>
              <w:pStyle w:val="Compact"/>
              <w:jc w:val="left"/>
            </w:pPr>
            <w:r>
              <w:t xml:space="preserve">Age (years)</w:t>
            </w:r>
          </w:p>
        </w:tc>
        <w:tc>
          <w:tcPr>
            <w:tcBorders>
              <w:bottom w:val="single"/>
            </w:tcBorders>
            <w:vAlign w:val="bottom"/>
          </w:tcPr>
          <w:p>
            <w:pPr>
              <w:pStyle w:val="Compact"/>
              <w:jc w:val="left"/>
            </w:pPr>
            <w:r>
              <w:t xml:space="preserve">IRR (95% CI)</w:t>
            </w:r>
          </w:p>
        </w:tc>
        <w:tc>
          <w:tcPr>
            <w:tcBorders>
              <w:bottom w:val="single"/>
            </w:tcBorders>
            <w:vAlign w:val="bottom"/>
          </w:tcPr>
          <w:p>
            <w:pPr>
              <w:pStyle w:val="Compact"/>
              <w:jc w:val="left"/>
            </w:pPr>
            <w:r>
              <w:t xml:space="preserve">Chi-squared</w:t>
            </w:r>
          </w:p>
        </w:tc>
        <w:tc>
          <w:tcPr>
            <w:tcBorders>
              <w:bottom w:val="single"/>
            </w:tcBorders>
            <w:vAlign w:val="bottom"/>
          </w:tcPr>
          <w:p>
            <w:pPr>
              <w:pStyle w:val="Compact"/>
              <w:jc w:val="left"/>
            </w:pPr>
            <w:r>
              <w:t xml:space="preserve">P-value</w:t>
            </w:r>
          </w:p>
        </w:tc>
      </w:tr>
      <w:tr>
        <w:tc>
          <w:p>
            <w:pPr>
              <w:pStyle w:val="Compact"/>
              <w:jc w:val="left"/>
            </w:pPr>
            <w:r>
              <w:t xml:space="preserve">&lt;1</w:t>
            </w:r>
          </w:p>
        </w:tc>
        <w:tc>
          <w:p>
            <w:pPr>
              <w:pStyle w:val="Compact"/>
              <w:jc w:val="left"/>
            </w:pPr>
            <w:r>
              <w:t xml:space="preserve">0.61 (0.19-1.80)</w:t>
            </w:r>
          </w:p>
        </w:tc>
        <w:tc>
          <w:p>
            <w:pPr>
              <w:pStyle w:val="Compact"/>
              <w:jc w:val="left"/>
            </w:pPr>
            <w:r>
              <w:t xml:space="preserve">0.96</w:t>
            </w:r>
          </w:p>
        </w:tc>
        <w:tc>
          <w:p>
            <w:pPr>
              <w:pStyle w:val="Compact"/>
              <w:jc w:val="left"/>
            </w:pPr>
            <w:r>
              <w:t xml:space="preserve">0.326</w:t>
            </w:r>
          </w:p>
        </w:tc>
      </w:tr>
      <w:tr>
        <w:tc>
          <w:p>
            <w:pPr>
              <w:pStyle w:val="Compact"/>
              <w:jc w:val="left"/>
            </w:pPr>
            <w:r>
              <w:t xml:space="preserve">1-2</w:t>
            </w:r>
          </w:p>
        </w:tc>
        <w:tc>
          <w:p>
            <w:pPr>
              <w:pStyle w:val="Compact"/>
              <w:jc w:val="left"/>
            </w:pPr>
            <w:r>
              <w:t xml:space="preserve">0.47 (0.37-0.60)</w:t>
            </w:r>
          </w:p>
        </w:tc>
        <w:tc>
          <w:p>
            <w:pPr>
              <w:pStyle w:val="Compact"/>
              <w:jc w:val="left"/>
            </w:pPr>
            <w:r>
              <w:t xml:space="preserve">41.00</w:t>
            </w:r>
          </w:p>
        </w:tc>
        <w:tc>
          <w:p>
            <w:pPr>
              <w:pStyle w:val="Compact"/>
              <w:jc w:val="left"/>
            </w:pPr>
            <w:r>
              <w:t xml:space="preserve">&lt;0.001</w:t>
            </w:r>
          </w:p>
        </w:tc>
      </w:tr>
      <w:tr>
        <w:tc>
          <w:p>
            <w:pPr>
              <w:pStyle w:val="Compact"/>
              <w:jc w:val="left"/>
            </w:pPr>
            <w:r>
              <w:t xml:space="preserve">2-3</w:t>
            </w:r>
          </w:p>
        </w:tc>
        <w:tc>
          <w:p>
            <w:pPr>
              <w:pStyle w:val="Compact"/>
              <w:jc w:val="left"/>
            </w:pPr>
            <w:r>
              <w:t xml:space="preserve">0.47 (0.32-0.68)</w:t>
            </w:r>
          </w:p>
        </w:tc>
        <w:tc>
          <w:p>
            <w:pPr>
              <w:pStyle w:val="Compact"/>
              <w:jc w:val="left"/>
            </w:pPr>
            <w:r>
              <w:t xml:space="preserve">18.00</w:t>
            </w:r>
          </w:p>
        </w:tc>
        <w:tc>
          <w:p>
            <w:pPr>
              <w:pStyle w:val="Compact"/>
              <w:jc w:val="left"/>
            </w:pPr>
            <w:r>
              <w:t xml:space="preserve">&lt;0.001</w:t>
            </w:r>
          </w:p>
        </w:tc>
      </w:tr>
      <w:tr>
        <w:tc>
          <w:p>
            <w:pPr>
              <w:pStyle w:val="Compact"/>
              <w:jc w:val="left"/>
            </w:pPr>
            <w:r>
              <w:t xml:space="preserve">3-4</w:t>
            </w:r>
          </w:p>
        </w:tc>
        <w:tc>
          <w:p>
            <w:pPr>
              <w:pStyle w:val="Compact"/>
              <w:jc w:val="left"/>
            </w:pPr>
            <w:r>
              <w:t xml:space="preserve">0.85 (0.31-2.30)</w:t>
            </w:r>
          </w:p>
        </w:tc>
        <w:tc>
          <w:p>
            <w:pPr>
              <w:pStyle w:val="Compact"/>
              <w:jc w:val="left"/>
            </w:pPr>
            <w:r>
              <w:t xml:space="preserve">0.12</w:t>
            </w:r>
          </w:p>
        </w:tc>
        <w:tc>
          <w:p>
            <w:pPr>
              <w:pStyle w:val="Compact"/>
              <w:jc w:val="left"/>
            </w:pPr>
            <w:r>
              <w:t xml:space="preserve">0.732</w:t>
            </w:r>
          </w:p>
        </w:tc>
      </w:tr>
    </w:tbl>
    <w:p>
      <w:pPr>
        <w:pStyle w:val="BodyText"/>
      </w:pPr>
      <w:r>
        <w:t xml:space="preserve">The risk of receiving ceftriaxone treatment if presenting to Children’s Hospital Iceland with AOM was calculated to correct for the possibility that observed decreases in ceftriaxone treatment episodes were due only to a decrease in the number of AOM associated visits.</w:t>
      </w:r>
      <w:r>
        <w:t xml:space="preserve"> </w:t>
      </w:r>
      <w:r>
        <w:t xml:space="preserve">The risk decrease was not homogeneous across age-strata (</w:t>
      </w:r>
      <m:oMath>
        <m:sSup>
          <m:e>
            <m:r>
              <m:t>χ</m:t>
            </m:r>
          </m:e>
          <m:sup>
            <m:r>
              <m:t>2</m:t>
            </m:r>
          </m:sup>
        </m:sSup>
      </m:oMath>
      <w:r>
        <w:t xml:space="preserve"> </w:t>
      </w:r>
      <w:r>
        <w:t xml:space="preserve">= 33.8,</w:t>
      </w:r>
      <w:r>
        <w:t xml:space="preserve"> </w:t>
      </w:r>
      <w:r>
        <w:rPr>
          <w:i/>
        </w:rPr>
        <w:t xml:space="preserve">P</w:t>
      </w:r>
      <w:r>
        <w:t xml:space="preserve">&lt;0.001) and the overall relative risk ratio was 0.58 (95% CI 0.48 to 0.69).</w:t>
      </w:r>
      <w:r>
        <w:t xml:space="preserve"> </w:t>
      </w:r>
      <w:r>
        <w:t xml:space="preserve">The stratum specific effects are shown in Table</w:t>
      </w:r>
      <w:r>
        <w:t xml:space="preserve"> </w:t>
      </w:r>
      <w:r>
        <w:t xml:space="preserve">4</w:t>
      </w:r>
      <w:r>
        <w:t xml:space="preserve">.</w:t>
      </w:r>
    </w:p>
    <w:p>
      <w:pPr>
        <w:pStyle w:val="TableCaption"/>
      </w:pPr>
      <w:r>
        <w:t xml:space="preserve">Table 4 The incidence risk ratio (IRR) of receiving ceftriaxone treatment if presenting to Children’s Hospital Iceland with acute otitis media (AOM) between the pre- and post-vaccine periods is shown along with 95% confidence intervals. The corresponding Chi-squared statistic and P-value are also presented.</w:t>
      </w:r>
    </w:p>
    <w:tbl>
      <w:tblPr>
        <w:tblStyle w:val="TableNormal"/>
        <w:tblW w:type="pct" w:w="0.0"/>
        <w:tblLook w:firstRow="1"/>
        <w:tblCaption w:val="Table 4 The incidence risk ratio (IRR) of receiving ceftriaxone treatment if presenting to Children’s Hospital Iceland with acute otitis media (AOM) between the pre- and post-vaccine periods is shown along with 95% confidence intervals. The corresponding Chi-squared statistic and P-value are also presented."/>
      </w:tblPr>
      <w:tblGrid/>
      <w:tr>
        <w:trPr>
          <w:cnfStyle w:firstRow="1"/>
        </w:trPr>
        <w:tc>
          <w:tcPr>
            <w:tcBorders>
              <w:bottom w:val="single"/>
            </w:tcBorders>
            <w:vAlign w:val="bottom"/>
          </w:tcPr>
          <w:p>
            <w:pPr>
              <w:pStyle w:val="Compact"/>
              <w:jc w:val="left"/>
            </w:pPr>
            <w:r>
              <w:t xml:space="preserve">Age (years)</w:t>
            </w:r>
          </w:p>
        </w:tc>
        <w:tc>
          <w:tcPr>
            <w:tcBorders>
              <w:bottom w:val="single"/>
            </w:tcBorders>
            <w:vAlign w:val="bottom"/>
          </w:tcPr>
          <w:p>
            <w:pPr>
              <w:pStyle w:val="Compact"/>
              <w:jc w:val="left"/>
            </w:pPr>
            <w:r>
              <w:t xml:space="preserve">IRR (95% CI)</w:t>
            </w:r>
          </w:p>
        </w:tc>
        <w:tc>
          <w:tcPr>
            <w:tcBorders>
              <w:bottom w:val="single"/>
            </w:tcBorders>
            <w:vAlign w:val="bottom"/>
          </w:tcPr>
          <w:p>
            <w:pPr>
              <w:pStyle w:val="Compact"/>
              <w:jc w:val="left"/>
            </w:pPr>
            <w:r>
              <w:t xml:space="preserve">Chi-squared</w:t>
            </w:r>
          </w:p>
        </w:tc>
        <w:tc>
          <w:tcPr>
            <w:tcBorders>
              <w:bottom w:val="single"/>
            </w:tcBorders>
            <w:vAlign w:val="bottom"/>
          </w:tcPr>
          <w:p>
            <w:pPr>
              <w:pStyle w:val="Compact"/>
              <w:jc w:val="left"/>
            </w:pPr>
            <w:r>
              <w:t xml:space="preserve">P-value</w:t>
            </w:r>
          </w:p>
        </w:tc>
      </w:tr>
      <w:tr>
        <w:tc>
          <w:p>
            <w:pPr>
              <w:pStyle w:val="Compact"/>
              <w:jc w:val="left"/>
            </w:pPr>
            <w:r>
              <w:t xml:space="preserve">&lt;1</w:t>
            </w:r>
          </w:p>
        </w:tc>
        <w:tc>
          <w:p>
            <w:pPr>
              <w:pStyle w:val="Compact"/>
              <w:jc w:val="left"/>
            </w:pPr>
            <w:r>
              <w:t xml:space="preserve">0.56 (0.17-1.70)</w:t>
            </w:r>
          </w:p>
        </w:tc>
        <w:tc>
          <w:p>
            <w:pPr>
              <w:pStyle w:val="Compact"/>
              <w:jc w:val="left"/>
            </w:pPr>
            <w:r>
              <w:t xml:space="preserve">1.30</w:t>
            </w:r>
          </w:p>
        </w:tc>
        <w:tc>
          <w:p>
            <w:pPr>
              <w:pStyle w:val="Compact"/>
              <w:jc w:val="left"/>
            </w:pPr>
            <w:r>
              <w:t xml:space="preserve">0.258</w:t>
            </w:r>
          </w:p>
        </w:tc>
      </w:tr>
      <w:tr>
        <w:tc>
          <w:p>
            <w:pPr>
              <w:pStyle w:val="Compact"/>
              <w:jc w:val="left"/>
            </w:pPr>
            <w:r>
              <w:t xml:space="preserve">1-2</w:t>
            </w:r>
          </w:p>
        </w:tc>
        <w:tc>
          <w:p>
            <w:pPr>
              <w:pStyle w:val="Compact"/>
              <w:jc w:val="left"/>
            </w:pPr>
            <w:r>
              <w:t xml:space="preserve">0.53 (0.42-0.67)</w:t>
            </w:r>
          </w:p>
        </w:tc>
        <w:tc>
          <w:p>
            <w:pPr>
              <w:pStyle w:val="Compact"/>
              <w:jc w:val="left"/>
            </w:pPr>
            <w:r>
              <w:t xml:space="preserve">26.00</w:t>
            </w:r>
          </w:p>
        </w:tc>
        <w:tc>
          <w:p>
            <w:pPr>
              <w:pStyle w:val="Compact"/>
              <w:jc w:val="left"/>
            </w:pPr>
            <w:r>
              <w:t xml:space="preserve">&lt;0.001</w:t>
            </w:r>
          </w:p>
        </w:tc>
      </w:tr>
      <w:tr>
        <w:tc>
          <w:p>
            <w:pPr>
              <w:pStyle w:val="Compact"/>
              <w:jc w:val="left"/>
            </w:pPr>
            <w:r>
              <w:t xml:space="preserve">2-3</w:t>
            </w:r>
          </w:p>
        </w:tc>
        <w:tc>
          <w:p>
            <w:pPr>
              <w:pStyle w:val="Compact"/>
              <w:jc w:val="left"/>
            </w:pPr>
            <w:r>
              <w:t xml:space="preserve">0.59 (0.40-0.86)</w:t>
            </w:r>
          </w:p>
        </w:tc>
        <w:tc>
          <w:p>
            <w:pPr>
              <w:pStyle w:val="Compact"/>
              <w:jc w:val="left"/>
            </w:pPr>
            <w:r>
              <w:t xml:space="preserve">7.50</w:t>
            </w:r>
          </w:p>
        </w:tc>
        <w:tc>
          <w:p>
            <w:pPr>
              <w:pStyle w:val="Compact"/>
              <w:jc w:val="left"/>
            </w:pPr>
            <w:r>
              <w:t xml:space="preserve">0.006</w:t>
            </w:r>
          </w:p>
        </w:tc>
      </w:tr>
      <w:tr>
        <w:tc>
          <w:p>
            <w:pPr>
              <w:pStyle w:val="Compact"/>
              <w:jc w:val="left"/>
            </w:pPr>
            <w:r>
              <w:t xml:space="preserve">3-4</w:t>
            </w:r>
          </w:p>
        </w:tc>
        <w:tc>
          <w:p>
            <w:pPr>
              <w:pStyle w:val="Compact"/>
              <w:jc w:val="left"/>
            </w:pPr>
            <w:r>
              <w:t xml:space="preserve">0.81 (0.29-2.20)</w:t>
            </w:r>
          </w:p>
        </w:tc>
        <w:tc>
          <w:p>
            <w:pPr>
              <w:pStyle w:val="Compact"/>
              <w:jc w:val="left"/>
            </w:pPr>
            <w:r>
              <w:t xml:space="preserve">0.19</w:t>
            </w:r>
          </w:p>
        </w:tc>
        <w:tc>
          <w:p>
            <w:pPr>
              <w:pStyle w:val="Compact"/>
              <w:jc w:val="left"/>
            </w:pPr>
            <w:r>
              <w:t xml:space="preserve">0.662</w:t>
            </w:r>
          </w:p>
        </w:tc>
      </w:tr>
    </w:tbl>
    <w:p>
      <w:pPr>
        <w:pStyle w:val="BodyText"/>
      </w:pPr>
      <w:r>
        <w:t xml:space="preserve">Thus the study found significant decreases in the incidence of AOM visits, ceftriaxone treatment episodes of AOM and risk of ceftriaxone treatment if presenting to the Children’s Hospital Iceland with AOM.</w:t>
      </w:r>
      <w:r>
        <w:t xml:space="preserve"> </w:t>
      </w:r>
      <w:r>
        <w:t xml:space="preserve">Similar decreases were established in the ceftriaxone treatment episodes for pneumonia.</w:t>
      </w:r>
      <w:r>
        <w:t xml:space="preserve"> </w:t>
      </w:r>
      <w:r>
        <w:t xml:space="preserve">In the pre-vaccine period, 251 treatment episodes were recorded, compared to only 90 in the post-vaccine period.</w:t>
      </w:r>
      <w:r>
        <w:t xml:space="preserve"> </w:t>
      </w:r>
      <w:r>
        <w:t xml:space="preserve">The effect was not consistent across age-strata (</w:t>
      </w:r>
      <m:oMath>
        <m:sSup>
          <m:e>
            <m:r>
              <m:t>χ</m:t>
            </m:r>
          </m:e>
          <m:sup>
            <m:r>
              <m:t>2</m:t>
            </m:r>
          </m:sup>
        </m:sSup>
      </m:oMath>
      <w:r>
        <w:t xml:space="preserve"> </w:t>
      </w:r>
      <w:r>
        <w:t xml:space="preserve">= 72,</w:t>
      </w:r>
      <w:r>
        <w:t xml:space="preserve"> </w:t>
      </w:r>
      <w:r>
        <w:rPr>
          <w:i/>
        </w:rPr>
        <w:t xml:space="preserve">P</w:t>
      </w:r>
      <w:r>
        <w:t xml:space="preserve">&lt;0.001).</w:t>
      </w:r>
      <w:r>
        <w:t xml:space="preserve"> </w:t>
      </w:r>
      <w:r>
        <w:t xml:space="preserve">The overall IRR was 0.37 (95% CI 0.29 to 0.47).</w:t>
      </w:r>
      <w:r>
        <w:t xml:space="preserve"> </w:t>
      </w:r>
      <w:r>
        <w:t xml:space="preserve">The stratum specific effects are shown in Table</w:t>
      </w:r>
      <w:r>
        <w:t xml:space="preserve"> </w:t>
      </w:r>
      <w:r>
        <w:t xml:space="preserve">5</w:t>
      </w:r>
      <w:r>
        <w:t xml:space="preserve">.</w:t>
      </w:r>
    </w:p>
    <w:p>
      <w:pPr>
        <w:pStyle w:val="TableCaption"/>
      </w:pPr>
      <w:r>
        <w:t xml:space="preserve">Table 5 The incidence rate ratio (IRR) of ceftriaxone treatment episodes of pneumonia between the pre- and post-vaccine periods are presented along with 95% confidence intervals. The Chi-squared statistic and P-value are also shown.</w:t>
      </w:r>
    </w:p>
    <w:tbl>
      <w:tblPr>
        <w:tblStyle w:val="TableNormal"/>
        <w:tblW w:type="pct" w:w="0.0"/>
        <w:tblLook w:firstRow="1"/>
        <w:tblCaption w:val="Table 5 The incidence rate ratio (IRR) of ceftriaxone treatment episodes of pneumonia between the pre- and post-vaccine periods are presented along with 95% confidence intervals. The Chi-squared statistic and P-value are also shown."/>
      </w:tblPr>
      <w:tblGrid/>
      <w:tr>
        <w:trPr>
          <w:cnfStyle w:firstRow="1"/>
        </w:trPr>
        <w:tc>
          <w:tcPr>
            <w:tcBorders>
              <w:bottom w:val="single"/>
            </w:tcBorders>
            <w:vAlign w:val="bottom"/>
          </w:tcPr>
          <w:p>
            <w:pPr>
              <w:pStyle w:val="Compact"/>
              <w:jc w:val="left"/>
            </w:pPr>
            <w:r>
              <w:t xml:space="preserve">Age (years)</w:t>
            </w:r>
          </w:p>
        </w:tc>
        <w:tc>
          <w:tcPr>
            <w:tcBorders>
              <w:bottom w:val="single"/>
            </w:tcBorders>
            <w:vAlign w:val="bottom"/>
          </w:tcPr>
          <w:p>
            <w:pPr>
              <w:pStyle w:val="Compact"/>
              <w:jc w:val="left"/>
            </w:pPr>
            <w:r>
              <w:t xml:space="preserve">IRR (95% CI)</w:t>
            </w:r>
          </w:p>
        </w:tc>
        <w:tc>
          <w:tcPr>
            <w:tcBorders>
              <w:bottom w:val="single"/>
            </w:tcBorders>
            <w:vAlign w:val="bottom"/>
          </w:tcPr>
          <w:p>
            <w:pPr>
              <w:pStyle w:val="Compact"/>
              <w:jc w:val="left"/>
            </w:pPr>
            <w:r>
              <w:t xml:space="preserve">Chi-squared</w:t>
            </w:r>
          </w:p>
        </w:tc>
        <w:tc>
          <w:tcPr>
            <w:tcBorders>
              <w:bottom w:val="single"/>
            </w:tcBorders>
            <w:vAlign w:val="bottom"/>
          </w:tcPr>
          <w:p>
            <w:pPr>
              <w:pStyle w:val="Compact"/>
              <w:jc w:val="left"/>
            </w:pPr>
            <w:r>
              <w:t xml:space="preserve">P-value</w:t>
            </w:r>
          </w:p>
        </w:tc>
      </w:tr>
      <w:tr>
        <w:tc>
          <w:p>
            <w:pPr>
              <w:pStyle w:val="Compact"/>
              <w:jc w:val="left"/>
            </w:pPr>
            <w:r>
              <w:t xml:space="preserve">&lt;1</w:t>
            </w:r>
          </w:p>
        </w:tc>
        <w:tc>
          <w:p>
            <w:pPr>
              <w:pStyle w:val="Compact"/>
              <w:jc w:val="left"/>
            </w:pPr>
            <w:r>
              <w:t xml:space="preserve">0.15 (0.017-0.64)</w:t>
            </w:r>
          </w:p>
        </w:tc>
        <w:tc>
          <w:p>
            <w:pPr>
              <w:pStyle w:val="Compact"/>
              <w:jc w:val="left"/>
            </w:pPr>
            <w:r>
              <w:t xml:space="preserve">8.6</w:t>
            </w:r>
          </w:p>
        </w:tc>
        <w:tc>
          <w:p>
            <w:pPr>
              <w:pStyle w:val="Compact"/>
              <w:jc w:val="left"/>
            </w:pPr>
            <w:r>
              <w:t xml:space="preserve">0.003</w:t>
            </w:r>
          </w:p>
        </w:tc>
      </w:tr>
      <w:tr>
        <w:tc>
          <w:p>
            <w:pPr>
              <w:pStyle w:val="Compact"/>
              <w:jc w:val="left"/>
            </w:pPr>
            <w:r>
              <w:t xml:space="preserve">1-2</w:t>
            </w:r>
          </w:p>
        </w:tc>
        <w:tc>
          <w:p>
            <w:pPr>
              <w:pStyle w:val="Compact"/>
              <w:jc w:val="left"/>
            </w:pPr>
            <w:r>
              <w:t xml:space="preserve">0.34 (0.220-0.51)</w:t>
            </w:r>
          </w:p>
        </w:tc>
        <w:tc>
          <w:p>
            <w:pPr>
              <w:pStyle w:val="Compact"/>
              <w:jc w:val="left"/>
            </w:pPr>
            <w:r>
              <w:t xml:space="preserve">33.0</w:t>
            </w:r>
          </w:p>
        </w:tc>
        <w:tc>
          <w:p>
            <w:pPr>
              <w:pStyle w:val="Compact"/>
              <w:jc w:val="left"/>
            </w:pPr>
            <w:r>
              <w:t xml:space="preserve">&lt;0.001</w:t>
            </w:r>
          </w:p>
        </w:tc>
      </w:tr>
      <w:tr>
        <w:tc>
          <w:p>
            <w:pPr>
              <w:pStyle w:val="Compact"/>
              <w:jc w:val="left"/>
            </w:pPr>
            <w:r>
              <w:t xml:space="preserve">2-3</w:t>
            </w:r>
          </w:p>
        </w:tc>
        <w:tc>
          <w:p>
            <w:pPr>
              <w:pStyle w:val="Compact"/>
              <w:jc w:val="left"/>
            </w:pPr>
            <w:r>
              <w:t xml:space="preserve">0.36 (0.230-0.54)</w:t>
            </w:r>
          </w:p>
        </w:tc>
        <w:tc>
          <w:p>
            <w:pPr>
              <w:pStyle w:val="Compact"/>
              <w:jc w:val="left"/>
            </w:pPr>
            <w:r>
              <w:t xml:space="preserve">28.0</w:t>
            </w:r>
          </w:p>
        </w:tc>
        <w:tc>
          <w:p>
            <w:pPr>
              <w:pStyle w:val="Compact"/>
              <w:jc w:val="left"/>
            </w:pPr>
            <w:r>
              <w:t xml:space="preserve">&lt;0.001</w:t>
            </w:r>
          </w:p>
        </w:tc>
      </w:tr>
      <w:tr>
        <w:tc>
          <w:p>
            <w:pPr>
              <w:pStyle w:val="Compact"/>
              <w:jc w:val="left"/>
            </w:pPr>
            <w:r>
              <w:t xml:space="preserve">3-4</w:t>
            </w:r>
          </w:p>
        </w:tc>
        <w:tc>
          <w:p>
            <w:pPr>
              <w:pStyle w:val="Compact"/>
              <w:jc w:val="left"/>
            </w:pPr>
            <w:r>
              <w:t xml:space="preserve">0.51 (0.290-0.89)</w:t>
            </w:r>
          </w:p>
        </w:tc>
        <w:tc>
          <w:p>
            <w:pPr>
              <w:pStyle w:val="Compact"/>
              <w:jc w:val="left"/>
            </w:pPr>
            <w:r>
              <w:t xml:space="preserve">6.4</w:t>
            </w:r>
          </w:p>
        </w:tc>
        <w:tc>
          <w:p>
            <w:pPr>
              <w:pStyle w:val="Compact"/>
              <w:jc w:val="left"/>
            </w:pPr>
            <w:r>
              <w:t xml:space="preserve">0.012</w:t>
            </w:r>
          </w:p>
        </w:tc>
      </w:tr>
    </w:tbl>
    <w:p>
      <w:pPr>
        <w:pStyle w:val="BodyText"/>
      </w:pPr>
      <w:r>
        <w:t xml:space="preserve">To ascertain whether a decrease in ceftriaxone use occurred in vaccinated children for non-vaccine related indications, the incidence of ceftriaxone treatment episodes for all other indications was examined.</w:t>
      </w:r>
      <w:r>
        <w:t xml:space="preserve"> </w:t>
      </w:r>
      <w:r>
        <w:t xml:space="preserve">No heterogeneity across age-strata was detected (</w:t>
      </w:r>
      <m:oMath>
        <m:sSup>
          <m:e>
            <m:r>
              <m:t>χ</m:t>
            </m:r>
          </m:e>
          <m:sup>
            <m:r>
              <m:t>2</m:t>
            </m:r>
          </m:sup>
        </m:sSup>
      </m:oMath>
      <w:r>
        <w:t xml:space="preserve"> </w:t>
      </w:r>
      <w:r>
        <w:t xml:space="preserve">= 0.56,</w:t>
      </w:r>
      <w:r>
        <w:t xml:space="preserve"> </w:t>
      </w:r>
      <w:r>
        <w:rPr>
          <w:i/>
        </w:rPr>
        <w:t xml:space="preserve">P</w:t>
      </w:r>
      <w:r>
        <w:t xml:space="preserve">=0.455).</w:t>
      </w:r>
      <w:r>
        <w:t xml:space="preserve"> </w:t>
      </w:r>
      <w:r>
        <w:t xml:space="preserve">The Mantel-Haenszel adjusted IRR was 0.96 (95% CI 0.87 to 1.06), and the null hypothesis of no difference in the incidence rate of treatment episodes could not be rejected.</w:t>
      </w:r>
      <w:r>
        <w:t xml:space="preserve"> </w:t>
      </w:r>
      <w:r>
        <w:t xml:space="preserve">The number of treatment episodes by age and vaccine period ranged from 117 to 295.</w:t>
      </w:r>
      <w:r>
        <w:t xml:space="preserve"> </w:t>
      </w:r>
      <w:r>
        <w:t xml:space="preserve">The stratum specific IRR are shown in Table</w:t>
      </w:r>
      <w:r>
        <w:t xml:space="preserve"> </w:t>
      </w:r>
      <w:r>
        <w:t xml:space="preserve">6</w:t>
      </w:r>
      <w:r>
        <w:t xml:space="preserve">.</w:t>
      </w:r>
    </w:p>
    <w:p>
      <w:pPr>
        <w:pStyle w:val="TableCaption"/>
      </w:pPr>
      <w:r>
        <w:t xml:space="preserve">Table 6 The incidence rate ratios (IRR) of ceftriaxone treatment episodes for indications other than acute otitis media and pneumonia between the pre- and post-vaccine periods are presented for each age with 95% confidence intervals within parentheses. The chi-squared statistic and P-value are also presented.</w:t>
      </w:r>
    </w:p>
    <w:tbl>
      <w:tblPr>
        <w:tblStyle w:val="TableNormal"/>
        <w:tblW w:type="pct" w:w="0.0"/>
        <w:tblLook w:firstRow="1"/>
        <w:tblCaption w:val="Table 6 The incidence rate ratios (IRR) of ceftriaxone treatment episodes for indications other than acute otitis media and pneumonia between the pre- and post-vaccine periods are presented for each age with 95% confidence intervals within parentheses. The chi-squared statistic and P-value are also presented."/>
      </w:tblPr>
      <w:tblGrid/>
      <w:tr>
        <w:trPr>
          <w:cnfStyle w:firstRow="1"/>
        </w:trPr>
        <w:tc>
          <w:tcPr>
            <w:tcBorders>
              <w:bottom w:val="single"/>
            </w:tcBorders>
            <w:vAlign w:val="bottom"/>
          </w:tcPr>
          <w:p>
            <w:pPr>
              <w:pStyle w:val="Compact"/>
              <w:jc w:val="left"/>
            </w:pPr>
            <w:r>
              <w:t xml:space="preserve">Age (years)</w:t>
            </w:r>
          </w:p>
        </w:tc>
        <w:tc>
          <w:tcPr>
            <w:tcBorders>
              <w:bottom w:val="single"/>
            </w:tcBorders>
            <w:vAlign w:val="bottom"/>
          </w:tcPr>
          <w:p>
            <w:pPr>
              <w:pStyle w:val="Compact"/>
              <w:jc w:val="left"/>
            </w:pPr>
            <w:r>
              <w:t xml:space="preserve">IRR (95% CI)</w:t>
            </w:r>
          </w:p>
        </w:tc>
        <w:tc>
          <w:tcPr>
            <w:tcBorders>
              <w:bottom w:val="single"/>
            </w:tcBorders>
            <w:vAlign w:val="bottom"/>
          </w:tcPr>
          <w:p>
            <w:pPr>
              <w:pStyle w:val="Compact"/>
              <w:jc w:val="left"/>
            </w:pPr>
            <w:r>
              <w:t xml:space="preserve">Chi-squared</w:t>
            </w:r>
          </w:p>
        </w:tc>
        <w:tc>
          <w:tcPr>
            <w:tcBorders>
              <w:bottom w:val="single"/>
            </w:tcBorders>
            <w:vAlign w:val="bottom"/>
          </w:tcPr>
          <w:p>
            <w:pPr>
              <w:pStyle w:val="Compact"/>
              <w:jc w:val="left"/>
            </w:pPr>
            <w:r>
              <w:t xml:space="preserve">P-value</w:t>
            </w:r>
          </w:p>
        </w:tc>
      </w:tr>
      <w:tr>
        <w:tc>
          <w:p>
            <w:pPr>
              <w:pStyle w:val="Compact"/>
              <w:jc w:val="left"/>
            </w:pPr>
            <w:r>
              <w:t xml:space="preserve">&lt;1</w:t>
            </w:r>
          </w:p>
        </w:tc>
        <w:tc>
          <w:p>
            <w:pPr>
              <w:pStyle w:val="Compact"/>
              <w:jc w:val="left"/>
            </w:pPr>
            <w:r>
              <w:t xml:space="preserve">1.30 (1.10-1.50)</w:t>
            </w:r>
          </w:p>
        </w:tc>
        <w:tc>
          <w:p>
            <w:pPr>
              <w:pStyle w:val="Compact"/>
              <w:jc w:val="left"/>
            </w:pPr>
            <w:r>
              <w:t xml:space="preserve">7.60</w:t>
            </w:r>
          </w:p>
        </w:tc>
        <w:tc>
          <w:p>
            <w:pPr>
              <w:pStyle w:val="Compact"/>
              <w:jc w:val="left"/>
            </w:pPr>
            <w:r>
              <w:t xml:space="preserve">0.006</w:t>
            </w:r>
          </w:p>
        </w:tc>
      </w:tr>
      <w:tr>
        <w:tc>
          <w:p>
            <w:pPr>
              <w:pStyle w:val="Compact"/>
              <w:jc w:val="left"/>
            </w:pPr>
            <w:r>
              <w:t xml:space="preserve">1-2</w:t>
            </w:r>
          </w:p>
        </w:tc>
        <w:tc>
          <w:p>
            <w:pPr>
              <w:pStyle w:val="Compact"/>
              <w:jc w:val="left"/>
            </w:pPr>
            <w:r>
              <w:t xml:space="preserve">0.86 (0.70-1.00)</w:t>
            </w:r>
          </w:p>
        </w:tc>
        <w:tc>
          <w:p>
            <w:pPr>
              <w:pStyle w:val="Compact"/>
              <w:jc w:val="left"/>
            </w:pPr>
            <w:r>
              <w:t xml:space="preserve">2.40</w:t>
            </w:r>
          </w:p>
        </w:tc>
        <w:tc>
          <w:p>
            <w:pPr>
              <w:pStyle w:val="Compact"/>
              <w:jc w:val="left"/>
            </w:pPr>
            <w:r>
              <w:t xml:space="preserve">0.121</w:t>
            </w:r>
          </w:p>
        </w:tc>
      </w:tr>
      <w:tr>
        <w:tc>
          <w:p>
            <w:pPr>
              <w:pStyle w:val="Compact"/>
              <w:jc w:val="left"/>
            </w:pPr>
            <w:r>
              <w:t xml:space="preserve">2-3</w:t>
            </w:r>
          </w:p>
        </w:tc>
        <w:tc>
          <w:p>
            <w:pPr>
              <w:pStyle w:val="Compact"/>
              <w:jc w:val="left"/>
            </w:pPr>
            <w:r>
              <w:t xml:space="preserve">0.73 (0.58-0.91)</w:t>
            </w:r>
          </w:p>
        </w:tc>
        <w:tc>
          <w:p>
            <w:pPr>
              <w:pStyle w:val="Compact"/>
              <w:jc w:val="left"/>
            </w:pPr>
            <w:r>
              <w:t xml:space="preserve">8.00</w:t>
            </w:r>
          </w:p>
        </w:tc>
        <w:tc>
          <w:p>
            <w:pPr>
              <w:pStyle w:val="Compact"/>
              <w:jc w:val="left"/>
            </w:pPr>
            <w:r>
              <w:t xml:space="preserve">0.005</w:t>
            </w:r>
          </w:p>
        </w:tc>
      </w:tr>
      <w:tr>
        <w:tc>
          <w:p>
            <w:pPr>
              <w:pStyle w:val="Compact"/>
              <w:jc w:val="left"/>
            </w:pPr>
            <w:r>
              <w:t xml:space="preserve">3-4</w:t>
            </w:r>
          </w:p>
        </w:tc>
        <w:tc>
          <w:p>
            <w:pPr>
              <w:pStyle w:val="Compact"/>
              <w:jc w:val="left"/>
            </w:pPr>
            <w:r>
              <w:t xml:space="preserve">0.90 (0.70-1.20)</w:t>
            </w:r>
          </w:p>
        </w:tc>
        <w:tc>
          <w:p>
            <w:pPr>
              <w:pStyle w:val="Compact"/>
              <w:jc w:val="left"/>
            </w:pPr>
            <w:r>
              <w:t xml:space="preserve">0.62</w:t>
            </w:r>
          </w:p>
        </w:tc>
        <w:tc>
          <w:p>
            <w:pPr>
              <w:pStyle w:val="Compact"/>
              <w:jc w:val="left"/>
            </w:pPr>
            <w:r>
              <w:t xml:space="preserve">0.432</w:t>
            </w:r>
          </w:p>
        </w:tc>
      </w:tr>
    </w:tbl>
    <w:p>
      <w:pPr>
        <w:pStyle w:val="BodyText"/>
      </w:pPr>
      <w:r>
        <w:t xml:space="preserve">The quarterly incidence of ceftriaxone treatment episodes by indication are shown in Figure</w:t>
      </w:r>
      <w:r>
        <w:t xml:space="preserve"> </w:t>
      </w:r>
      <w:r>
        <w:t xml:space="preserve">2</w:t>
      </w:r>
      <w:r>
        <w:t xml:space="preserve">.</w:t>
      </w:r>
    </w:p>
    <w:p>
      <w:pPr>
        <w:pStyle w:val="FigureWithCaption"/>
      </w:pPr>
      <w:r>
        <w:drawing>
          <wp:inline>
            <wp:extent cx="4356100" cy="2903554"/>
            <wp:effectExtent b="0" l="0" r="0" t="0"/>
            <wp:docPr descr="Figure 2 The quarterly incidence rate (IR) of ceftriaxone treatment episodes are shown stratified by age and indication for the period from January 2008 to December 2015. The IR per 1,000 person-years is presented for children one, two, three and four years of age using different line-types. The figure is stratified by indication, and demonstrates a decrease in the IR of ceftriaxone treatment episodes for acute otitis media and pneumonia in the post-vaccine period January 2012 to December 2016. No such decrease is visible for ceftriaxone treatment episodes for all other indications." title="" id="1" name="Picture"/>
            <a:graphic>
              <a:graphicData uri="http://schemas.openxmlformats.org/drawingml/2006/picture">
                <pic:pic>
                  <pic:nvPicPr>
                    <pic:cNvPr descr="_figures/paper_I/2018-11-03-figure1-ceftriaxone-2008-2015.png" id="0" name="Picture"/>
                    <pic:cNvPicPr>
                      <a:picLocks noChangeArrowheads="1" noChangeAspect="1"/>
                    </pic:cNvPicPr>
                  </pic:nvPicPr>
                  <pic:blipFill>
                    <a:blip r:embed="rId70"/>
                    <a:stretch>
                      <a:fillRect/>
                    </a:stretch>
                  </pic:blipFill>
                  <pic:spPr bwMode="auto">
                    <a:xfrm>
                      <a:off x="0" y="0"/>
                      <a:ext cx="4356100" cy="2903554"/>
                    </a:xfrm>
                    <a:prstGeom prst="rect">
                      <a:avLst/>
                    </a:prstGeom>
                    <a:noFill/>
                    <a:ln w="9525">
                      <a:noFill/>
                      <a:headEnd/>
                      <a:tailEnd/>
                    </a:ln>
                  </pic:spPr>
                </pic:pic>
              </a:graphicData>
            </a:graphic>
          </wp:inline>
        </w:drawing>
      </w:r>
    </w:p>
    <w:p>
      <w:pPr>
        <w:pStyle w:val="ImageCaption"/>
      </w:pPr>
      <w:r>
        <w:t xml:space="preserve">Figure 2 The quarterly incidence rate (IR) of ceftriaxone treatment episodes are shown stratified by age and indication for the period from January 2008 to December 2015. The IR per 1,000 person-years is presented for children one, two, three and four years of age using different line-types. The figure is stratified by indication, and demonstrates a decrease in the IR of ceftriaxone treatment episodes for acute otitis media and pneumonia in the post-vaccine period January 2012 to December 2016. No such decrease is visible for ceftriaxone treatment episodes for all other indications.</w:t>
      </w:r>
    </w:p>
    <w:p>
      <w:pPr>
        <w:pStyle w:val="BodyText"/>
      </w:pPr>
      <w:r>
        <w:t xml:space="preserve">To further test whether a general decrease was occurring in the overall use of ceftriaxone, rather than a specific decrease for vaccine-related indications in vaccinated children, an examination of ceftriaxone treatment episodes in all children regardless of age and indication was undertaken.</w:t>
      </w:r>
      <w:r>
        <w:t xml:space="preserve"> </w:t>
      </w:r>
      <w:r>
        <w:t xml:space="preserve">An overall decrease in the IR of ceftriaxone treatment episodes was found among children under 18 years of age regardless of indication.</w:t>
      </w:r>
      <w:r>
        <w:t xml:space="preserve"> </w:t>
      </w:r>
      <w:r>
        <w:t xml:space="preserve">The IR declined from 11.1 to 9.55 treatment episodes per 1,000 person-years, IRR 0.86 (95% CI 0.81-0.91).</w:t>
      </w:r>
      <w:r>
        <w:t xml:space="preserve"> </w:t>
      </w:r>
      <w:r>
        <w:t xml:space="preserve">The effect was not consistent across age-groups (</w:t>
      </w:r>
      <m:oMath>
        <m:sSup>
          <m:e>
            <m:r>
              <m:t>χ</m:t>
            </m:r>
          </m:e>
          <m:sup>
            <m:r>
              <m:t>2</m:t>
            </m:r>
          </m:sup>
        </m:sSup>
      </m:oMath>
      <w:r>
        <w:t xml:space="preserve"> </w:t>
      </w:r>
      <w:r>
        <w:t xml:space="preserve">= 23.6,</w:t>
      </w:r>
      <w:r>
        <w:t xml:space="preserve"> </w:t>
      </w:r>
      <w:r>
        <w:rPr>
          <w:i/>
        </w:rPr>
        <w:t xml:space="preserve">P</w:t>
      </w:r>
      <w:r>
        <w:t xml:space="preserve">&lt;0.001).</w:t>
      </w:r>
      <w:r>
        <w:t xml:space="preserve"> </w:t>
      </w:r>
      <w:r>
        <w:t xml:space="preserve">When examined by age-group, the overall decrease proved to be driven by the youngest age-group – i.e the children who were protected by the vaccination.</w:t>
      </w:r>
      <w:r>
        <w:t xml:space="preserve"> </w:t>
      </w:r>
      <w:r>
        <w:t xml:space="preserve">The incidence of ceftriaxone treatment episodes did not decrease significantly in other age groups (Figure</w:t>
      </w:r>
      <w:r>
        <w:t xml:space="preserve"> </w:t>
      </w:r>
      <w:r>
        <w:t xml:space="preserve">3</w:t>
      </w:r>
      <w:r>
        <w:t xml:space="preserve">).</w:t>
      </w:r>
    </w:p>
    <w:p>
      <w:pPr>
        <w:pStyle w:val="FigureWithCaption"/>
      </w:pPr>
      <w:r>
        <w:drawing>
          <wp:inline>
            <wp:extent cx="4356100" cy="3630595"/>
            <wp:effectExtent b="0" l="0" r="0" t="0"/>
            <wp:docPr descr="Figure 3 The monthly incidence rates (IR) of ceftriaxone treatment episodes per 1,000 person-years regardless of indication are shown stratified by age-groups for the period from January 2005 to December 2016. The delineation between the pre- and post-vaccine periods on January 2012 is illustrated with a dashed vertical line. For each age-group, the mean IR in the pre- and post-vaccine periods are depicted with a solid horizontal line. The incidence rate ratio (IR) between the two vaccine periods is shown for each age-group along with 95% confidence intervals within parentheses. The figure demonstrates a significant decrease in the IR of ceftriaxone treatment episodes for children zero to three years of age. No change is detectable in other age-groups." title="" id="1" name="Picture"/>
            <a:graphic>
              <a:graphicData uri="http://schemas.openxmlformats.org/drawingml/2006/picture">
                <pic:pic>
                  <pic:nvPicPr>
                    <pic:cNvPr descr="_figures/paper_I/2018-11-23-age-group-figure.png" id="0" name="Picture"/>
                    <pic:cNvPicPr>
                      <a:picLocks noChangeArrowheads="1" noChangeAspect="1"/>
                    </pic:cNvPicPr>
                  </pic:nvPicPr>
                  <pic:blipFill>
                    <a:blip r:embed="rId71"/>
                    <a:stretch>
                      <a:fillRect/>
                    </a:stretch>
                  </pic:blipFill>
                  <pic:spPr bwMode="auto">
                    <a:xfrm>
                      <a:off x="0" y="0"/>
                      <a:ext cx="4356100" cy="3630595"/>
                    </a:xfrm>
                    <a:prstGeom prst="rect">
                      <a:avLst/>
                    </a:prstGeom>
                    <a:noFill/>
                    <a:ln w="9525">
                      <a:noFill/>
                      <a:headEnd/>
                      <a:tailEnd/>
                    </a:ln>
                  </pic:spPr>
                </pic:pic>
              </a:graphicData>
            </a:graphic>
          </wp:inline>
        </w:drawing>
      </w:r>
    </w:p>
    <w:p>
      <w:pPr>
        <w:pStyle w:val="ImageCaption"/>
      </w:pPr>
      <w:r>
        <w:t xml:space="preserve">Figure 3 The monthly incidence rates (IR) of ceftriaxone treatment episodes per 1,000 person-years regardless of indication are shown stratified by age-groups for the period from January 2005 to December 2016. The delineation between the pre- and post-vaccine periods on January 2012 is illustrated with a dashed vertical line. For each age-group, the mean IR in the pre- and post-vaccine periods are depicted with a solid horizontal line. The incidence rate ratio (IR) between the two vaccine periods is shown for each age-group along with 95% confidence intervals within parentheses. The figure demonstrates a significant decrease in the IR of ceftriaxone treatment episodes for children zero to three years of age. No change is detectable in other age-groups.</w:t>
      </w:r>
    </w:p>
    <w:p>
      <w:pPr>
        <w:pStyle w:val="Heading2"/>
      </w:pPr>
      <w:bookmarkStart w:id="72" w:name="paper2results"/>
      <w:bookmarkEnd w:id="72"/>
      <w:r>
        <w:t xml:space="preserve">Impact on primary care visits for acute otitis media (Paper II)</w:t>
      </w:r>
    </w:p>
    <w:p>
      <w:pPr>
        <w:pStyle w:val="Heading2"/>
      </w:pPr>
      <w:bookmarkStart w:id="73" w:name="paper3results"/>
      <w:bookmarkEnd w:id="73"/>
      <w:r>
        <w:t xml:space="preserve">Impact on outpatient antimicrobial prescriptions (Paper III)</w:t>
      </w:r>
    </w:p>
    <w:p>
      <w:pPr>
        <w:pStyle w:val="Heading2"/>
      </w:pPr>
      <w:bookmarkStart w:id="74" w:name="paper4results"/>
      <w:bookmarkEnd w:id="74"/>
      <w:r>
        <w:t xml:space="preserve">Impact on tympanostomy tube procedures (Paper IV)</w:t>
      </w:r>
    </w:p>
    <w:p>
      <w:pPr>
        <w:pStyle w:val="Heading2"/>
      </w:pPr>
      <w:bookmarkStart w:id="75" w:name="paper5results"/>
      <w:bookmarkEnd w:id="75"/>
      <w:r>
        <w:t xml:space="preserve">Impact on respiratory associated hospitalizations (Paper V)</w:t>
      </w:r>
    </w:p>
    <w:p>
      <w:pPr>
        <w:pStyle w:val="Heading1"/>
      </w:pPr>
      <w:bookmarkStart w:id="76" w:name="discussion"/>
      <w:bookmarkEnd w:id="76"/>
      <w:r>
        <w:t xml:space="preserve">Discussion</w:t>
      </w:r>
    </w:p>
    <w:p>
      <w:pPr>
        <w:pStyle w:val="FirstParagraph"/>
      </w:pPr>
      <w:r>
        <w:t xml:space="preserve">Placeholder</w:t>
      </w:r>
    </w:p>
    <w:p>
      <w:pPr>
        <w:pStyle w:val="Heading2"/>
      </w:pPr>
      <w:bookmarkStart w:id="77" w:name="main-findings"/>
      <w:bookmarkEnd w:id="77"/>
      <w:r>
        <w:t xml:space="preserve">Main findings</w:t>
      </w:r>
    </w:p>
    <w:p>
      <w:pPr>
        <w:pStyle w:val="Heading2"/>
      </w:pPr>
      <w:bookmarkStart w:id="78" w:name="datasourcesdiscussion"/>
      <w:bookmarkEnd w:id="78"/>
      <w:r>
        <w:t xml:space="preserve">Data collection and sources</w:t>
      </w:r>
    </w:p>
    <w:p>
      <w:pPr>
        <w:pStyle w:val="Heading2"/>
      </w:pPr>
      <w:bookmarkStart w:id="79" w:name="epidemiology-and-impact-of-phid-cv10-on-otitis-media-in-iceland-papers-i-ii-iii-v-and-vi"/>
      <w:bookmarkEnd w:id="79"/>
      <w:r>
        <w:t xml:space="preserve">Epidemiology and impact of PHiD-CV10 on otitis media in Iceland (Papers I, II, III, V and VI)</w:t>
      </w:r>
    </w:p>
    <w:p>
      <w:pPr>
        <w:pStyle w:val="Heading3"/>
      </w:pPr>
      <w:bookmarkStart w:id="80" w:name="epidemiology-of-acute-otitis-media-in-iceland-papers-ii-and-v"/>
      <w:bookmarkEnd w:id="80"/>
      <w:r>
        <w:t xml:space="preserve">Epidemiology of acute otitis media in Iceland (Papers II and V)</w:t>
      </w:r>
    </w:p>
    <w:p>
      <w:pPr>
        <w:pStyle w:val="Heading3"/>
      </w:pPr>
      <w:bookmarkStart w:id="81" w:name="impact-on-primary-care-visits-for-otitis-media-papers-ii-and-vi"/>
      <w:bookmarkEnd w:id="81"/>
      <w:r>
        <w:t xml:space="preserve">Impact on primary care visits for otitis media (Papers II and VI)</w:t>
      </w:r>
    </w:p>
    <w:p>
      <w:pPr>
        <w:pStyle w:val="Heading3"/>
      </w:pPr>
      <w:bookmarkStart w:id="82" w:name="impact-on-pediatric-emergency-department-visits-for-acute-otitis-media-paper-i"/>
      <w:bookmarkEnd w:id="82"/>
      <w:r>
        <w:t xml:space="preserve">Impact on pediatric emergency department visits for acute otitis media (Paper I)</w:t>
      </w:r>
    </w:p>
    <w:p>
      <w:pPr>
        <w:pStyle w:val="Heading3"/>
      </w:pPr>
      <w:bookmarkStart w:id="83" w:name="impact-on-outpatient-antimicrobial-prescriptions-for-otitis-media-paper-iii"/>
      <w:bookmarkEnd w:id="83"/>
      <w:r>
        <w:t xml:space="preserve">Impact on outpatient antimicrobial prescriptions for otitis media (Paper III)</w:t>
      </w:r>
    </w:p>
    <w:p>
      <w:pPr>
        <w:pStyle w:val="Heading3"/>
      </w:pPr>
      <w:bookmarkStart w:id="84" w:name="evidence-of-herd-effect-of-phid-cv10-on-the-incidence-of-otitis-media-in-the-unvaccinated-population-papers-ii-and-vi"/>
      <w:bookmarkEnd w:id="84"/>
      <w:r>
        <w:t xml:space="preserve">Evidence of herd-effect of PHiD-CV10 on the incidence of otitis media in the unvaccinated population (Papers II and VI)</w:t>
      </w:r>
    </w:p>
    <w:p>
      <w:pPr>
        <w:pStyle w:val="Heading3"/>
      </w:pPr>
      <w:bookmarkStart w:id="85" w:name="impact-on-acute-otitis-media-with-treatment-failure-paper-i"/>
      <w:bookmarkEnd w:id="85"/>
      <w:r>
        <w:t xml:space="preserve">Impact on acute otitis media with treatment failure (Paper I)</w:t>
      </w:r>
    </w:p>
    <w:p>
      <w:pPr>
        <w:pStyle w:val="Heading2"/>
      </w:pPr>
      <w:bookmarkStart w:id="86" w:name="impact-of-phid-cv10-on-tympanostomy-tube-placements-paper-iv"/>
      <w:bookmarkEnd w:id="86"/>
      <w:r>
        <w:t xml:space="preserve">Impact of PHiD-CV10 on tympanostomy tube placements (Paper IV)</w:t>
      </w:r>
    </w:p>
    <w:p>
      <w:pPr>
        <w:pStyle w:val="Heading3"/>
      </w:pPr>
      <w:bookmarkStart w:id="87" w:name="impact-on-hospital-admissions-for-otitis-media-paper-v"/>
      <w:bookmarkEnd w:id="87"/>
      <w:r>
        <w:t xml:space="preserve">Impact on hospital admissions for otitis media (Paper V)</w:t>
      </w:r>
    </w:p>
    <w:p>
      <w:pPr>
        <w:pStyle w:val="Heading2"/>
      </w:pPr>
      <w:bookmarkStart w:id="88" w:name="impact-of-phid-cv10-on-pneumonia-hospitalizations-in-iceland-papers-v-and-vi"/>
      <w:bookmarkEnd w:id="88"/>
      <w:r>
        <w:t xml:space="preserve">Impact of PHiD-CV10 on pneumonia hospitalizations in Iceland (Papers V and VI)</w:t>
      </w:r>
    </w:p>
    <w:p>
      <w:pPr>
        <w:pStyle w:val="Heading3"/>
      </w:pPr>
      <w:bookmarkStart w:id="89" w:name="evidence-of-herd-effect-of-phid-cv10-on-pneumonia-hospitalization-in-the-unvaccinated-population-papers-v-and-vi"/>
      <w:bookmarkEnd w:id="89"/>
      <w:r>
        <w:t xml:space="preserve">Evidence of herd-effect of PHiD-CV10 on pneumonia hospitalization in the unvaccinated population (Papers V and VI)</w:t>
      </w:r>
    </w:p>
    <w:p>
      <w:pPr>
        <w:pStyle w:val="Heading2"/>
      </w:pPr>
      <w:bookmarkStart w:id="90" w:name="impact-of-phid-cv10-on-invasive-pneumococcal-disease-papers-v-and-vi"/>
      <w:bookmarkEnd w:id="90"/>
      <w:r>
        <w:t xml:space="preserve">Impact of PHiD-CV10 on invasive pneumococcal disease (Papers V and VI)</w:t>
      </w:r>
    </w:p>
    <w:p>
      <w:pPr>
        <w:pStyle w:val="Heading2"/>
      </w:pPr>
      <w:bookmarkStart w:id="91" w:name="cost-effectiveness-of-introduction-of-phid-cv10-into-the-icelandic-pediatric-vaccination-program-paper-vi"/>
      <w:bookmarkEnd w:id="91"/>
      <w:r>
        <w:t xml:space="preserve">Cost-effectiveness of introduction of PHiD-CV10 into the Icelandic pediatric vaccination program (Paper VI)</w:t>
      </w:r>
    </w:p>
    <w:p>
      <w:pPr>
        <w:pStyle w:val="Heading1"/>
      </w:pPr>
      <w:bookmarkStart w:id="92" w:name="conclusions"/>
      <w:bookmarkEnd w:id="92"/>
      <w:r>
        <w:t xml:space="preserve">Conclusions</w:t>
      </w:r>
    </w:p>
    <w:p>
      <w:pPr>
        <w:pStyle w:val="Compact"/>
        <w:numPr>
          <w:numId w:val="1002"/>
          <w:ilvl w:val="0"/>
        </w:numPr>
      </w:pPr>
      <w:r>
        <w:t xml:space="preserve">Study the herd-effect of PHiD-CV10 introduction.</w:t>
      </w:r>
    </w:p>
    <w:sectPr w:rsidR="001A0A42" w:rsidRPr="00316378" w:rsidSect="001A0A42">
      <w:headerReference w:type="default" r:id="rId9"/>
      <w:footerReference w:type="default" r:id="rId13"/>
      <w:headerReference w:type="first" r:id="rId8"/>
      <w:footerReference w:type="first" r:id="rId10"/>
      <w:type w:val="oddPage"/>
      <w:pgSz w:w="9979" w:h="14175" w:code="34"/>
      <w:pgMar w:top="1474" w:right="1474" w:bottom="1474" w:left="1644" w:header="680" w:footer="510"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vTimes">
    <w:altName w:val="MS Mincho"/>
    <w:panose1 w:val="020B0604020202020204"/>
    <w:charset w:val="80"/>
    <w:family w:val="auto"/>
    <w:notTrueType/>
    <w:pitch w:val="default"/>
    <w:sig w:usb0="00000000" w:usb1="08070000" w:usb2="00000010" w:usb3="00000000" w:csb0="00020000"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7FC41" w14:textId="77777777" w:rsidR="00D039DA" w:rsidRDefault="00D039D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60C62" w14:textId="77777777" w:rsidR="00D039DA" w:rsidRDefault="00D039DA" w:rsidP="003F1D58">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4769861"/>
      <w:docPartObj>
        <w:docPartGallery w:val="Page Numbers (Bottom of Page)"/>
        <w:docPartUnique/>
      </w:docPartObj>
    </w:sdtPr>
    <w:sdtEndPr>
      <w:rPr>
        <w:noProof/>
      </w:rPr>
    </w:sdtEndPr>
    <w:sdtContent>
      <w:p w14:paraId="185AB2B0" w14:textId="77777777" w:rsidR="00D039DA" w:rsidRDefault="00D039DA">
        <w:pPr>
          <w:pStyle w:val="Footer"/>
          <w:jc w:val="center"/>
        </w:pPr>
        <w:r>
          <w:fldChar w:fldCharType="begin"/>
        </w:r>
        <w:r>
          <w:instrText xml:space="preserve"> PAGE   \* MERGEFORMAT </w:instrText>
        </w:r>
        <w:r>
          <w:fldChar w:fldCharType="separate"/>
        </w:r>
        <w:r w:rsidR="00834A80">
          <w:rPr>
            <w:noProof/>
          </w:rPr>
          <w:t>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02375"/>
      <w:docPartObj>
        <w:docPartGallery w:val="Page Numbers (Bottom of Page)"/>
        <w:docPartUnique/>
      </w:docPartObj>
    </w:sdtPr>
    <w:sdtEndPr>
      <w:rPr>
        <w:noProof/>
      </w:rPr>
    </w:sdtEndPr>
    <w:sdtContent>
      <w:p w14:paraId="2C0D4BA6" w14:textId="77777777" w:rsidR="00D039DA" w:rsidRDefault="00D039DA">
        <w:pPr>
          <w:pStyle w:val="Footer"/>
          <w:jc w:val="center"/>
        </w:pPr>
        <w:r>
          <w:fldChar w:fldCharType="begin"/>
        </w:r>
        <w:r>
          <w:instrText xml:space="preserve"> PAGE   \* MERGEFORMAT </w:instrText>
        </w:r>
        <w:r>
          <w:fldChar w:fldCharType="separate"/>
        </w:r>
        <w:r w:rsidR="00834A80">
          <w:rPr>
            <w:noProof/>
          </w:rPr>
          <w:t>45</w:t>
        </w:r>
        <w:r>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6A209" w14:textId="77777777" w:rsidR="00D039DA" w:rsidRPr="00E13EE5" w:rsidRDefault="00D039DA" w:rsidP="00F476EA">
    <w:pPr>
      <w:pStyle w:val="Header"/>
      <w:rPr>
        <w:szCs w:val="16"/>
      </w:rPr>
    </w:pPr>
    <w:r w:rsidRPr="00E13EE5">
      <w:rPr>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16C6B" w14:textId="77777777" w:rsidR="00D039DA" w:rsidRPr="00D00592" w:rsidRDefault="00D039DA" w:rsidP="00D00592">
    <w:pPr>
      <w:pStyle w:val="Header"/>
      <w:ind w:firstLine="0"/>
      <w:rPr>
        <w:lang w:val="is-IS"/>
      </w:rPr>
    </w:pPr>
    <w:r>
      <w:rPr>
        <w:noProof/>
        <w:lang w:val="en-GB" w:eastAsia="en-GB"/>
      </w:rPr>
      <w:drawing>
        <wp:anchor distT="0" distB="0" distL="114300" distR="114300" simplePos="0" relativeHeight="251657728" behindDoc="1" locked="0" layoutInCell="1" allowOverlap="1" wp14:anchorId="239BCE90" wp14:editId="2B504175">
          <wp:simplePos x="0" y="0"/>
          <wp:positionH relativeFrom="column">
            <wp:posOffset>-900430</wp:posOffset>
          </wp:positionH>
          <wp:positionV relativeFrom="paragraph">
            <wp:posOffset>-459740</wp:posOffset>
          </wp:positionV>
          <wp:extent cx="7562850" cy="1504950"/>
          <wp:effectExtent l="19050" t="0" r="0" b="0"/>
          <wp:wrapNone/>
          <wp:docPr id="3" name="Picture 3" descr="R:\H\Háskóli Íslands\094466_HI_stadall_nyr\plakot_A4_stadall\jpg\plakot_A4_allir_liti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H\Háskóli Íslands\094466_HI_stadall_nyr\plakot_A4_stadall\jpg\plakot_A4_allir_litir_3.jpg"/>
                  <pic:cNvPicPr>
                    <a:picLocks noChangeAspect="1" noChangeArrowheads="1"/>
                  </pic:cNvPicPr>
                </pic:nvPicPr>
                <pic:blipFill>
                  <a:blip r:embed="rId1"/>
                  <a:srcRect b="85931"/>
                  <a:stretch>
                    <a:fillRect/>
                  </a:stretch>
                </pic:blipFill>
                <pic:spPr bwMode="auto">
                  <a:xfrm>
                    <a:off x="0" y="0"/>
                    <a:ext cx="7562850" cy="15049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BD8"/>
    <w:multiLevelType w:val="hybridMultilevel"/>
    <w:tmpl w:val="DD5487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1322780"/>
    <w:multiLevelType w:val="hybridMultilevel"/>
    <w:tmpl w:val="1FE4F864"/>
    <w:lvl w:ilvl="0" w:tplc="040F0001">
      <w:start w:val="1"/>
      <w:numFmt w:val="bullet"/>
      <w:lvlText w:val=""/>
      <w:lvlJc w:val="left"/>
      <w:pPr>
        <w:ind w:left="786" w:hanging="360"/>
      </w:pPr>
      <w:rPr>
        <w:rFonts w:ascii="Symbol" w:hAnsi="Symbol" w:hint="default"/>
      </w:rPr>
    </w:lvl>
    <w:lvl w:ilvl="1" w:tplc="040F0003" w:tentative="1">
      <w:start w:val="1"/>
      <w:numFmt w:val="bullet"/>
      <w:lvlText w:val="o"/>
      <w:lvlJc w:val="left"/>
      <w:pPr>
        <w:ind w:left="1506" w:hanging="360"/>
      </w:pPr>
      <w:rPr>
        <w:rFonts w:ascii="Courier New" w:hAnsi="Courier New" w:cs="Courier New" w:hint="default"/>
      </w:rPr>
    </w:lvl>
    <w:lvl w:ilvl="2" w:tplc="040F0005" w:tentative="1">
      <w:start w:val="1"/>
      <w:numFmt w:val="bullet"/>
      <w:lvlText w:val=""/>
      <w:lvlJc w:val="left"/>
      <w:pPr>
        <w:ind w:left="2226" w:hanging="360"/>
      </w:pPr>
      <w:rPr>
        <w:rFonts w:ascii="Wingdings" w:hAnsi="Wingdings" w:hint="default"/>
      </w:rPr>
    </w:lvl>
    <w:lvl w:ilvl="3" w:tplc="040F0001" w:tentative="1">
      <w:start w:val="1"/>
      <w:numFmt w:val="bullet"/>
      <w:lvlText w:val=""/>
      <w:lvlJc w:val="left"/>
      <w:pPr>
        <w:ind w:left="2946" w:hanging="360"/>
      </w:pPr>
      <w:rPr>
        <w:rFonts w:ascii="Symbol" w:hAnsi="Symbol" w:hint="default"/>
      </w:rPr>
    </w:lvl>
    <w:lvl w:ilvl="4" w:tplc="040F0003" w:tentative="1">
      <w:start w:val="1"/>
      <w:numFmt w:val="bullet"/>
      <w:lvlText w:val="o"/>
      <w:lvlJc w:val="left"/>
      <w:pPr>
        <w:ind w:left="3666" w:hanging="360"/>
      </w:pPr>
      <w:rPr>
        <w:rFonts w:ascii="Courier New" w:hAnsi="Courier New" w:cs="Courier New" w:hint="default"/>
      </w:rPr>
    </w:lvl>
    <w:lvl w:ilvl="5" w:tplc="040F0005" w:tentative="1">
      <w:start w:val="1"/>
      <w:numFmt w:val="bullet"/>
      <w:lvlText w:val=""/>
      <w:lvlJc w:val="left"/>
      <w:pPr>
        <w:ind w:left="4386" w:hanging="360"/>
      </w:pPr>
      <w:rPr>
        <w:rFonts w:ascii="Wingdings" w:hAnsi="Wingdings" w:hint="default"/>
      </w:rPr>
    </w:lvl>
    <w:lvl w:ilvl="6" w:tplc="040F0001" w:tentative="1">
      <w:start w:val="1"/>
      <w:numFmt w:val="bullet"/>
      <w:lvlText w:val=""/>
      <w:lvlJc w:val="left"/>
      <w:pPr>
        <w:ind w:left="5106" w:hanging="360"/>
      </w:pPr>
      <w:rPr>
        <w:rFonts w:ascii="Symbol" w:hAnsi="Symbol" w:hint="default"/>
      </w:rPr>
    </w:lvl>
    <w:lvl w:ilvl="7" w:tplc="040F0003" w:tentative="1">
      <w:start w:val="1"/>
      <w:numFmt w:val="bullet"/>
      <w:lvlText w:val="o"/>
      <w:lvlJc w:val="left"/>
      <w:pPr>
        <w:ind w:left="5826" w:hanging="360"/>
      </w:pPr>
      <w:rPr>
        <w:rFonts w:ascii="Courier New" w:hAnsi="Courier New" w:cs="Courier New" w:hint="default"/>
      </w:rPr>
    </w:lvl>
    <w:lvl w:ilvl="8" w:tplc="040F0005" w:tentative="1">
      <w:start w:val="1"/>
      <w:numFmt w:val="bullet"/>
      <w:lvlText w:val=""/>
      <w:lvlJc w:val="left"/>
      <w:pPr>
        <w:ind w:left="6546" w:hanging="360"/>
      </w:pPr>
      <w:rPr>
        <w:rFonts w:ascii="Wingdings" w:hAnsi="Wingdings" w:hint="default"/>
      </w:rPr>
    </w:lvl>
  </w:abstractNum>
  <w:abstractNum w:abstractNumId="2" w15:restartNumberingAfterBreak="0">
    <w:nsid w:val="29D3459F"/>
    <w:multiLevelType w:val="hybridMultilevel"/>
    <w:tmpl w:val="6344BFFE"/>
    <w:lvl w:ilvl="0" w:tplc="040F0001">
      <w:start w:val="1"/>
      <w:numFmt w:val="bullet"/>
      <w:lvlText w:val=""/>
      <w:lvlJc w:val="left"/>
      <w:pPr>
        <w:ind w:left="1004" w:hanging="360"/>
      </w:pPr>
      <w:rPr>
        <w:rFonts w:ascii="Symbol" w:hAnsi="Symbol" w:hint="default"/>
      </w:rPr>
    </w:lvl>
    <w:lvl w:ilvl="1" w:tplc="040F0019" w:tentative="1">
      <w:start w:val="1"/>
      <w:numFmt w:val="lowerLetter"/>
      <w:lvlText w:val="%2."/>
      <w:lvlJc w:val="left"/>
      <w:pPr>
        <w:ind w:left="1724" w:hanging="360"/>
      </w:pPr>
    </w:lvl>
    <w:lvl w:ilvl="2" w:tplc="040F001B" w:tentative="1">
      <w:start w:val="1"/>
      <w:numFmt w:val="lowerRoman"/>
      <w:lvlText w:val="%3."/>
      <w:lvlJc w:val="right"/>
      <w:pPr>
        <w:ind w:left="2444" w:hanging="180"/>
      </w:pPr>
    </w:lvl>
    <w:lvl w:ilvl="3" w:tplc="040F000F" w:tentative="1">
      <w:start w:val="1"/>
      <w:numFmt w:val="decimal"/>
      <w:lvlText w:val="%4."/>
      <w:lvlJc w:val="left"/>
      <w:pPr>
        <w:ind w:left="3164" w:hanging="360"/>
      </w:pPr>
    </w:lvl>
    <w:lvl w:ilvl="4" w:tplc="040F0019" w:tentative="1">
      <w:start w:val="1"/>
      <w:numFmt w:val="lowerLetter"/>
      <w:lvlText w:val="%5."/>
      <w:lvlJc w:val="left"/>
      <w:pPr>
        <w:ind w:left="3884" w:hanging="360"/>
      </w:pPr>
    </w:lvl>
    <w:lvl w:ilvl="5" w:tplc="040F001B" w:tentative="1">
      <w:start w:val="1"/>
      <w:numFmt w:val="lowerRoman"/>
      <w:lvlText w:val="%6."/>
      <w:lvlJc w:val="right"/>
      <w:pPr>
        <w:ind w:left="4604" w:hanging="180"/>
      </w:pPr>
    </w:lvl>
    <w:lvl w:ilvl="6" w:tplc="040F000F" w:tentative="1">
      <w:start w:val="1"/>
      <w:numFmt w:val="decimal"/>
      <w:lvlText w:val="%7."/>
      <w:lvlJc w:val="left"/>
      <w:pPr>
        <w:ind w:left="5324" w:hanging="360"/>
      </w:pPr>
    </w:lvl>
    <w:lvl w:ilvl="7" w:tplc="040F0019" w:tentative="1">
      <w:start w:val="1"/>
      <w:numFmt w:val="lowerLetter"/>
      <w:lvlText w:val="%8."/>
      <w:lvlJc w:val="left"/>
      <w:pPr>
        <w:ind w:left="6044" w:hanging="360"/>
      </w:pPr>
    </w:lvl>
    <w:lvl w:ilvl="8" w:tplc="040F001B" w:tentative="1">
      <w:start w:val="1"/>
      <w:numFmt w:val="lowerRoman"/>
      <w:lvlText w:val="%9."/>
      <w:lvlJc w:val="right"/>
      <w:pPr>
        <w:ind w:left="6764" w:hanging="180"/>
      </w:pPr>
    </w:lvl>
  </w:abstractNum>
  <w:abstractNum w:abstractNumId="3" w15:restartNumberingAfterBreak="0">
    <w:nsid w:val="31425EE9"/>
    <w:multiLevelType w:val="hybridMultilevel"/>
    <w:tmpl w:val="C5E2FEA2"/>
    <w:lvl w:ilvl="0" w:tplc="040F0001">
      <w:start w:val="1"/>
      <w:numFmt w:val="bullet"/>
      <w:lvlText w:val=""/>
      <w:lvlJc w:val="left"/>
      <w:pPr>
        <w:ind w:left="1004" w:hanging="360"/>
      </w:pPr>
      <w:rPr>
        <w:rFonts w:ascii="Symbol" w:hAnsi="Symbol" w:hint="default"/>
      </w:rPr>
    </w:lvl>
    <w:lvl w:ilvl="1" w:tplc="040F0019" w:tentative="1">
      <w:start w:val="1"/>
      <w:numFmt w:val="lowerLetter"/>
      <w:lvlText w:val="%2."/>
      <w:lvlJc w:val="left"/>
      <w:pPr>
        <w:ind w:left="1724" w:hanging="360"/>
      </w:pPr>
    </w:lvl>
    <w:lvl w:ilvl="2" w:tplc="040F001B" w:tentative="1">
      <w:start w:val="1"/>
      <w:numFmt w:val="lowerRoman"/>
      <w:lvlText w:val="%3."/>
      <w:lvlJc w:val="right"/>
      <w:pPr>
        <w:ind w:left="2444" w:hanging="180"/>
      </w:pPr>
    </w:lvl>
    <w:lvl w:ilvl="3" w:tplc="040F000F" w:tentative="1">
      <w:start w:val="1"/>
      <w:numFmt w:val="decimal"/>
      <w:lvlText w:val="%4."/>
      <w:lvlJc w:val="left"/>
      <w:pPr>
        <w:ind w:left="3164" w:hanging="360"/>
      </w:pPr>
    </w:lvl>
    <w:lvl w:ilvl="4" w:tplc="040F0019" w:tentative="1">
      <w:start w:val="1"/>
      <w:numFmt w:val="lowerLetter"/>
      <w:lvlText w:val="%5."/>
      <w:lvlJc w:val="left"/>
      <w:pPr>
        <w:ind w:left="3884" w:hanging="360"/>
      </w:pPr>
    </w:lvl>
    <w:lvl w:ilvl="5" w:tplc="040F001B" w:tentative="1">
      <w:start w:val="1"/>
      <w:numFmt w:val="lowerRoman"/>
      <w:lvlText w:val="%6."/>
      <w:lvlJc w:val="right"/>
      <w:pPr>
        <w:ind w:left="4604" w:hanging="180"/>
      </w:pPr>
    </w:lvl>
    <w:lvl w:ilvl="6" w:tplc="040F000F" w:tentative="1">
      <w:start w:val="1"/>
      <w:numFmt w:val="decimal"/>
      <w:lvlText w:val="%7."/>
      <w:lvlJc w:val="left"/>
      <w:pPr>
        <w:ind w:left="5324" w:hanging="360"/>
      </w:pPr>
    </w:lvl>
    <w:lvl w:ilvl="7" w:tplc="040F0019" w:tentative="1">
      <w:start w:val="1"/>
      <w:numFmt w:val="lowerLetter"/>
      <w:lvlText w:val="%8."/>
      <w:lvlJc w:val="left"/>
      <w:pPr>
        <w:ind w:left="6044" w:hanging="360"/>
      </w:pPr>
    </w:lvl>
    <w:lvl w:ilvl="8" w:tplc="040F001B" w:tentative="1">
      <w:start w:val="1"/>
      <w:numFmt w:val="lowerRoman"/>
      <w:lvlText w:val="%9."/>
      <w:lvlJc w:val="right"/>
      <w:pPr>
        <w:ind w:left="6764" w:hanging="180"/>
      </w:pPr>
    </w:lvl>
  </w:abstractNum>
  <w:abstractNum w:abstractNumId="4" w15:restartNumberingAfterBreak="0">
    <w:nsid w:val="3A4E00FB"/>
    <w:multiLevelType w:val="hybridMultilevel"/>
    <w:tmpl w:val="7FA6864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5" w15:restartNumberingAfterBreak="0">
    <w:nsid w:val="3A6F7E1A"/>
    <w:multiLevelType w:val="hybridMultilevel"/>
    <w:tmpl w:val="9628ECF6"/>
    <w:lvl w:ilvl="0" w:tplc="3306ED7A">
      <w:start w:val="1"/>
      <w:numFmt w:val="decimal"/>
      <w:pStyle w:val="fyrstalagi"/>
      <w:lvlText w:val="%1."/>
      <w:lvlJc w:val="left"/>
      <w:pPr>
        <w:ind w:left="1004" w:hanging="360"/>
      </w:pPr>
    </w:lvl>
    <w:lvl w:ilvl="1" w:tplc="040F0019" w:tentative="1">
      <w:start w:val="1"/>
      <w:numFmt w:val="lowerLetter"/>
      <w:lvlText w:val="%2."/>
      <w:lvlJc w:val="left"/>
      <w:pPr>
        <w:ind w:left="1724" w:hanging="360"/>
      </w:pPr>
    </w:lvl>
    <w:lvl w:ilvl="2" w:tplc="040F001B" w:tentative="1">
      <w:start w:val="1"/>
      <w:numFmt w:val="lowerRoman"/>
      <w:lvlText w:val="%3."/>
      <w:lvlJc w:val="right"/>
      <w:pPr>
        <w:ind w:left="2444" w:hanging="180"/>
      </w:pPr>
    </w:lvl>
    <w:lvl w:ilvl="3" w:tplc="040F000F" w:tentative="1">
      <w:start w:val="1"/>
      <w:numFmt w:val="decimal"/>
      <w:lvlText w:val="%4."/>
      <w:lvlJc w:val="left"/>
      <w:pPr>
        <w:ind w:left="3164" w:hanging="360"/>
      </w:pPr>
    </w:lvl>
    <w:lvl w:ilvl="4" w:tplc="040F0019" w:tentative="1">
      <w:start w:val="1"/>
      <w:numFmt w:val="lowerLetter"/>
      <w:lvlText w:val="%5."/>
      <w:lvlJc w:val="left"/>
      <w:pPr>
        <w:ind w:left="3884" w:hanging="360"/>
      </w:pPr>
    </w:lvl>
    <w:lvl w:ilvl="5" w:tplc="040F001B" w:tentative="1">
      <w:start w:val="1"/>
      <w:numFmt w:val="lowerRoman"/>
      <w:lvlText w:val="%6."/>
      <w:lvlJc w:val="right"/>
      <w:pPr>
        <w:ind w:left="4604" w:hanging="180"/>
      </w:pPr>
    </w:lvl>
    <w:lvl w:ilvl="6" w:tplc="040F000F" w:tentative="1">
      <w:start w:val="1"/>
      <w:numFmt w:val="decimal"/>
      <w:lvlText w:val="%7."/>
      <w:lvlJc w:val="left"/>
      <w:pPr>
        <w:ind w:left="5324" w:hanging="360"/>
      </w:pPr>
    </w:lvl>
    <w:lvl w:ilvl="7" w:tplc="040F0019" w:tentative="1">
      <w:start w:val="1"/>
      <w:numFmt w:val="lowerLetter"/>
      <w:lvlText w:val="%8."/>
      <w:lvlJc w:val="left"/>
      <w:pPr>
        <w:ind w:left="6044" w:hanging="360"/>
      </w:pPr>
    </w:lvl>
    <w:lvl w:ilvl="8" w:tplc="040F001B" w:tentative="1">
      <w:start w:val="1"/>
      <w:numFmt w:val="lowerRoman"/>
      <w:lvlText w:val="%9."/>
      <w:lvlJc w:val="right"/>
      <w:pPr>
        <w:ind w:left="6764" w:hanging="180"/>
      </w:pPr>
    </w:lvl>
  </w:abstractNum>
  <w:abstractNum w:abstractNumId="6" w15:restartNumberingAfterBreak="0">
    <w:nsid w:val="3AB8594D"/>
    <w:multiLevelType w:val="hybridMultilevel"/>
    <w:tmpl w:val="415CE316"/>
    <w:lvl w:ilvl="0" w:tplc="040F0001">
      <w:start w:val="1"/>
      <w:numFmt w:val="bullet"/>
      <w:lvlText w:val=""/>
      <w:lvlJc w:val="left"/>
      <w:pPr>
        <w:ind w:left="1004" w:hanging="360"/>
      </w:pPr>
      <w:rPr>
        <w:rFonts w:ascii="Symbol" w:hAnsi="Symbol" w:hint="default"/>
      </w:rPr>
    </w:lvl>
    <w:lvl w:ilvl="1" w:tplc="040F0019" w:tentative="1">
      <w:start w:val="1"/>
      <w:numFmt w:val="lowerLetter"/>
      <w:lvlText w:val="%2."/>
      <w:lvlJc w:val="left"/>
      <w:pPr>
        <w:ind w:left="1724" w:hanging="360"/>
      </w:pPr>
    </w:lvl>
    <w:lvl w:ilvl="2" w:tplc="040F001B" w:tentative="1">
      <w:start w:val="1"/>
      <w:numFmt w:val="lowerRoman"/>
      <w:lvlText w:val="%3."/>
      <w:lvlJc w:val="right"/>
      <w:pPr>
        <w:ind w:left="2444" w:hanging="180"/>
      </w:pPr>
    </w:lvl>
    <w:lvl w:ilvl="3" w:tplc="040F000F" w:tentative="1">
      <w:start w:val="1"/>
      <w:numFmt w:val="decimal"/>
      <w:lvlText w:val="%4."/>
      <w:lvlJc w:val="left"/>
      <w:pPr>
        <w:ind w:left="3164" w:hanging="360"/>
      </w:pPr>
    </w:lvl>
    <w:lvl w:ilvl="4" w:tplc="040F0019" w:tentative="1">
      <w:start w:val="1"/>
      <w:numFmt w:val="lowerLetter"/>
      <w:lvlText w:val="%5."/>
      <w:lvlJc w:val="left"/>
      <w:pPr>
        <w:ind w:left="3884" w:hanging="360"/>
      </w:pPr>
    </w:lvl>
    <w:lvl w:ilvl="5" w:tplc="040F001B" w:tentative="1">
      <w:start w:val="1"/>
      <w:numFmt w:val="lowerRoman"/>
      <w:lvlText w:val="%6."/>
      <w:lvlJc w:val="right"/>
      <w:pPr>
        <w:ind w:left="4604" w:hanging="180"/>
      </w:pPr>
    </w:lvl>
    <w:lvl w:ilvl="6" w:tplc="040F000F" w:tentative="1">
      <w:start w:val="1"/>
      <w:numFmt w:val="decimal"/>
      <w:lvlText w:val="%7."/>
      <w:lvlJc w:val="left"/>
      <w:pPr>
        <w:ind w:left="5324" w:hanging="360"/>
      </w:pPr>
    </w:lvl>
    <w:lvl w:ilvl="7" w:tplc="040F0019" w:tentative="1">
      <w:start w:val="1"/>
      <w:numFmt w:val="lowerLetter"/>
      <w:lvlText w:val="%8."/>
      <w:lvlJc w:val="left"/>
      <w:pPr>
        <w:ind w:left="6044" w:hanging="360"/>
      </w:pPr>
    </w:lvl>
    <w:lvl w:ilvl="8" w:tplc="040F001B" w:tentative="1">
      <w:start w:val="1"/>
      <w:numFmt w:val="lowerRoman"/>
      <w:lvlText w:val="%9."/>
      <w:lvlJc w:val="right"/>
      <w:pPr>
        <w:ind w:left="6764" w:hanging="180"/>
      </w:pPr>
    </w:lvl>
  </w:abstractNum>
  <w:abstractNum w:abstractNumId="7" w15:restartNumberingAfterBreak="0">
    <w:nsid w:val="45A63B67"/>
    <w:multiLevelType w:val="hybridMultilevel"/>
    <w:tmpl w:val="ECC87928"/>
    <w:lvl w:ilvl="0" w:tplc="040F0003">
      <w:start w:val="1"/>
      <w:numFmt w:val="bullet"/>
      <w:lvlText w:val="o"/>
      <w:lvlJc w:val="left"/>
      <w:pPr>
        <w:ind w:left="1440" w:hanging="360"/>
      </w:pPr>
      <w:rPr>
        <w:rFonts w:ascii="Courier New" w:hAnsi="Courier New" w:cs="Courier New" w:hint="default"/>
      </w:rPr>
    </w:lvl>
    <w:lvl w:ilvl="1" w:tplc="040F0003" w:tentative="1">
      <w:start w:val="1"/>
      <w:numFmt w:val="bullet"/>
      <w:lvlText w:val="o"/>
      <w:lvlJc w:val="left"/>
      <w:pPr>
        <w:ind w:left="2160" w:hanging="360"/>
      </w:pPr>
      <w:rPr>
        <w:rFonts w:ascii="Courier New" w:hAnsi="Courier New" w:cs="Courier New" w:hint="default"/>
      </w:rPr>
    </w:lvl>
    <w:lvl w:ilvl="2" w:tplc="040F0005" w:tentative="1">
      <w:start w:val="1"/>
      <w:numFmt w:val="bullet"/>
      <w:lvlText w:val=""/>
      <w:lvlJc w:val="left"/>
      <w:pPr>
        <w:ind w:left="2880" w:hanging="360"/>
      </w:pPr>
      <w:rPr>
        <w:rFonts w:ascii="Wingdings" w:hAnsi="Wingdings" w:hint="default"/>
      </w:rPr>
    </w:lvl>
    <w:lvl w:ilvl="3" w:tplc="040F0001" w:tentative="1">
      <w:start w:val="1"/>
      <w:numFmt w:val="bullet"/>
      <w:lvlText w:val=""/>
      <w:lvlJc w:val="left"/>
      <w:pPr>
        <w:ind w:left="3600" w:hanging="360"/>
      </w:pPr>
      <w:rPr>
        <w:rFonts w:ascii="Symbol" w:hAnsi="Symbol" w:hint="default"/>
      </w:rPr>
    </w:lvl>
    <w:lvl w:ilvl="4" w:tplc="040F0003" w:tentative="1">
      <w:start w:val="1"/>
      <w:numFmt w:val="bullet"/>
      <w:lvlText w:val="o"/>
      <w:lvlJc w:val="left"/>
      <w:pPr>
        <w:ind w:left="4320" w:hanging="360"/>
      </w:pPr>
      <w:rPr>
        <w:rFonts w:ascii="Courier New" w:hAnsi="Courier New" w:cs="Courier New" w:hint="default"/>
      </w:rPr>
    </w:lvl>
    <w:lvl w:ilvl="5" w:tplc="040F0005" w:tentative="1">
      <w:start w:val="1"/>
      <w:numFmt w:val="bullet"/>
      <w:lvlText w:val=""/>
      <w:lvlJc w:val="left"/>
      <w:pPr>
        <w:ind w:left="5040" w:hanging="360"/>
      </w:pPr>
      <w:rPr>
        <w:rFonts w:ascii="Wingdings" w:hAnsi="Wingdings" w:hint="default"/>
      </w:rPr>
    </w:lvl>
    <w:lvl w:ilvl="6" w:tplc="040F0001" w:tentative="1">
      <w:start w:val="1"/>
      <w:numFmt w:val="bullet"/>
      <w:lvlText w:val=""/>
      <w:lvlJc w:val="left"/>
      <w:pPr>
        <w:ind w:left="5760" w:hanging="360"/>
      </w:pPr>
      <w:rPr>
        <w:rFonts w:ascii="Symbol" w:hAnsi="Symbol" w:hint="default"/>
      </w:rPr>
    </w:lvl>
    <w:lvl w:ilvl="7" w:tplc="040F0003" w:tentative="1">
      <w:start w:val="1"/>
      <w:numFmt w:val="bullet"/>
      <w:lvlText w:val="o"/>
      <w:lvlJc w:val="left"/>
      <w:pPr>
        <w:ind w:left="6480" w:hanging="360"/>
      </w:pPr>
      <w:rPr>
        <w:rFonts w:ascii="Courier New" w:hAnsi="Courier New" w:cs="Courier New" w:hint="default"/>
      </w:rPr>
    </w:lvl>
    <w:lvl w:ilvl="8" w:tplc="040F0005" w:tentative="1">
      <w:start w:val="1"/>
      <w:numFmt w:val="bullet"/>
      <w:lvlText w:val=""/>
      <w:lvlJc w:val="left"/>
      <w:pPr>
        <w:ind w:left="7200" w:hanging="360"/>
      </w:pPr>
      <w:rPr>
        <w:rFonts w:ascii="Wingdings" w:hAnsi="Wingdings" w:hint="default"/>
      </w:rPr>
    </w:lvl>
  </w:abstractNum>
  <w:abstractNum w:abstractNumId="8" w15:restartNumberingAfterBreak="0">
    <w:nsid w:val="4E985019"/>
    <w:multiLevelType w:val="multilevel"/>
    <w:tmpl w:val="F0582396"/>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3470408"/>
    <w:multiLevelType w:val="hybridMultilevel"/>
    <w:tmpl w:val="9DB00BB0"/>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0" w15:restartNumberingAfterBreak="0">
    <w:nsid w:val="5BD70FB7"/>
    <w:multiLevelType w:val="hybridMultilevel"/>
    <w:tmpl w:val="9588F852"/>
    <w:lvl w:ilvl="0" w:tplc="040F0001">
      <w:start w:val="1"/>
      <w:numFmt w:val="bullet"/>
      <w:lvlText w:val=""/>
      <w:lvlJc w:val="left"/>
      <w:pPr>
        <w:ind w:left="1440" w:hanging="360"/>
      </w:pPr>
      <w:rPr>
        <w:rFonts w:ascii="Symbol" w:hAnsi="Symbol" w:hint="default"/>
      </w:rPr>
    </w:lvl>
    <w:lvl w:ilvl="1" w:tplc="040F0003" w:tentative="1">
      <w:start w:val="1"/>
      <w:numFmt w:val="bullet"/>
      <w:lvlText w:val="o"/>
      <w:lvlJc w:val="left"/>
      <w:pPr>
        <w:ind w:left="2160" w:hanging="360"/>
      </w:pPr>
      <w:rPr>
        <w:rFonts w:ascii="Courier New" w:hAnsi="Courier New" w:cs="Courier New" w:hint="default"/>
      </w:rPr>
    </w:lvl>
    <w:lvl w:ilvl="2" w:tplc="040F0005" w:tentative="1">
      <w:start w:val="1"/>
      <w:numFmt w:val="bullet"/>
      <w:lvlText w:val=""/>
      <w:lvlJc w:val="left"/>
      <w:pPr>
        <w:ind w:left="2880" w:hanging="360"/>
      </w:pPr>
      <w:rPr>
        <w:rFonts w:ascii="Wingdings" w:hAnsi="Wingdings" w:hint="default"/>
      </w:rPr>
    </w:lvl>
    <w:lvl w:ilvl="3" w:tplc="040F0001" w:tentative="1">
      <w:start w:val="1"/>
      <w:numFmt w:val="bullet"/>
      <w:lvlText w:val=""/>
      <w:lvlJc w:val="left"/>
      <w:pPr>
        <w:ind w:left="3600" w:hanging="360"/>
      </w:pPr>
      <w:rPr>
        <w:rFonts w:ascii="Symbol" w:hAnsi="Symbol" w:hint="default"/>
      </w:rPr>
    </w:lvl>
    <w:lvl w:ilvl="4" w:tplc="040F0003" w:tentative="1">
      <w:start w:val="1"/>
      <w:numFmt w:val="bullet"/>
      <w:lvlText w:val="o"/>
      <w:lvlJc w:val="left"/>
      <w:pPr>
        <w:ind w:left="4320" w:hanging="360"/>
      </w:pPr>
      <w:rPr>
        <w:rFonts w:ascii="Courier New" w:hAnsi="Courier New" w:cs="Courier New" w:hint="default"/>
      </w:rPr>
    </w:lvl>
    <w:lvl w:ilvl="5" w:tplc="040F0005" w:tentative="1">
      <w:start w:val="1"/>
      <w:numFmt w:val="bullet"/>
      <w:lvlText w:val=""/>
      <w:lvlJc w:val="left"/>
      <w:pPr>
        <w:ind w:left="5040" w:hanging="360"/>
      </w:pPr>
      <w:rPr>
        <w:rFonts w:ascii="Wingdings" w:hAnsi="Wingdings" w:hint="default"/>
      </w:rPr>
    </w:lvl>
    <w:lvl w:ilvl="6" w:tplc="040F0001" w:tentative="1">
      <w:start w:val="1"/>
      <w:numFmt w:val="bullet"/>
      <w:lvlText w:val=""/>
      <w:lvlJc w:val="left"/>
      <w:pPr>
        <w:ind w:left="5760" w:hanging="360"/>
      </w:pPr>
      <w:rPr>
        <w:rFonts w:ascii="Symbol" w:hAnsi="Symbol" w:hint="default"/>
      </w:rPr>
    </w:lvl>
    <w:lvl w:ilvl="7" w:tplc="040F0003" w:tentative="1">
      <w:start w:val="1"/>
      <w:numFmt w:val="bullet"/>
      <w:lvlText w:val="o"/>
      <w:lvlJc w:val="left"/>
      <w:pPr>
        <w:ind w:left="6480" w:hanging="360"/>
      </w:pPr>
      <w:rPr>
        <w:rFonts w:ascii="Courier New" w:hAnsi="Courier New" w:cs="Courier New" w:hint="default"/>
      </w:rPr>
    </w:lvl>
    <w:lvl w:ilvl="8" w:tplc="040F0005" w:tentative="1">
      <w:start w:val="1"/>
      <w:numFmt w:val="bullet"/>
      <w:lvlText w:val=""/>
      <w:lvlJc w:val="left"/>
      <w:pPr>
        <w:ind w:left="7200" w:hanging="360"/>
      </w:pPr>
      <w:rPr>
        <w:rFonts w:ascii="Wingdings" w:hAnsi="Wingdings" w:hint="default"/>
      </w:rPr>
    </w:lvl>
  </w:abstractNum>
  <w:abstractNum w:abstractNumId="11" w15:restartNumberingAfterBreak="0">
    <w:nsid w:val="6B085048"/>
    <w:multiLevelType w:val="hybridMultilevel"/>
    <w:tmpl w:val="5860BE2A"/>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990">
    <w:nsid w:val="f8e8179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511">
    <w:nsid w:val="3c1638d5"/>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a87c2f8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8"/>
  </w:num>
  <w:num w:numId="2">
    <w:abstractNumId w:val="5"/>
  </w:num>
  <w:num w:numId="3">
    <w:abstractNumId w:val="10"/>
  </w:num>
  <w:num w:numId="4">
    <w:abstractNumId w:val="11"/>
  </w:num>
  <w:num w:numId="5">
    <w:abstractNumId w:val="4"/>
  </w:num>
  <w:num w:numId="6">
    <w:abstractNumId w:val="9"/>
  </w:num>
  <w:num w:numId="7">
    <w:abstractNumId w:val="7"/>
  </w:num>
  <w:num w:numId="8">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5"/>
  </w:num>
  <w:num w:numId="19">
    <w:abstractNumId w:val="5"/>
  </w:num>
  <w:num w:numId="20">
    <w:abstractNumId w:val="8"/>
  </w:num>
  <w:num w:numId="21">
    <w:abstractNumId w:val="2"/>
  </w:num>
  <w:num w:numId="22">
    <w:abstractNumId w:val="0"/>
  </w:num>
  <w:num w:numId="23">
    <w:abstractNumId w:val="1"/>
  </w:num>
  <w:num w:numId="24">
    <w:abstractNumId w:val="3"/>
  </w:num>
  <w:num w:numId="25">
    <w:abstractNumId w:val="6"/>
  </w:num>
  <w:num w:numId="1000">
    <w:abstractNumId w:val="990"/>
  </w:num>
  <w:num w:numId="1001">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s-IS" w:eastAsia="is-IS" w:bidi="ar-SA"/>
      </w:rPr>
    </w:rPrDefault>
    <w:pPrDefault>
      <w:pPr>
        <w:spacing w:before="120" w:after="60" w:line="312" w:lineRule="auto"/>
        <w:ind w:right="272"/>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2" w:unhideWhenUsed="1"/>
    <w:lsdException w:name="index 2" w:semiHidden="1" w:uiPriority="2" w:unhideWhenUsed="1"/>
    <w:lsdException w:name="index 3" w:semiHidden="1" w:uiPriority="2" w:unhideWhenUsed="1"/>
    <w:lsdException w:name="index 4" w:semiHidden="1" w:uiPriority="2" w:unhideWhenUsed="1"/>
    <w:lsdException w:name="index 5" w:semiHidden="1" w:uiPriority="2" w:unhideWhenUsed="1"/>
    <w:lsdException w:name="index 6" w:semiHidden="1" w:uiPriority="2" w:unhideWhenUsed="1"/>
    <w:lsdException w:name="index 7" w:semiHidden="1" w:uiPriority="2" w:unhideWhenUsed="1"/>
    <w:lsdException w:name="index 8" w:semiHidden="1" w:uiPriority="2" w:unhideWhenUsed="1"/>
    <w:lsdException w:name="index 9" w:semiHidden="1" w:uiPriority="2"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2" w:unhideWhenUsed="1"/>
    <w:lsdException w:name="caption" w:semiHidden="1" w:unhideWhenUsed="1" w:qFormat="1"/>
    <w:lsdException w:name="table of figures" w:semiHidden="1" w:uiPriority="99" w:unhideWhenUsed="1"/>
    <w:lsdException w:name="envelope address" w:semiHidden="1" w:uiPriority="2" w:unhideWhenUsed="1"/>
    <w:lsdException w:name="envelope return" w:semiHidden="1" w:uiPriority="2" w:unhideWhenUsed="1"/>
    <w:lsdException w:name="footnote reference" w:semiHidden="1" w:unhideWhenUsed="1"/>
    <w:lsdException w:name="annotation reference" w:semiHidden="1" w:unhideWhenUsed="1"/>
    <w:lsdException w:name="line number" w:semiHidden="1" w:uiPriority="2" w:unhideWhenUsed="1"/>
    <w:lsdException w:name="page number" w:semiHidden="1" w:unhideWhenUsed="1"/>
    <w:lsdException w:name="endnote reference" w:semiHidden="1" w:unhideWhenUsed="1"/>
    <w:lsdException w:name="endnote text" w:semiHidden="1" w:unhideWhenUsed="1"/>
    <w:lsdException w:name="table of authorities" w:semiHidden="1" w:uiPriority="2" w:unhideWhenUsed="1"/>
    <w:lsdException w:name="macro" w:semiHidden="1" w:uiPriority="2" w:unhideWhenUsed="1"/>
    <w:lsdException w:name="toa heading" w:semiHidden="1" w:unhideWhenUsed="1"/>
    <w:lsdException w:name="List" w:semiHidden="1" w:uiPriority="2" w:unhideWhenUsed="1"/>
    <w:lsdException w:name="List Bullet" w:semiHidden="1" w:uiPriority="2" w:unhideWhenUsed="1"/>
    <w:lsdException w:name="List Number" w:uiPriority="2"/>
    <w:lsdException w:name="List 2" w:semiHidden="1" w:uiPriority="2" w:unhideWhenUsed="1"/>
    <w:lsdException w:name="List 3" w:semiHidden="1" w:uiPriority="2" w:unhideWhenUsed="1"/>
    <w:lsdException w:name="List 4" w:uiPriority="2"/>
    <w:lsdException w:name="List 5" w:uiPriority="2"/>
    <w:lsdException w:name="List Bullet 2" w:semiHidden="1" w:uiPriority="2" w:unhideWhenUsed="1"/>
    <w:lsdException w:name="List Bullet 3" w:semiHidden="1" w:uiPriority="2" w:unhideWhenUsed="1"/>
    <w:lsdException w:name="List Bullet 4" w:semiHidden="1" w:uiPriority="2" w:unhideWhenUsed="1"/>
    <w:lsdException w:name="List Bullet 5" w:semiHidden="1" w:uiPriority="2" w:unhideWhenUsed="1"/>
    <w:lsdException w:name="List Number 2" w:semiHidden="1" w:uiPriority="2" w:unhideWhenUsed="1"/>
    <w:lsdException w:name="List Number 3" w:semiHidden="1" w:uiPriority="2" w:unhideWhenUsed="1"/>
    <w:lsdException w:name="List Number 4" w:semiHidden="1" w:uiPriority="2" w:unhideWhenUsed="1"/>
    <w:lsdException w:name="List Number 5" w:semiHidden="1" w:uiPriority="2" w:unhideWhenUsed="1"/>
    <w:lsdException w:name="Closing" w:semiHidden="1" w:uiPriority="2" w:unhideWhenUsed="1"/>
    <w:lsdException w:name="Signature" w:semiHidden="1" w:uiPriority="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2" w:unhideWhenUsed="1"/>
    <w:lsdException w:name="List Continue 2" w:semiHidden="1" w:uiPriority="2" w:unhideWhenUsed="1"/>
    <w:lsdException w:name="List Continue 3" w:semiHidden="1" w:uiPriority="2" w:unhideWhenUsed="1"/>
    <w:lsdException w:name="List Continue 4" w:semiHidden="1" w:uiPriority="2" w:unhideWhenUsed="1"/>
    <w:lsdException w:name="List Continue 5" w:semiHidden="1" w:uiPriority="2" w:unhideWhenUsed="1"/>
    <w:lsdException w:name="Message Header" w:semiHidden="1" w:uiPriority="2" w:unhideWhenUsed="1"/>
    <w:lsdException w:name="Salutation" w:uiPriority="1"/>
    <w:lsdException w:name="Date" w:uiPriority="2"/>
    <w:lsdException w:name="Body Text First Indent" w:uiPriority="2"/>
    <w:lsdException w:name="Body Text First Indent 2" w:semiHidden="1" w:uiPriority="2" w:unhideWhenUsed="1"/>
    <w:lsdException w:name="Note Heading" w:semiHidden="1" w:uiPriority="1" w:unhideWhenUsed="1"/>
    <w:lsdException w:name="Body Text 2" w:semiHidden="1" w:unhideWhenUsed="1"/>
    <w:lsdException w:name="Body Text 3" w:semiHidden="1" w:unhideWhenUsed="1"/>
    <w:lsdException w:name="Body Text Indent 2" w:semiHidden="1" w:uiPriority="2" w:unhideWhenUsed="1"/>
    <w:lsdException w:name="Body Text Indent 3" w:semiHidden="1" w:uiPriority="2" w:unhideWhenUsed="1"/>
    <w:lsdException w:name="Block Text" w:semiHidden="1" w:unhideWhenUsed="1"/>
    <w:lsdException w:name="Hyperlink" w:semiHidden="1" w:uiPriority="99" w:unhideWhenUsed="1"/>
    <w:lsdException w:name="FollowedHyperlink" w:semiHidden="1" w:unhideWhenUsed="1"/>
    <w:lsdException w:name="Emphasis" w:uiPriority="2"/>
    <w:lsdException w:name="Document Map" w:semiHidden="1" w:uiPriority="2" w:unhideWhenUsed="1"/>
    <w:lsdException w:name="Plain Text" w:semiHidden="1" w:uiPriority="1" w:unhideWhenUsed="1"/>
    <w:lsdException w:name="E-mail Signature" w:semiHidden="1" w:uiPriority="2"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2" w:unhideWhenUsed="1"/>
    <w:lsdException w:name="HTML Address" w:semiHidden="1" w:uiPriority="2" w:unhideWhenUsed="1"/>
    <w:lsdException w:name="HTML Cite" w:semiHidden="1" w:uiPriority="2" w:unhideWhenUsed="1"/>
    <w:lsdException w:name="HTML Code" w:semiHidden="1" w:uiPriority="2" w:unhideWhenUsed="1"/>
    <w:lsdException w:name="HTML Definition" w:semiHidden="1" w:uiPriority="2" w:unhideWhenUsed="1"/>
    <w:lsdException w:name="HTML Keyboard" w:semiHidden="1" w:uiPriority="2" w:unhideWhenUsed="1"/>
    <w:lsdException w:name="HTML Preformatted" w:semiHidden="1" w:uiPriority="2" w:unhideWhenUsed="1"/>
    <w:lsdException w:name="HTML Sample" w:semiHidden="1" w:uiPriority="2" w:unhideWhenUsed="1"/>
    <w:lsdException w:name="HTML Typewriter" w:semiHidden="1" w:uiPriority="99" w:unhideWhenUsed="1"/>
    <w:lsdException w:name="HTML Variable" w:semiHidden="1" w:uiPriority="2"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D738D"/>
    <w:pPr>
      <w:spacing w:line="280" w:lineRule="exact"/>
      <w:ind w:right="0" w:firstLine="284"/>
      <w:jc w:val="both"/>
    </w:pPr>
    <w:rPr>
      <w:rFonts w:ascii="Arial" w:hAnsi="Arial"/>
      <w:szCs w:val="24"/>
      <w:lang w:val="en-US" w:eastAsia="en-US"/>
    </w:rPr>
  </w:style>
  <w:style w:type="paragraph" w:styleId="Heading1">
    <w:name w:val="heading 1"/>
    <w:basedOn w:val="Normal"/>
    <w:next w:val="Normal-Fyrstalnaeftirkaflaskil"/>
    <w:link w:val="Heading1Char"/>
    <w:uiPriority w:val="2"/>
    <w:qFormat/>
    <w:rsid w:val="00D039DA"/>
    <w:pPr>
      <w:keepNext/>
      <w:numPr>
        <w:numId w:val="20"/>
      </w:numPr>
      <w:tabs>
        <w:tab w:val="left" w:pos="284"/>
      </w:tabs>
      <w:autoSpaceDE w:val="0"/>
      <w:autoSpaceDN w:val="0"/>
      <w:adjustRightInd w:val="0"/>
      <w:spacing w:before="840" w:after="240" w:line="240" w:lineRule="auto"/>
      <w:ind w:left="0" w:firstLine="0"/>
      <w:jc w:val="left"/>
      <w:outlineLvl w:val="0"/>
    </w:pPr>
    <w:rPr>
      <w:b/>
      <w:bCs/>
      <w:kern w:val="32"/>
      <w:sz w:val="26"/>
      <w:szCs w:val="28"/>
    </w:rPr>
  </w:style>
  <w:style w:type="paragraph" w:styleId="Heading2">
    <w:name w:val="heading 2"/>
    <w:basedOn w:val="Normal"/>
    <w:next w:val="Normal-Fyrstalnaeftirkaflaskil"/>
    <w:uiPriority w:val="2"/>
    <w:qFormat/>
    <w:rsid w:val="00D039DA"/>
    <w:pPr>
      <w:keepNext/>
      <w:numPr>
        <w:ilvl w:val="1"/>
        <w:numId w:val="20"/>
      </w:numPr>
      <w:tabs>
        <w:tab w:val="left" w:pos="397"/>
      </w:tabs>
      <w:spacing w:before="240" w:after="120" w:line="240" w:lineRule="auto"/>
      <w:ind w:left="0" w:firstLine="0"/>
      <w:jc w:val="left"/>
      <w:outlineLvl w:val="1"/>
    </w:pPr>
    <w:rPr>
      <w:rFonts w:cs="Arial"/>
      <w:b/>
      <w:bCs/>
      <w:iCs/>
      <w:sz w:val="24"/>
      <w:szCs w:val="28"/>
    </w:rPr>
  </w:style>
  <w:style w:type="paragraph" w:styleId="Heading3">
    <w:name w:val="heading 3"/>
    <w:basedOn w:val="Normal"/>
    <w:next w:val="Normal-Fyrstalnaeftirkaflaskil"/>
    <w:uiPriority w:val="2"/>
    <w:qFormat/>
    <w:rsid w:val="00D039DA"/>
    <w:pPr>
      <w:numPr>
        <w:ilvl w:val="2"/>
        <w:numId w:val="20"/>
      </w:numPr>
      <w:tabs>
        <w:tab w:val="left" w:pos="510"/>
      </w:tabs>
      <w:spacing w:before="200" w:line="240" w:lineRule="auto"/>
      <w:ind w:left="0" w:firstLine="0"/>
      <w:jc w:val="left"/>
      <w:outlineLvl w:val="2"/>
    </w:pPr>
    <w:rPr>
      <w:rFonts w:cs="Arial"/>
      <w:b/>
      <w:bCs/>
      <w:sz w:val="22"/>
      <w:szCs w:val="26"/>
    </w:rPr>
  </w:style>
  <w:style w:type="paragraph" w:styleId="Heading4">
    <w:name w:val="heading 4"/>
    <w:basedOn w:val="Normal"/>
    <w:next w:val="Normal-Fyrstalnaeftirkaflaskil"/>
    <w:uiPriority w:val="2"/>
    <w:qFormat/>
    <w:rsid w:val="00F871F7"/>
    <w:pPr>
      <w:keepNext/>
      <w:numPr>
        <w:ilvl w:val="3"/>
        <w:numId w:val="20"/>
      </w:numPr>
      <w:spacing w:before="200" w:line="240" w:lineRule="auto"/>
      <w:ind w:left="862" w:hanging="862"/>
      <w:jc w:val="left"/>
      <w:outlineLvl w:val="3"/>
    </w:pPr>
    <w:rPr>
      <w:b/>
      <w:bCs/>
      <w:i/>
      <w:sz w:val="22"/>
      <w:szCs w:val="28"/>
    </w:rPr>
  </w:style>
  <w:style w:type="paragraph" w:styleId="Heading5">
    <w:name w:val="heading 5"/>
    <w:basedOn w:val="Normal"/>
    <w:next w:val="Normal"/>
    <w:link w:val="Heading5Char"/>
    <w:uiPriority w:val="2"/>
    <w:rsid w:val="0044314A"/>
    <w:pPr>
      <w:numPr>
        <w:ilvl w:val="4"/>
        <w:numId w:val="20"/>
      </w:numPr>
      <w:spacing w:before="240"/>
      <w:outlineLvl w:val="4"/>
    </w:pPr>
    <w:rPr>
      <w:b/>
      <w:bCs/>
      <w:i/>
      <w:iCs/>
      <w:sz w:val="26"/>
      <w:szCs w:val="26"/>
    </w:rPr>
  </w:style>
  <w:style w:type="paragraph" w:styleId="Heading6">
    <w:name w:val="heading 6"/>
    <w:basedOn w:val="Normal"/>
    <w:next w:val="Normal"/>
    <w:link w:val="Heading6Char"/>
    <w:uiPriority w:val="2"/>
    <w:rsid w:val="0044314A"/>
    <w:pPr>
      <w:numPr>
        <w:ilvl w:val="5"/>
        <w:numId w:val="20"/>
      </w:numPr>
      <w:spacing w:before="240"/>
      <w:outlineLvl w:val="5"/>
    </w:pPr>
    <w:rPr>
      <w:rFonts w:ascii="Calibri" w:hAnsi="Calibri"/>
      <w:b/>
      <w:bCs/>
      <w:sz w:val="22"/>
      <w:szCs w:val="22"/>
    </w:rPr>
  </w:style>
  <w:style w:type="paragraph" w:styleId="Heading7">
    <w:name w:val="heading 7"/>
    <w:basedOn w:val="Normal"/>
    <w:next w:val="Normal"/>
    <w:link w:val="Heading7Char"/>
    <w:uiPriority w:val="2"/>
    <w:rsid w:val="0044314A"/>
    <w:pPr>
      <w:numPr>
        <w:ilvl w:val="6"/>
        <w:numId w:val="20"/>
      </w:numPr>
      <w:spacing w:before="240"/>
      <w:outlineLvl w:val="6"/>
    </w:pPr>
    <w:rPr>
      <w:rFonts w:ascii="Calibri" w:hAnsi="Calibri"/>
    </w:rPr>
  </w:style>
  <w:style w:type="paragraph" w:styleId="Heading8">
    <w:name w:val="heading 8"/>
    <w:basedOn w:val="Normal"/>
    <w:next w:val="Normal"/>
    <w:link w:val="Heading8Char"/>
    <w:uiPriority w:val="2"/>
    <w:rsid w:val="0044314A"/>
    <w:pPr>
      <w:numPr>
        <w:ilvl w:val="7"/>
        <w:numId w:val="20"/>
      </w:numPr>
      <w:spacing w:before="240"/>
      <w:outlineLvl w:val="7"/>
    </w:pPr>
    <w:rPr>
      <w:rFonts w:ascii="Calibri" w:hAnsi="Calibri"/>
      <w:i/>
      <w:iCs/>
    </w:rPr>
  </w:style>
  <w:style w:type="paragraph" w:styleId="Heading9">
    <w:name w:val="heading 9"/>
    <w:basedOn w:val="Normal"/>
    <w:next w:val="Normal"/>
    <w:link w:val="Heading9Char"/>
    <w:uiPriority w:val="2"/>
    <w:rsid w:val="0044314A"/>
    <w:pPr>
      <w:numPr>
        <w:ilvl w:val="8"/>
        <w:numId w:val="20"/>
      </w:num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Fyrstalnaeftirkaflaskil">
    <w:name w:val="Normal - Fyrsta lína eftir kaflaskil"/>
    <w:aliases w:val="Normal 1. lína"/>
    <w:basedOn w:val="Normal"/>
    <w:next w:val="Normal"/>
    <w:link w:val="Normal-FyrstalnaeftirkaflaskilChar"/>
    <w:qFormat/>
    <w:rsid w:val="00F871F7"/>
    <w:pPr>
      <w:widowControl w:val="0"/>
      <w:ind w:firstLine="0"/>
    </w:pPr>
    <w:rPr>
      <w:rFonts w:eastAsia="AdvTimes" w:cs="Arial"/>
      <w:lang w:val="is-IS"/>
    </w:rPr>
  </w:style>
  <w:style w:type="character" w:customStyle="1" w:styleId="Normal-FyrstalnaeftirkaflaskilChar">
    <w:name w:val="Normal - Fyrsta lína eftir kaflaskil Char"/>
    <w:aliases w:val="Normal 1. lína Char"/>
    <w:link w:val="Normal-Fyrstalnaeftirkaflaskil"/>
    <w:rsid w:val="00F871F7"/>
    <w:rPr>
      <w:rFonts w:ascii="Arial" w:eastAsia="AdvTimes" w:hAnsi="Arial" w:cs="Arial"/>
      <w:szCs w:val="24"/>
      <w:lang w:eastAsia="en-US"/>
    </w:rPr>
  </w:style>
  <w:style w:type="character" w:customStyle="1" w:styleId="Heading1Char">
    <w:name w:val="Heading 1 Char"/>
    <w:link w:val="Heading1"/>
    <w:uiPriority w:val="2"/>
    <w:rsid w:val="00A20F49"/>
    <w:rPr>
      <w:rFonts w:ascii="Arial" w:hAnsi="Arial"/>
      <w:b/>
      <w:bCs/>
      <w:kern w:val="32"/>
      <w:sz w:val="26"/>
      <w:szCs w:val="28"/>
      <w:lang w:val="en-US" w:eastAsia="en-US"/>
    </w:rPr>
  </w:style>
  <w:style w:type="character" w:customStyle="1" w:styleId="Heading5Char">
    <w:name w:val="Heading 5 Char"/>
    <w:link w:val="Heading5"/>
    <w:uiPriority w:val="2"/>
    <w:rsid w:val="00A20F49"/>
    <w:rPr>
      <w:rFonts w:ascii="Arial" w:hAnsi="Arial"/>
      <w:b/>
      <w:bCs/>
      <w:i/>
      <w:iCs/>
      <w:sz w:val="26"/>
      <w:szCs w:val="26"/>
      <w:lang w:val="en-US" w:eastAsia="en-US"/>
    </w:rPr>
  </w:style>
  <w:style w:type="character" w:customStyle="1" w:styleId="Heading6Char">
    <w:name w:val="Heading 6 Char"/>
    <w:link w:val="Heading6"/>
    <w:uiPriority w:val="2"/>
    <w:rsid w:val="00A20F49"/>
    <w:rPr>
      <w:rFonts w:ascii="Calibri" w:hAnsi="Calibri"/>
      <w:b/>
      <w:bCs/>
      <w:sz w:val="22"/>
      <w:szCs w:val="22"/>
      <w:lang w:val="en-US" w:eastAsia="en-US"/>
    </w:rPr>
  </w:style>
  <w:style w:type="character" w:customStyle="1" w:styleId="Heading7Char">
    <w:name w:val="Heading 7 Char"/>
    <w:link w:val="Heading7"/>
    <w:uiPriority w:val="2"/>
    <w:rsid w:val="00A20F49"/>
    <w:rPr>
      <w:rFonts w:ascii="Calibri" w:hAnsi="Calibri"/>
      <w:szCs w:val="24"/>
      <w:lang w:val="en-US" w:eastAsia="en-US"/>
    </w:rPr>
  </w:style>
  <w:style w:type="character" w:customStyle="1" w:styleId="Heading8Char">
    <w:name w:val="Heading 8 Char"/>
    <w:link w:val="Heading8"/>
    <w:uiPriority w:val="2"/>
    <w:rsid w:val="00A20F49"/>
    <w:rPr>
      <w:rFonts w:ascii="Calibri" w:hAnsi="Calibri"/>
      <w:i/>
      <w:iCs/>
      <w:szCs w:val="24"/>
      <w:lang w:val="en-US" w:eastAsia="en-US"/>
    </w:rPr>
  </w:style>
  <w:style w:type="character" w:customStyle="1" w:styleId="Heading9Char">
    <w:name w:val="Heading 9 Char"/>
    <w:link w:val="Heading9"/>
    <w:uiPriority w:val="2"/>
    <w:rsid w:val="00A20F49"/>
    <w:rPr>
      <w:rFonts w:ascii="Cambria" w:hAnsi="Cambria"/>
      <w:sz w:val="22"/>
      <w:szCs w:val="22"/>
      <w:lang w:val="en-US" w:eastAsia="en-US"/>
    </w:rPr>
  </w:style>
  <w:style w:type="paragraph" w:styleId="TOC1">
    <w:name w:val="toc 1"/>
    <w:basedOn w:val="Normal"/>
    <w:next w:val="Normal"/>
    <w:autoRedefine/>
    <w:uiPriority w:val="39"/>
    <w:rsid w:val="009E4CBE"/>
    <w:pPr>
      <w:tabs>
        <w:tab w:val="left" w:pos="284"/>
        <w:tab w:val="right" w:leader="dot" w:pos="6804"/>
      </w:tabs>
      <w:spacing w:before="100" w:after="0" w:line="312" w:lineRule="auto"/>
      <w:ind w:firstLine="0"/>
      <w:contextualSpacing/>
      <w:jc w:val="left"/>
    </w:pPr>
    <w:rPr>
      <w:b/>
      <w:bCs/>
      <w:szCs w:val="20"/>
    </w:rPr>
  </w:style>
  <w:style w:type="paragraph" w:styleId="TOC2">
    <w:name w:val="toc 2"/>
    <w:basedOn w:val="Normal"/>
    <w:next w:val="Normal"/>
    <w:autoRedefine/>
    <w:uiPriority w:val="39"/>
    <w:rsid w:val="00D039DA"/>
    <w:pPr>
      <w:tabs>
        <w:tab w:val="left" w:pos="709"/>
        <w:tab w:val="right" w:leader="dot" w:pos="6804"/>
      </w:tabs>
      <w:spacing w:before="0" w:after="0" w:line="288" w:lineRule="auto"/>
      <w:ind w:left="850" w:right="340" w:hanging="425"/>
      <w:contextualSpacing/>
      <w:jc w:val="left"/>
    </w:pPr>
    <w:rPr>
      <w:iCs/>
      <w:szCs w:val="20"/>
    </w:rPr>
  </w:style>
  <w:style w:type="character" w:styleId="Hyperlink">
    <w:name w:val="Hyperlink"/>
    <w:uiPriority w:val="99"/>
    <w:unhideWhenUsed/>
    <w:rsid w:val="00D039DA"/>
    <w:rPr>
      <w:color w:val="000000" w:themeColor="text1"/>
      <w:u w:val="none"/>
    </w:rPr>
  </w:style>
  <w:style w:type="paragraph" w:styleId="Header">
    <w:name w:val="header"/>
    <w:basedOn w:val="Normal"/>
    <w:link w:val="HeaderChar"/>
    <w:uiPriority w:val="99"/>
    <w:rsid w:val="0044314A"/>
    <w:pPr>
      <w:tabs>
        <w:tab w:val="center" w:pos="4320"/>
        <w:tab w:val="right" w:pos="8640"/>
      </w:tabs>
    </w:pPr>
    <w:rPr>
      <w:sz w:val="22"/>
    </w:rPr>
  </w:style>
  <w:style w:type="character" w:customStyle="1" w:styleId="HeaderChar">
    <w:name w:val="Header Char"/>
    <w:link w:val="Header"/>
    <w:uiPriority w:val="99"/>
    <w:rsid w:val="003C753F"/>
    <w:rPr>
      <w:rFonts w:ascii="Arial" w:hAnsi="Arial"/>
      <w:sz w:val="22"/>
      <w:szCs w:val="24"/>
      <w:lang w:val="en-US" w:eastAsia="en-US"/>
    </w:rPr>
  </w:style>
  <w:style w:type="paragraph" w:styleId="Footer">
    <w:name w:val="footer"/>
    <w:basedOn w:val="Normal"/>
    <w:link w:val="FooterChar"/>
    <w:uiPriority w:val="99"/>
    <w:rsid w:val="0044314A"/>
    <w:pPr>
      <w:tabs>
        <w:tab w:val="center" w:pos="4320"/>
        <w:tab w:val="right" w:pos="8640"/>
      </w:tabs>
    </w:pPr>
    <w:rPr>
      <w:sz w:val="22"/>
    </w:rPr>
  </w:style>
  <w:style w:type="character" w:customStyle="1" w:styleId="FooterChar">
    <w:name w:val="Footer Char"/>
    <w:link w:val="Footer"/>
    <w:uiPriority w:val="99"/>
    <w:rsid w:val="003506B8"/>
    <w:rPr>
      <w:rFonts w:ascii="Arial" w:hAnsi="Arial"/>
      <w:sz w:val="22"/>
      <w:szCs w:val="24"/>
      <w:lang w:val="en-US" w:eastAsia="en-US"/>
    </w:rPr>
  </w:style>
  <w:style w:type="paragraph" w:customStyle="1" w:styleId="fyrstalagi">
    <w:name w:val="Í fyrsta lagi"/>
    <w:basedOn w:val="Normal"/>
    <w:link w:val="fyrstalagiChar"/>
    <w:uiPriority w:val="2"/>
    <w:qFormat/>
    <w:rsid w:val="00CF5FC6"/>
    <w:pPr>
      <w:numPr>
        <w:numId w:val="19"/>
      </w:numPr>
      <w:spacing w:before="240" w:after="120"/>
      <w:ind w:left="1003" w:hanging="357"/>
    </w:pPr>
  </w:style>
  <w:style w:type="character" w:customStyle="1" w:styleId="fyrstalagiChar">
    <w:name w:val="Í fyrsta lagi Char"/>
    <w:link w:val="fyrstalagi"/>
    <w:uiPriority w:val="2"/>
    <w:rsid w:val="00CF5FC6"/>
    <w:rPr>
      <w:rFonts w:ascii="Arial" w:hAnsi="Arial"/>
      <w:szCs w:val="24"/>
      <w:lang w:val="en-US" w:eastAsia="en-US"/>
    </w:rPr>
  </w:style>
  <w:style w:type="paragraph" w:styleId="TOC3">
    <w:name w:val="toc 3"/>
    <w:basedOn w:val="Normal"/>
    <w:next w:val="Normal"/>
    <w:autoRedefine/>
    <w:uiPriority w:val="39"/>
    <w:rsid w:val="00D039DA"/>
    <w:pPr>
      <w:tabs>
        <w:tab w:val="left" w:pos="993"/>
        <w:tab w:val="right" w:leader="dot" w:pos="6804"/>
      </w:tabs>
      <w:spacing w:before="0" w:after="0" w:line="288" w:lineRule="auto"/>
      <w:ind w:left="1134" w:right="567" w:hanging="567"/>
      <w:contextualSpacing/>
      <w:jc w:val="left"/>
    </w:pPr>
    <w:rPr>
      <w:szCs w:val="20"/>
    </w:rPr>
  </w:style>
  <w:style w:type="table" w:styleId="TableGrid">
    <w:name w:val="Table Grid"/>
    <w:basedOn w:val="TableNormal"/>
    <w:uiPriority w:val="59"/>
    <w:rsid w:val="00443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D039DA"/>
    <w:pPr>
      <w:tabs>
        <w:tab w:val="left" w:pos="1418"/>
        <w:tab w:val="right" w:leader="dot" w:pos="6379"/>
        <w:tab w:val="right" w:leader="dot" w:pos="7069"/>
      </w:tabs>
      <w:spacing w:after="0" w:line="288" w:lineRule="auto"/>
      <w:ind w:left="2269" w:right="567" w:hanging="1418"/>
      <w:jc w:val="left"/>
    </w:pPr>
    <w:rPr>
      <w:szCs w:val="20"/>
    </w:rPr>
  </w:style>
  <w:style w:type="paragraph" w:styleId="FootnoteText">
    <w:name w:val="footnote text"/>
    <w:basedOn w:val="Normal"/>
    <w:uiPriority w:val="2"/>
    <w:semiHidden/>
    <w:rsid w:val="0044314A"/>
    <w:rPr>
      <w:szCs w:val="20"/>
    </w:rPr>
  </w:style>
  <w:style w:type="character" w:styleId="FootnoteReference">
    <w:name w:val="footnote reference"/>
    <w:uiPriority w:val="2"/>
    <w:semiHidden/>
    <w:rsid w:val="0044314A"/>
    <w:rPr>
      <w:vertAlign w:val="superscript"/>
    </w:rPr>
  </w:style>
  <w:style w:type="paragraph" w:styleId="Caption">
    <w:name w:val="caption"/>
    <w:basedOn w:val="Normal"/>
    <w:next w:val="Normal"/>
    <w:uiPriority w:val="2"/>
    <w:qFormat/>
    <w:rsid w:val="00D039DA"/>
    <w:pPr>
      <w:spacing w:after="240" w:line="240" w:lineRule="auto"/>
      <w:ind w:firstLine="0"/>
    </w:pPr>
    <w:rPr>
      <w:rFonts w:cs="Arial"/>
      <w:bCs/>
      <w:noProof/>
      <w:sz w:val="18"/>
      <w:szCs w:val="20"/>
      <w:lang w:val="is-IS" w:eastAsia="is-IS"/>
    </w:rPr>
  </w:style>
  <w:style w:type="paragraph" w:styleId="TableofFigures">
    <w:name w:val="table of figures"/>
    <w:basedOn w:val="Normal"/>
    <w:next w:val="Normal"/>
    <w:uiPriority w:val="99"/>
    <w:rsid w:val="00AF62C7"/>
    <w:pPr>
      <w:spacing w:before="60"/>
      <w:ind w:left="851" w:right="680" w:hanging="851"/>
      <w:jc w:val="left"/>
    </w:pPr>
  </w:style>
  <w:style w:type="paragraph" w:styleId="BalloonText">
    <w:name w:val="Balloon Text"/>
    <w:basedOn w:val="Normal"/>
    <w:link w:val="BalloonTextChar"/>
    <w:uiPriority w:val="2"/>
    <w:rsid w:val="0044314A"/>
    <w:rPr>
      <w:rFonts w:ascii="Lucida Grande" w:hAnsi="Lucida Grande"/>
      <w:sz w:val="18"/>
      <w:szCs w:val="18"/>
    </w:rPr>
  </w:style>
  <w:style w:type="character" w:customStyle="1" w:styleId="BalloonTextChar">
    <w:name w:val="Balloon Text Char"/>
    <w:link w:val="BalloonText"/>
    <w:uiPriority w:val="2"/>
    <w:rsid w:val="00A20F49"/>
    <w:rPr>
      <w:rFonts w:ascii="Lucida Grande" w:hAnsi="Lucida Grande"/>
      <w:sz w:val="18"/>
      <w:szCs w:val="18"/>
      <w:lang w:val="en-US" w:eastAsia="en-US"/>
    </w:rPr>
  </w:style>
  <w:style w:type="paragraph" w:customStyle="1" w:styleId="Upptalning-eftir1">
    <w:name w:val="Upptalning - eftir 1."/>
    <w:basedOn w:val="Upptalning"/>
    <w:rsid w:val="0044314A"/>
    <w:pPr>
      <w:spacing w:before="120" w:after="120" w:line="240" w:lineRule="auto"/>
    </w:pPr>
    <w:rPr>
      <w:szCs w:val="20"/>
    </w:rPr>
  </w:style>
  <w:style w:type="paragraph" w:customStyle="1" w:styleId="Upptalning">
    <w:name w:val="Upptalning"/>
    <w:basedOn w:val="Normal"/>
    <w:next w:val="Upptalning-eftir1"/>
    <w:qFormat/>
    <w:rsid w:val="0044314A"/>
    <w:pPr>
      <w:spacing w:before="240" w:after="0" w:line="260" w:lineRule="exact"/>
      <w:ind w:left="1003" w:hanging="357"/>
    </w:pPr>
    <w:rPr>
      <w:lang w:val="is-IS"/>
    </w:rPr>
  </w:style>
  <w:style w:type="paragraph" w:styleId="BodyText">
    <w:name w:val="Body Text"/>
    <w:basedOn w:val="Normal"/>
    <w:link w:val="BodyTextChar"/>
    <w:uiPriority w:val="2"/>
    <w:rsid w:val="0044314A"/>
    <w:pPr>
      <w:spacing w:after="120"/>
    </w:pPr>
    <w:rPr>
      <w:sz w:val="22"/>
      <w:lang w:val="en-GB"/>
    </w:rPr>
  </w:style>
  <w:style w:type="character" w:customStyle="1" w:styleId="BodyTextChar">
    <w:name w:val="Body Text Char"/>
    <w:link w:val="BodyText"/>
    <w:uiPriority w:val="2"/>
    <w:rsid w:val="00A20F49"/>
    <w:rPr>
      <w:rFonts w:ascii="Arial" w:hAnsi="Arial"/>
      <w:sz w:val="22"/>
      <w:szCs w:val="24"/>
      <w:lang w:val="en-GB" w:eastAsia="en-US"/>
    </w:rPr>
  </w:style>
  <w:style w:type="paragraph" w:styleId="TOCHeading">
    <w:name w:val="TOC Heading"/>
    <w:basedOn w:val="Heading1"/>
    <w:next w:val="Normal"/>
    <w:uiPriority w:val="39"/>
    <w:rsid w:val="0044314A"/>
    <w:pPr>
      <w:keepLines/>
      <w:numPr>
        <w:numId w:val="0"/>
      </w:numPr>
      <w:spacing w:before="480" w:after="0" w:line="276" w:lineRule="auto"/>
      <w:outlineLvl w:val="9"/>
    </w:pPr>
    <w:rPr>
      <w:rFonts w:ascii="Cambria" w:hAnsi="Cambria"/>
      <w:color w:val="365F91"/>
      <w:kern w:val="0"/>
    </w:rPr>
  </w:style>
  <w:style w:type="paragraph" w:customStyle="1" w:styleId="ListParagraph1">
    <w:name w:val="List Paragraph1"/>
    <w:aliases w:val="Heimildaskrá"/>
    <w:basedOn w:val="Normal"/>
    <w:next w:val="Normal"/>
    <w:uiPriority w:val="34"/>
    <w:rsid w:val="0044314A"/>
    <w:pPr>
      <w:spacing w:before="60"/>
      <w:ind w:left="340" w:hanging="340"/>
      <w:jc w:val="left"/>
    </w:pPr>
  </w:style>
  <w:style w:type="paragraph" w:customStyle="1" w:styleId="Forsa-Titillritgerar">
    <w:name w:val="Forsíða - Titill ritgerðar"/>
    <w:basedOn w:val="Normal"/>
    <w:next w:val="Forsa-Undirtitillritgerar"/>
    <w:link w:val="Forsa-TitillritgerarChar"/>
    <w:uiPriority w:val="2"/>
    <w:rsid w:val="0044314A"/>
    <w:pPr>
      <w:autoSpaceDE w:val="0"/>
      <w:autoSpaceDN w:val="0"/>
      <w:adjustRightInd w:val="0"/>
      <w:spacing w:before="4200" w:after="120"/>
      <w:ind w:firstLine="0"/>
      <w:jc w:val="center"/>
    </w:pPr>
    <w:rPr>
      <w:b/>
      <w:bCs/>
      <w:sz w:val="36"/>
      <w:szCs w:val="28"/>
    </w:rPr>
  </w:style>
  <w:style w:type="paragraph" w:customStyle="1" w:styleId="Forsa-Undirtitillritgerar">
    <w:name w:val="Forsíða - Undirtitill ritgerðar"/>
    <w:basedOn w:val="Forsa-Titillritgerar"/>
    <w:link w:val="Forsa-UndirtitillritgerarChar"/>
    <w:uiPriority w:val="2"/>
    <w:rsid w:val="0044314A"/>
    <w:pPr>
      <w:spacing w:before="0" w:after="1320" w:line="240" w:lineRule="auto"/>
    </w:pPr>
    <w:rPr>
      <w:sz w:val="32"/>
      <w:szCs w:val="32"/>
    </w:rPr>
  </w:style>
  <w:style w:type="character" w:customStyle="1" w:styleId="Forsa-UndirtitillritgerarChar">
    <w:name w:val="Forsíða - Undirtitill ritgerðar Char"/>
    <w:link w:val="Forsa-Undirtitillritgerar"/>
    <w:uiPriority w:val="2"/>
    <w:rsid w:val="00A20F49"/>
    <w:rPr>
      <w:rFonts w:ascii="Arial" w:hAnsi="Arial"/>
      <w:b/>
      <w:bCs/>
      <w:sz w:val="32"/>
      <w:szCs w:val="32"/>
      <w:lang w:val="en-US" w:eastAsia="en-US"/>
    </w:rPr>
  </w:style>
  <w:style w:type="character" w:customStyle="1" w:styleId="Forsa-TitillritgerarChar">
    <w:name w:val="Forsíða - Titill ritgerðar Char"/>
    <w:link w:val="Forsa-Titillritgerar"/>
    <w:uiPriority w:val="2"/>
    <w:rsid w:val="00A20F49"/>
    <w:rPr>
      <w:rFonts w:ascii="Arial" w:hAnsi="Arial"/>
      <w:b/>
      <w:bCs/>
      <w:sz w:val="36"/>
      <w:szCs w:val="28"/>
      <w:lang w:val="en-US" w:eastAsia="en-US"/>
    </w:rPr>
  </w:style>
  <w:style w:type="paragraph" w:customStyle="1" w:styleId="Forsa-Nafnhfundar">
    <w:name w:val="Forsíða - Nafn höfundar"/>
    <w:basedOn w:val="Forsa-Undirtitillritgerar"/>
    <w:next w:val="Forsa-Svi"/>
    <w:uiPriority w:val="2"/>
    <w:rsid w:val="0044314A"/>
    <w:pPr>
      <w:spacing w:after="3000"/>
    </w:pPr>
    <w:rPr>
      <w:sz w:val="28"/>
      <w:szCs w:val="28"/>
    </w:rPr>
  </w:style>
  <w:style w:type="paragraph" w:customStyle="1" w:styleId="Forsa-Svi">
    <w:name w:val="Forsíða - Svið"/>
    <w:basedOn w:val="Normal"/>
    <w:link w:val="Forsa-SviChar"/>
    <w:uiPriority w:val="2"/>
    <w:rsid w:val="0044314A"/>
    <w:pPr>
      <w:autoSpaceDE w:val="0"/>
      <w:autoSpaceDN w:val="0"/>
      <w:adjustRightInd w:val="0"/>
      <w:spacing w:line="240" w:lineRule="auto"/>
      <w:ind w:firstLine="0"/>
      <w:jc w:val="center"/>
    </w:pPr>
    <w:rPr>
      <w:b/>
      <w:sz w:val="28"/>
      <w:szCs w:val="18"/>
    </w:rPr>
  </w:style>
  <w:style w:type="character" w:customStyle="1" w:styleId="Forsa-SviChar">
    <w:name w:val="Forsíða - Svið Char"/>
    <w:link w:val="Forsa-Svi"/>
    <w:uiPriority w:val="2"/>
    <w:rsid w:val="00A20F49"/>
    <w:rPr>
      <w:rFonts w:ascii="Arial" w:hAnsi="Arial"/>
      <w:b/>
      <w:sz w:val="28"/>
      <w:szCs w:val="18"/>
      <w:lang w:val="en-US" w:eastAsia="en-US"/>
    </w:rPr>
  </w:style>
  <w:style w:type="paragraph" w:customStyle="1" w:styleId="Titilsa-Titillritgerar">
    <w:name w:val="Titilsíða - Titill ritgerðar"/>
    <w:basedOn w:val="Normal"/>
    <w:next w:val="Titilsa-Undirtitill"/>
    <w:link w:val="Titilsa-TitillritgerarChar"/>
    <w:rsid w:val="0044314A"/>
    <w:pPr>
      <w:spacing w:before="3000" w:after="120" w:line="240" w:lineRule="auto"/>
      <w:ind w:firstLine="0"/>
      <w:jc w:val="center"/>
    </w:pPr>
    <w:rPr>
      <w:b/>
      <w:sz w:val="28"/>
      <w:szCs w:val="28"/>
    </w:rPr>
  </w:style>
  <w:style w:type="paragraph" w:customStyle="1" w:styleId="Titilsa-Undirtitill">
    <w:name w:val="Titilsíða - Undirtitill"/>
    <w:basedOn w:val="Normal"/>
    <w:link w:val="Titilsa-UndirtitillChar"/>
    <w:rsid w:val="0044314A"/>
    <w:pPr>
      <w:spacing w:after="1200" w:line="360" w:lineRule="auto"/>
      <w:ind w:firstLine="0"/>
      <w:jc w:val="center"/>
    </w:pPr>
    <w:rPr>
      <w:b/>
      <w:i/>
      <w:sz w:val="26"/>
      <w:szCs w:val="26"/>
    </w:rPr>
  </w:style>
  <w:style w:type="character" w:customStyle="1" w:styleId="Titilsa-UndirtitillChar">
    <w:name w:val="Titilsíða - Undirtitill Char"/>
    <w:link w:val="Titilsa-Undirtitill"/>
    <w:rsid w:val="00D450B9"/>
    <w:rPr>
      <w:rFonts w:ascii="Arial" w:hAnsi="Arial"/>
      <w:b/>
      <w:i/>
      <w:sz w:val="26"/>
      <w:szCs w:val="26"/>
      <w:lang w:val="en-US" w:eastAsia="en-US"/>
    </w:rPr>
  </w:style>
  <w:style w:type="character" w:customStyle="1" w:styleId="Titilsa-TitillritgerarChar">
    <w:name w:val="Titilsíða - Titill ritgerðar Char"/>
    <w:link w:val="Titilsa-Titillritgerar"/>
    <w:rsid w:val="00D450B9"/>
    <w:rPr>
      <w:rFonts w:ascii="Arial" w:hAnsi="Arial"/>
      <w:b/>
      <w:sz w:val="28"/>
      <w:szCs w:val="28"/>
      <w:lang w:val="en-US" w:eastAsia="en-US"/>
    </w:rPr>
  </w:style>
  <w:style w:type="paragraph" w:customStyle="1" w:styleId="Titilsa-Hfundur">
    <w:name w:val="Titilsíða - Höfundur"/>
    <w:basedOn w:val="BodyText"/>
    <w:next w:val="Titilsa-Upplsingar"/>
    <w:link w:val="Titilsa-HfundurChar"/>
    <w:rsid w:val="0044314A"/>
    <w:pPr>
      <w:spacing w:after="6120"/>
      <w:ind w:firstLine="0"/>
      <w:jc w:val="center"/>
    </w:pPr>
  </w:style>
  <w:style w:type="paragraph" w:customStyle="1" w:styleId="Titilsa-Upplsingar">
    <w:name w:val="Titilsíða - Upplýsingar"/>
    <w:basedOn w:val="Normal"/>
    <w:link w:val="Titilsa-UpplsingarChar"/>
    <w:rsid w:val="0044314A"/>
    <w:pPr>
      <w:ind w:firstLine="0"/>
      <w:jc w:val="center"/>
    </w:pPr>
    <w:rPr>
      <w:lang w:val="da-DK"/>
    </w:rPr>
  </w:style>
  <w:style w:type="character" w:customStyle="1" w:styleId="Titilsa-UpplsingarChar">
    <w:name w:val="Titilsíða - Upplýsingar Char"/>
    <w:link w:val="Titilsa-Upplsingar"/>
    <w:rsid w:val="00D450B9"/>
    <w:rPr>
      <w:rFonts w:ascii="Arial" w:hAnsi="Arial"/>
      <w:szCs w:val="24"/>
      <w:lang w:val="da-DK" w:eastAsia="en-US"/>
    </w:rPr>
  </w:style>
  <w:style w:type="character" w:customStyle="1" w:styleId="Titilsa-HfundurChar">
    <w:name w:val="Titilsíða - Höfundur Char"/>
    <w:link w:val="Titilsa-Hfundur"/>
    <w:rsid w:val="00D450B9"/>
    <w:rPr>
      <w:rFonts w:ascii="Arial" w:hAnsi="Arial"/>
      <w:sz w:val="22"/>
      <w:szCs w:val="24"/>
      <w:lang w:val="en-GB" w:eastAsia="en-US"/>
    </w:rPr>
  </w:style>
  <w:style w:type="paragraph" w:customStyle="1" w:styleId="Copyright">
    <w:name w:val="Copyright"/>
    <w:basedOn w:val="Titilsa-Upplsingar"/>
    <w:next w:val="Copyright-Anna"/>
    <w:link w:val="CopyrightChar"/>
    <w:uiPriority w:val="2"/>
    <w:rsid w:val="0044314A"/>
    <w:pPr>
      <w:spacing w:before="11280" w:after="360"/>
      <w:ind w:left="340" w:right="1474"/>
      <w:jc w:val="left"/>
    </w:pPr>
  </w:style>
  <w:style w:type="paragraph" w:customStyle="1" w:styleId="Copyright-Anna">
    <w:name w:val="Copyright - Annað"/>
    <w:basedOn w:val="Copyright"/>
    <w:link w:val="Copyright-AnnaChar"/>
    <w:uiPriority w:val="2"/>
    <w:rsid w:val="0044314A"/>
    <w:pPr>
      <w:spacing w:before="0" w:after="60"/>
    </w:pPr>
  </w:style>
  <w:style w:type="character" w:customStyle="1" w:styleId="Copyright-AnnaChar">
    <w:name w:val="Copyright - Annað Char"/>
    <w:basedOn w:val="CopyrightChar"/>
    <w:link w:val="Copyright-Anna"/>
    <w:uiPriority w:val="2"/>
    <w:rsid w:val="00A20F49"/>
    <w:rPr>
      <w:rFonts w:ascii="Arial" w:hAnsi="Arial"/>
      <w:szCs w:val="24"/>
      <w:lang w:val="da-DK" w:eastAsia="en-US"/>
    </w:rPr>
  </w:style>
  <w:style w:type="character" w:customStyle="1" w:styleId="CopyrightChar">
    <w:name w:val="Copyright Char"/>
    <w:link w:val="Copyright"/>
    <w:uiPriority w:val="2"/>
    <w:rsid w:val="00A20F49"/>
    <w:rPr>
      <w:rFonts w:ascii="Arial" w:hAnsi="Arial"/>
      <w:szCs w:val="24"/>
      <w:lang w:val="da-DK" w:eastAsia="en-US"/>
    </w:rPr>
  </w:style>
  <w:style w:type="paragraph" w:customStyle="1" w:styleId="Heading1-nnmerabirtingar">
    <w:name w:val="Heading 1 - Án númerabirtingar"/>
    <w:aliases w:val="Heading 1 Miðjað"/>
    <w:basedOn w:val="Heading1"/>
    <w:next w:val="Normal-Fyrstalnaeftirkaflaskil"/>
    <w:link w:val="Heading1-nnmerabirtingarChar"/>
    <w:uiPriority w:val="2"/>
    <w:qFormat/>
    <w:rsid w:val="00F871F7"/>
    <w:pPr>
      <w:numPr>
        <w:numId w:val="0"/>
      </w:numPr>
      <w:tabs>
        <w:tab w:val="right" w:leader="dot" w:pos="6379"/>
      </w:tabs>
      <w:jc w:val="center"/>
    </w:pPr>
    <w:rPr>
      <w:szCs w:val="24"/>
      <w:lang w:val="en-GB"/>
    </w:rPr>
  </w:style>
  <w:style w:type="character" w:customStyle="1" w:styleId="Heading1-nnmerabirtingarChar">
    <w:name w:val="Heading 1 - Án númerabirtingar Char"/>
    <w:aliases w:val="Heading 1 Miðjað Char"/>
    <w:basedOn w:val="Heading1Char"/>
    <w:link w:val="Heading1-nnmerabirtingar"/>
    <w:uiPriority w:val="2"/>
    <w:rsid w:val="00A20F49"/>
    <w:rPr>
      <w:rFonts w:ascii="Arial" w:hAnsi="Arial"/>
      <w:b/>
      <w:bCs/>
      <w:kern w:val="32"/>
      <w:sz w:val="26"/>
      <w:szCs w:val="24"/>
      <w:lang w:val="en-GB" w:eastAsia="en-US"/>
    </w:rPr>
  </w:style>
  <w:style w:type="paragraph" w:customStyle="1" w:styleId="Upptalning-endir">
    <w:name w:val="Upptalning - endir"/>
    <w:basedOn w:val="Upptalning"/>
    <w:next w:val="Normal"/>
    <w:qFormat/>
    <w:rsid w:val="0044314A"/>
    <w:pPr>
      <w:spacing w:before="120" w:after="240" w:line="240" w:lineRule="auto"/>
    </w:pPr>
    <w:rPr>
      <w:szCs w:val="20"/>
    </w:rPr>
  </w:style>
  <w:style w:type="paragraph" w:customStyle="1" w:styleId="Tilvitnun">
    <w:name w:val="Tilvitnun"/>
    <w:basedOn w:val="Normal"/>
    <w:next w:val="Tilvitnun-Nafn"/>
    <w:qFormat/>
    <w:rsid w:val="0044314A"/>
    <w:pPr>
      <w:spacing w:before="240"/>
      <w:ind w:left="567" w:right="567" w:firstLine="0"/>
    </w:pPr>
    <w:rPr>
      <w:szCs w:val="20"/>
    </w:rPr>
  </w:style>
  <w:style w:type="paragraph" w:customStyle="1" w:styleId="Tilvitnun-Nafn">
    <w:name w:val="Tilvitnun - Nafn"/>
    <w:basedOn w:val="Tilvitnun"/>
    <w:next w:val="Normal"/>
    <w:rsid w:val="0044314A"/>
    <w:pPr>
      <w:spacing w:before="0" w:after="240"/>
      <w:jc w:val="right"/>
    </w:pPr>
  </w:style>
  <w:style w:type="paragraph" w:customStyle="1" w:styleId="StyleCenteredFirstline0cmAfter0ptLinespacingsin">
    <w:name w:val="Style Centered First line:  0 cm After:  0 pt Line spacing:  sin..."/>
    <w:basedOn w:val="Normal"/>
    <w:uiPriority w:val="1"/>
    <w:rsid w:val="0044314A"/>
    <w:pPr>
      <w:spacing w:after="0" w:line="240" w:lineRule="auto"/>
      <w:ind w:firstLine="0"/>
      <w:jc w:val="center"/>
    </w:pPr>
    <w:rPr>
      <w:b/>
      <w:szCs w:val="20"/>
    </w:rPr>
  </w:style>
  <w:style w:type="paragraph" w:customStyle="1" w:styleId="sastalagi">
    <w:name w:val="Í síðasta lagi"/>
    <w:basedOn w:val="fyrstalagi"/>
    <w:uiPriority w:val="2"/>
    <w:qFormat/>
    <w:rsid w:val="0044314A"/>
    <w:pPr>
      <w:numPr>
        <w:numId w:val="0"/>
      </w:numPr>
      <w:spacing w:after="240"/>
    </w:pPr>
  </w:style>
  <w:style w:type="character" w:customStyle="1" w:styleId="jrnl">
    <w:name w:val="jrnl"/>
    <w:basedOn w:val="DefaultParagraphFont"/>
    <w:uiPriority w:val="2"/>
    <w:rsid w:val="00472467"/>
  </w:style>
  <w:style w:type="character" w:customStyle="1" w:styleId="apple-converted-space">
    <w:name w:val="apple-converted-space"/>
    <w:basedOn w:val="DefaultParagraphFont"/>
    <w:uiPriority w:val="2"/>
    <w:rsid w:val="00472467"/>
  </w:style>
  <w:style w:type="paragraph" w:styleId="EndnoteText">
    <w:name w:val="endnote text"/>
    <w:basedOn w:val="Normal"/>
    <w:link w:val="EndnoteTextChar"/>
    <w:uiPriority w:val="2"/>
    <w:rsid w:val="009C583B"/>
    <w:rPr>
      <w:szCs w:val="20"/>
    </w:rPr>
  </w:style>
  <w:style w:type="character" w:customStyle="1" w:styleId="EndnoteTextChar">
    <w:name w:val="Endnote Text Char"/>
    <w:basedOn w:val="DefaultParagraphFont"/>
    <w:link w:val="EndnoteText"/>
    <w:uiPriority w:val="2"/>
    <w:rsid w:val="00A20F49"/>
    <w:rPr>
      <w:rFonts w:ascii="Arial" w:hAnsi="Arial"/>
      <w:lang w:val="en-US" w:eastAsia="en-US"/>
    </w:rPr>
  </w:style>
  <w:style w:type="character" w:styleId="EndnoteReference">
    <w:name w:val="endnote reference"/>
    <w:basedOn w:val="DefaultParagraphFont"/>
    <w:uiPriority w:val="2"/>
    <w:rsid w:val="009C583B"/>
    <w:rPr>
      <w:vertAlign w:val="superscript"/>
    </w:rPr>
  </w:style>
  <w:style w:type="paragraph" w:styleId="BodyText2">
    <w:name w:val="Body Text 2"/>
    <w:basedOn w:val="Normal"/>
    <w:link w:val="BodyText2Char"/>
    <w:uiPriority w:val="2"/>
    <w:rsid w:val="008B5933"/>
    <w:pPr>
      <w:spacing w:after="120" w:line="480" w:lineRule="auto"/>
    </w:pPr>
  </w:style>
  <w:style w:type="character" w:customStyle="1" w:styleId="BodyText2Char">
    <w:name w:val="Body Text 2 Char"/>
    <w:basedOn w:val="DefaultParagraphFont"/>
    <w:link w:val="BodyText2"/>
    <w:uiPriority w:val="2"/>
    <w:rsid w:val="00A20F49"/>
    <w:rPr>
      <w:rFonts w:ascii="Arial" w:hAnsi="Arial"/>
      <w:szCs w:val="24"/>
      <w:lang w:val="en-US" w:eastAsia="en-US"/>
    </w:rPr>
  </w:style>
  <w:style w:type="paragraph" w:customStyle="1" w:styleId="StyleCaptionNotBold">
    <w:name w:val="Style Caption + Not Bold"/>
    <w:basedOn w:val="Caption"/>
    <w:uiPriority w:val="1"/>
    <w:rsid w:val="00587644"/>
    <w:rPr>
      <w:b/>
      <w:bCs w:val="0"/>
    </w:rPr>
  </w:style>
  <w:style w:type="paragraph" w:styleId="NoSpacing">
    <w:name w:val="No Spacing"/>
    <w:uiPriority w:val="1"/>
    <w:rsid w:val="009F05D7"/>
    <w:rPr>
      <w:rFonts w:asciiTheme="minorHAnsi" w:eastAsiaTheme="minorHAnsi" w:hAnsiTheme="minorHAnsi" w:cstheme="minorBidi"/>
      <w:sz w:val="22"/>
      <w:szCs w:val="22"/>
      <w:lang w:val="en-US" w:eastAsia="en-US"/>
    </w:rPr>
  </w:style>
  <w:style w:type="paragraph" w:styleId="ListParagraph">
    <w:name w:val="List Paragraph"/>
    <w:basedOn w:val="Normal"/>
    <w:uiPriority w:val="34"/>
    <w:rsid w:val="0044314A"/>
    <w:pPr>
      <w:ind w:left="720"/>
      <w:contextualSpacing/>
    </w:pPr>
  </w:style>
  <w:style w:type="paragraph" w:customStyle="1" w:styleId="NoSpacing1">
    <w:name w:val="No Spacing1"/>
    <w:basedOn w:val="Normal"/>
    <w:link w:val="NoSpacingChar"/>
    <w:uiPriority w:val="1"/>
    <w:rsid w:val="004C4F48"/>
    <w:pPr>
      <w:spacing w:after="0"/>
      <w:ind w:firstLine="0"/>
      <w:jc w:val="left"/>
    </w:pPr>
    <w:rPr>
      <w:szCs w:val="22"/>
      <w:lang w:bidi="en-US"/>
    </w:rPr>
  </w:style>
  <w:style w:type="character" w:customStyle="1" w:styleId="NoSpacingChar">
    <w:name w:val="No Spacing Char"/>
    <w:basedOn w:val="DefaultParagraphFont"/>
    <w:link w:val="NoSpacing1"/>
    <w:uiPriority w:val="1"/>
    <w:rsid w:val="004C4F48"/>
    <w:rPr>
      <w:sz w:val="24"/>
      <w:szCs w:val="22"/>
      <w:lang w:val="en-US" w:eastAsia="en-US" w:bidi="en-US"/>
    </w:rPr>
  </w:style>
  <w:style w:type="paragraph" w:styleId="NormalWeb">
    <w:name w:val="Normal (Web)"/>
    <w:basedOn w:val="Normal"/>
    <w:uiPriority w:val="99"/>
    <w:unhideWhenUsed/>
    <w:rsid w:val="0044314A"/>
    <w:pPr>
      <w:spacing w:after="125" w:line="240" w:lineRule="auto"/>
      <w:ind w:firstLine="0"/>
      <w:jc w:val="left"/>
      <w:textAlignment w:val="baseline"/>
    </w:pPr>
    <w:rPr>
      <w:lang w:val="is-IS" w:eastAsia="is-IS"/>
    </w:rPr>
  </w:style>
  <w:style w:type="paragraph" w:customStyle="1" w:styleId="StyleHeading112ptLinespacing15lines">
    <w:name w:val="Style Heading 1 + 12 pt Line spacing:  15 lines"/>
    <w:basedOn w:val="Heading1"/>
    <w:uiPriority w:val="1"/>
    <w:rsid w:val="00393CE1"/>
    <w:pPr>
      <w:spacing w:line="360" w:lineRule="auto"/>
    </w:pPr>
    <w:rPr>
      <w:szCs w:val="20"/>
    </w:rPr>
  </w:style>
  <w:style w:type="paragraph" w:customStyle="1" w:styleId="StyleHeading212ptLinespacing15lines">
    <w:name w:val="Style Heading 2 + 12 pt Line spacing:  15 lines"/>
    <w:basedOn w:val="Heading2"/>
    <w:uiPriority w:val="1"/>
    <w:rsid w:val="00B73760"/>
    <w:pPr>
      <w:spacing w:line="360" w:lineRule="auto"/>
    </w:pPr>
    <w:rPr>
      <w:rFonts w:cs="Times New Roman"/>
      <w:iCs w:val="0"/>
      <w:szCs w:val="20"/>
    </w:rPr>
  </w:style>
  <w:style w:type="paragraph" w:customStyle="1" w:styleId="StyleTitilsa-Hfundur10ptAfter180pt">
    <w:name w:val="Style Titilsíða - Höfundur + 10 pt After:  180 pt"/>
    <w:basedOn w:val="Titilsa-Hfundur"/>
    <w:uiPriority w:val="1"/>
    <w:rsid w:val="00FA2182"/>
    <w:pPr>
      <w:spacing w:after="1800"/>
    </w:pPr>
    <w:rPr>
      <w:sz w:val="20"/>
      <w:szCs w:val="20"/>
    </w:rPr>
  </w:style>
  <w:style w:type="paragraph" w:customStyle="1" w:styleId="StyleForsa-NafnhfundarAfter66pt">
    <w:name w:val="Style Forsíða - Nafn höfundar + After:  66 pt"/>
    <w:basedOn w:val="Forsa-Nafnhfundar"/>
    <w:uiPriority w:val="1"/>
    <w:rsid w:val="00FA2182"/>
    <w:pPr>
      <w:spacing w:after="1080"/>
    </w:pPr>
    <w:rPr>
      <w:szCs w:val="20"/>
    </w:rPr>
  </w:style>
  <w:style w:type="paragraph" w:customStyle="1" w:styleId="StyleForsa-TitillritgerarBefore156pt">
    <w:name w:val="Style Forsíða - Titill ritgerðar + Before:  156 pt"/>
    <w:basedOn w:val="Forsa-Titillritgerar"/>
    <w:uiPriority w:val="1"/>
    <w:rsid w:val="00FA2182"/>
    <w:pPr>
      <w:spacing w:before="3000" w:after="0"/>
    </w:pPr>
    <w:rPr>
      <w:szCs w:val="20"/>
    </w:rPr>
  </w:style>
  <w:style w:type="paragraph" w:customStyle="1" w:styleId="StyleForsa-NafnhfundarAfter78pt">
    <w:name w:val="Style Forsíða - Nafn höfundar + After:  78 pt"/>
    <w:basedOn w:val="Forsa-Nafnhfundar"/>
    <w:uiPriority w:val="1"/>
    <w:rsid w:val="00FA2182"/>
    <w:pPr>
      <w:spacing w:after="1320"/>
    </w:pPr>
    <w:rPr>
      <w:szCs w:val="20"/>
    </w:rPr>
  </w:style>
  <w:style w:type="paragraph" w:customStyle="1" w:styleId="StyleHeading5TimesNewRoman">
    <w:name w:val="Style Heading 5 + Times New Roman"/>
    <w:basedOn w:val="Heading5"/>
    <w:uiPriority w:val="1"/>
    <w:rsid w:val="00F871F7"/>
    <w:pPr>
      <w:spacing w:after="0"/>
      <w:ind w:left="1009" w:hanging="1009"/>
    </w:pPr>
    <w:rPr>
      <w:b w:val="0"/>
      <w:sz w:val="22"/>
    </w:rPr>
  </w:style>
  <w:style w:type="paragraph" w:customStyle="1" w:styleId="StyleTitilsa-Upplsingar12pt">
    <w:name w:val="Style Titilsíða - Upplýsingar + 12 pt"/>
    <w:basedOn w:val="Titilsa-Upplsingar"/>
    <w:uiPriority w:val="1"/>
    <w:rsid w:val="00381221"/>
    <w:pPr>
      <w:spacing w:after="0"/>
    </w:pPr>
    <w:rPr>
      <w:sz w:val="24"/>
    </w:rPr>
  </w:style>
  <w:style w:type="paragraph" w:customStyle="1" w:styleId="StyleTitilsa-Hfundur10ptAfter228pt">
    <w:name w:val="Style Titilsíða - Höfundur + 10 pt After:  228 pt"/>
    <w:basedOn w:val="Titilsa-Hfundur"/>
    <w:uiPriority w:val="1"/>
    <w:rsid w:val="00381221"/>
    <w:pPr>
      <w:spacing w:after="4320"/>
    </w:pPr>
    <w:rPr>
      <w:sz w:val="20"/>
      <w:szCs w:val="20"/>
    </w:rPr>
  </w:style>
  <w:style w:type="paragraph" w:customStyle="1" w:styleId="StyleCopyrightBefore510pt">
    <w:name w:val="Style Copyright + Before:  510 pt"/>
    <w:basedOn w:val="Copyright"/>
    <w:uiPriority w:val="1"/>
    <w:rsid w:val="00381221"/>
    <w:pPr>
      <w:spacing w:before="9960" w:after="120"/>
    </w:pPr>
    <w:rPr>
      <w:szCs w:val="20"/>
    </w:rPr>
  </w:style>
  <w:style w:type="character" w:customStyle="1" w:styleId="A2">
    <w:name w:val="A2"/>
    <w:uiPriority w:val="99"/>
    <w:rsid w:val="0044314A"/>
    <w:rPr>
      <w:color w:val="000000"/>
      <w:sz w:val="11"/>
      <w:szCs w:val="11"/>
    </w:rPr>
  </w:style>
  <w:style w:type="character" w:customStyle="1" w:styleId="A7">
    <w:name w:val="A7"/>
    <w:uiPriority w:val="99"/>
    <w:rsid w:val="0044314A"/>
    <w:rPr>
      <w:color w:val="000000"/>
      <w:sz w:val="11"/>
      <w:szCs w:val="11"/>
    </w:rPr>
  </w:style>
  <w:style w:type="paragraph" w:customStyle="1" w:styleId="A-Ernuheading3">
    <w:name w:val="A-Ernuheading3"/>
    <w:basedOn w:val="Normal"/>
    <w:uiPriority w:val="2"/>
    <w:rsid w:val="0044314A"/>
    <w:pPr>
      <w:tabs>
        <w:tab w:val="left" w:pos="680"/>
      </w:tabs>
      <w:spacing w:after="0" w:line="480" w:lineRule="auto"/>
      <w:ind w:firstLine="0"/>
    </w:pPr>
    <w:rPr>
      <w:bCs/>
      <w:u w:val="single"/>
    </w:rPr>
  </w:style>
  <w:style w:type="paragraph" w:styleId="BlockText">
    <w:name w:val="Block Text"/>
    <w:basedOn w:val="Normal"/>
    <w:uiPriority w:val="2"/>
    <w:rsid w:val="0044314A"/>
    <w:pPr>
      <w:spacing w:after="0" w:line="240" w:lineRule="auto"/>
      <w:ind w:left="1440" w:right="-430" w:firstLine="0"/>
      <w:jc w:val="left"/>
    </w:pPr>
    <w:rPr>
      <w:bCs/>
      <w:sz w:val="22"/>
      <w:szCs w:val="22"/>
      <w:lang w:val="en-GB"/>
    </w:rPr>
  </w:style>
  <w:style w:type="paragraph" w:styleId="BodyText3">
    <w:name w:val="Body Text 3"/>
    <w:basedOn w:val="Normal"/>
    <w:link w:val="BodyText3Char"/>
    <w:uiPriority w:val="2"/>
    <w:rsid w:val="0044314A"/>
    <w:pPr>
      <w:tabs>
        <w:tab w:val="left" w:pos="680"/>
      </w:tabs>
      <w:spacing w:after="120" w:line="360" w:lineRule="auto"/>
      <w:ind w:firstLine="0"/>
    </w:pPr>
    <w:rPr>
      <w:sz w:val="16"/>
      <w:szCs w:val="16"/>
    </w:rPr>
  </w:style>
  <w:style w:type="character" w:customStyle="1" w:styleId="BodyText3Char">
    <w:name w:val="Body Text 3 Char"/>
    <w:basedOn w:val="DefaultParagraphFont"/>
    <w:link w:val="BodyText3"/>
    <w:uiPriority w:val="2"/>
    <w:rsid w:val="00A20F49"/>
    <w:rPr>
      <w:rFonts w:ascii="Arial" w:hAnsi="Arial"/>
      <w:sz w:val="16"/>
      <w:szCs w:val="16"/>
      <w:lang w:val="en-US" w:eastAsia="en-US"/>
    </w:rPr>
  </w:style>
  <w:style w:type="paragraph" w:styleId="BodyTextIndent">
    <w:name w:val="Body Text Indent"/>
    <w:basedOn w:val="Normal"/>
    <w:link w:val="BodyTextIndentChar"/>
    <w:uiPriority w:val="2"/>
    <w:rsid w:val="0044314A"/>
    <w:pPr>
      <w:spacing w:after="120"/>
      <w:ind w:left="283"/>
    </w:pPr>
  </w:style>
  <w:style w:type="character" w:customStyle="1" w:styleId="BodyTextIndentChar">
    <w:name w:val="Body Text Indent Char"/>
    <w:basedOn w:val="DefaultParagraphFont"/>
    <w:link w:val="BodyTextIndent"/>
    <w:uiPriority w:val="2"/>
    <w:rsid w:val="00A20F49"/>
    <w:rPr>
      <w:rFonts w:ascii="Arial" w:hAnsi="Arial"/>
      <w:szCs w:val="24"/>
      <w:lang w:val="en-US" w:eastAsia="en-US"/>
    </w:rPr>
  </w:style>
  <w:style w:type="character" w:styleId="BookTitle">
    <w:name w:val="Book Title"/>
    <w:uiPriority w:val="33"/>
    <w:rsid w:val="0044314A"/>
    <w:rPr>
      <w:b/>
      <w:bCs/>
      <w:smallCaps/>
      <w:spacing w:val="5"/>
    </w:rPr>
  </w:style>
  <w:style w:type="character" w:styleId="CommentReference">
    <w:name w:val="annotation reference"/>
    <w:uiPriority w:val="2"/>
    <w:rsid w:val="0044314A"/>
    <w:rPr>
      <w:sz w:val="16"/>
      <w:szCs w:val="16"/>
    </w:rPr>
  </w:style>
  <w:style w:type="paragraph" w:styleId="CommentText">
    <w:name w:val="annotation text"/>
    <w:basedOn w:val="Normal"/>
    <w:link w:val="CommentTextChar"/>
    <w:uiPriority w:val="2"/>
    <w:rsid w:val="0044314A"/>
    <w:rPr>
      <w:szCs w:val="20"/>
    </w:rPr>
  </w:style>
  <w:style w:type="character" w:customStyle="1" w:styleId="CommentTextChar">
    <w:name w:val="Comment Text Char"/>
    <w:basedOn w:val="DefaultParagraphFont"/>
    <w:link w:val="CommentText"/>
    <w:uiPriority w:val="2"/>
    <w:rsid w:val="00A20F49"/>
    <w:rPr>
      <w:rFonts w:ascii="Arial" w:hAnsi="Arial"/>
      <w:lang w:val="en-US" w:eastAsia="en-US"/>
    </w:rPr>
  </w:style>
  <w:style w:type="paragraph" w:styleId="CommentSubject">
    <w:name w:val="annotation subject"/>
    <w:basedOn w:val="CommentText"/>
    <w:next w:val="CommentText"/>
    <w:link w:val="CommentSubjectChar"/>
    <w:uiPriority w:val="2"/>
    <w:rsid w:val="0044314A"/>
    <w:rPr>
      <w:b/>
      <w:bCs/>
    </w:rPr>
  </w:style>
  <w:style w:type="character" w:customStyle="1" w:styleId="CommentSubjectChar">
    <w:name w:val="Comment Subject Char"/>
    <w:basedOn w:val="CommentTextChar"/>
    <w:link w:val="CommentSubject"/>
    <w:uiPriority w:val="2"/>
    <w:rsid w:val="00A20F49"/>
    <w:rPr>
      <w:rFonts w:ascii="Arial" w:hAnsi="Arial"/>
      <w:b/>
      <w:bCs/>
      <w:lang w:val="en-US" w:eastAsia="en-US"/>
    </w:rPr>
  </w:style>
  <w:style w:type="character" w:styleId="HTMLTypewriter">
    <w:name w:val="HTML Typewriter"/>
    <w:uiPriority w:val="99"/>
    <w:unhideWhenUsed/>
    <w:rsid w:val="0044314A"/>
    <w:rPr>
      <w:rFonts w:ascii="Courier New" w:eastAsia="Times New Roman" w:hAnsi="Courier New" w:cs="Courier New"/>
      <w:sz w:val="20"/>
      <w:szCs w:val="20"/>
    </w:rPr>
  </w:style>
  <w:style w:type="paragraph" w:customStyle="1" w:styleId="Meginml1">
    <w:name w:val="Meginmál 1"/>
    <w:basedOn w:val="Normal-Fyrstalnaeftirkaflaskil"/>
    <w:uiPriority w:val="2"/>
    <w:rsid w:val="0044314A"/>
    <w:pPr>
      <w:spacing w:line="288" w:lineRule="auto"/>
      <w:ind w:firstLine="454"/>
    </w:pPr>
  </w:style>
  <w:style w:type="character" w:styleId="PageNumber">
    <w:name w:val="page number"/>
    <w:uiPriority w:val="1"/>
    <w:rsid w:val="0044314A"/>
    <w:rPr>
      <w:rFonts w:ascii="Arial" w:hAnsi="Arial"/>
      <w:sz w:val="20"/>
      <w:u w:val="single"/>
    </w:rPr>
  </w:style>
  <w:style w:type="character" w:customStyle="1" w:styleId="pagecontents1">
    <w:name w:val="pagecontents1"/>
    <w:uiPriority w:val="1"/>
    <w:rsid w:val="0044314A"/>
    <w:rPr>
      <w:rFonts w:ascii="Verdana" w:hAnsi="Verdana" w:hint="default"/>
      <w:color w:val="000000"/>
      <w:sz w:val="17"/>
      <w:szCs w:val="17"/>
    </w:rPr>
  </w:style>
  <w:style w:type="paragraph" w:customStyle="1" w:styleId="source1">
    <w:name w:val="source1"/>
    <w:basedOn w:val="Normal"/>
    <w:uiPriority w:val="1"/>
    <w:rsid w:val="0044314A"/>
    <w:pPr>
      <w:spacing w:after="84" w:line="240" w:lineRule="atLeast"/>
      <w:ind w:left="825" w:firstLine="0"/>
      <w:jc w:val="left"/>
    </w:pPr>
    <w:rPr>
      <w:sz w:val="18"/>
      <w:szCs w:val="18"/>
      <w:lang w:val="en-GB" w:eastAsia="en-GB"/>
    </w:rPr>
  </w:style>
  <w:style w:type="character" w:styleId="Strong">
    <w:name w:val="Strong"/>
    <w:uiPriority w:val="1"/>
    <w:rsid w:val="0044314A"/>
    <w:rPr>
      <w:b/>
      <w:bCs/>
    </w:rPr>
  </w:style>
  <w:style w:type="paragraph" w:styleId="Subtitle">
    <w:name w:val="Subtitle"/>
    <w:basedOn w:val="Normal"/>
    <w:next w:val="Normal"/>
    <w:link w:val="SubtitleChar"/>
    <w:uiPriority w:val="1"/>
    <w:rsid w:val="0044314A"/>
    <w:pPr>
      <w:jc w:val="center"/>
      <w:outlineLvl w:val="1"/>
    </w:pPr>
    <w:rPr>
      <w:rFonts w:ascii="Cambria" w:hAnsi="Cambria"/>
    </w:rPr>
  </w:style>
  <w:style w:type="character" w:customStyle="1" w:styleId="SubtitleChar">
    <w:name w:val="Subtitle Char"/>
    <w:basedOn w:val="DefaultParagraphFont"/>
    <w:link w:val="Subtitle"/>
    <w:uiPriority w:val="1"/>
    <w:rsid w:val="00A20F49"/>
    <w:rPr>
      <w:rFonts w:ascii="Cambria" w:hAnsi="Cambria"/>
      <w:szCs w:val="24"/>
      <w:lang w:val="en-US" w:eastAsia="en-US"/>
    </w:rPr>
  </w:style>
  <w:style w:type="table" w:styleId="TableSimple2">
    <w:name w:val="Table Simple 2"/>
    <w:basedOn w:val="TableNormal"/>
    <w:rsid w:val="0044314A"/>
    <w:rPr>
      <w:sz w:val="24"/>
      <w:szCs w:val="24"/>
    </w:rPr>
    <w:tblPr>
      <w:jc w:val="center"/>
    </w:tblPr>
    <w:trPr>
      <w:jc w:val="center"/>
    </w:trPr>
    <w:tcPr>
      <w:vAlign w:val="center"/>
    </w:tc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Normal"/>
    <w:link w:val="TitleChar"/>
    <w:rsid w:val="0044314A"/>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44314A"/>
    <w:rPr>
      <w:rFonts w:ascii="Cambria" w:hAnsi="Cambria"/>
      <w:b/>
      <w:bCs/>
      <w:kern w:val="28"/>
      <w:sz w:val="32"/>
      <w:szCs w:val="32"/>
      <w:lang w:val="en-US" w:eastAsia="en-US"/>
    </w:rPr>
  </w:style>
  <w:style w:type="paragraph" w:styleId="TOC5">
    <w:name w:val="toc 5"/>
    <w:basedOn w:val="Normal"/>
    <w:next w:val="Normal"/>
    <w:autoRedefine/>
    <w:uiPriority w:val="39"/>
    <w:unhideWhenUsed/>
    <w:rsid w:val="0044314A"/>
    <w:pPr>
      <w:spacing w:after="100" w:line="276" w:lineRule="auto"/>
      <w:ind w:left="880" w:firstLine="0"/>
      <w:jc w:val="left"/>
    </w:pPr>
    <w:rPr>
      <w:rFonts w:asciiTheme="minorHAnsi" w:eastAsiaTheme="minorEastAsia" w:hAnsiTheme="minorHAnsi" w:cstheme="minorBidi"/>
      <w:sz w:val="22"/>
      <w:szCs w:val="22"/>
      <w:lang w:val="is-IS" w:eastAsia="is-IS"/>
    </w:rPr>
  </w:style>
  <w:style w:type="paragraph" w:styleId="TOC6">
    <w:name w:val="toc 6"/>
    <w:basedOn w:val="Normal"/>
    <w:next w:val="Normal"/>
    <w:autoRedefine/>
    <w:uiPriority w:val="39"/>
    <w:unhideWhenUsed/>
    <w:rsid w:val="0044314A"/>
    <w:pPr>
      <w:spacing w:after="100" w:line="276" w:lineRule="auto"/>
      <w:ind w:left="1100" w:firstLine="0"/>
      <w:jc w:val="left"/>
    </w:pPr>
    <w:rPr>
      <w:rFonts w:asciiTheme="minorHAnsi" w:eastAsiaTheme="minorEastAsia" w:hAnsiTheme="minorHAnsi" w:cstheme="minorBidi"/>
      <w:sz w:val="22"/>
      <w:szCs w:val="22"/>
      <w:lang w:val="is-IS" w:eastAsia="is-IS"/>
    </w:rPr>
  </w:style>
  <w:style w:type="paragraph" w:styleId="TOC7">
    <w:name w:val="toc 7"/>
    <w:basedOn w:val="Normal"/>
    <w:next w:val="Normal"/>
    <w:autoRedefine/>
    <w:uiPriority w:val="39"/>
    <w:unhideWhenUsed/>
    <w:rsid w:val="0044314A"/>
    <w:pPr>
      <w:spacing w:after="100" w:line="276" w:lineRule="auto"/>
      <w:ind w:left="1320" w:firstLine="0"/>
      <w:jc w:val="left"/>
    </w:pPr>
    <w:rPr>
      <w:rFonts w:asciiTheme="minorHAnsi" w:eastAsiaTheme="minorEastAsia" w:hAnsiTheme="minorHAnsi" w:cstheme="minorBidi"/>
      <w:sz w:val="22"/>
      <w:szCs w:val="22"/>
      <w:lang w:val="is-IS" w:eastAsia="is-IS"/>
    </w:rPr>
  </w:style>
  <w:style w:type="paragraph" w:styleId="TOC8">
    <w:name w:val="toc 8"/>
    <w:basedOn w:val="Normal"/>
    <w:next w:val="Normal"/>
    <w:autoRedefine/>
    <w:uiPriority w:val="39"/>
    <w:unhideWhenUsed/>
    <w:rsid w:val="0044314A"/>
    <w:pPr>
      <w:spacing w:after="100" w:line="276" w:lineRule="auto"/>
      <w:ind w:left="1540" w:firstLine="0"/>
      <w:jc w:val="left"/>
    </w:pPr>
    <w:rPr>
      <w:rFonts w:asciiTheme="minorHAnsi" w:eastAsiaTheme="minorEastAsia" w:hAnsiTheme="minorHAnsi" w:cstheme="minorBidi"/>
      <w:sz w:val="22"/>
      <w:szCs w:val="22"/>
      <w:lang w:val="is-IS" w:eastAsia="is-IS"/>
    </w:rPr>
  </w:style>
  <w:style w:type="paragraph" w:styleId="TOC9">
    <w:name w:val="toc 9"/>
    <w:basedOn w:val="Normal"/>
    <w:next w:val="Normal"/>
    <w:autoRedefine/>
    <w:uiPriority w:val="39"/>
    <w:unhideWhenUsed/>
    <w:rsid w:val="0044314A"/>
    <w:pPr>
      <w:spacing w:after="100" w:line="276" w:lineRule="auto"/>
      <w:ind w:left="1760" w:firstLine="0"/>
      <w:jc w:val="left"/>
    </w:pPr>
    <w:rPr>
      <w:rFonts w:asciiTheme="minorHAnsi" w:eastAsiaTheme="minorEastAsia" w:hAnsiTheme="minorHAnsi" w:cstheme="minorBidi"/>
      <w:sz w:val="22"/>
      <w:szCs w:val="22"/>
      <w:lang w:val="is-IS" w:eastAsia="is-IS"/>
    </w:rPr>
  </w:style>
  <w:style w:type="character" w:styleId="FollowedHyperlink">
    <w:name w:val="FollowedHyperlink"/>
    <w:basedOn w:val="DefaultParagraphFont"/>
    <w:uiPriority w:val="2"/>
    <w:rsid w:val="002C6490"/>
    <w:rPr>
      <w:color w:val="800080" w:themeColor="followedHyperlink"/>
      <w:u w:val="single"/>
    </w:rPr>
  </w:style>
  <w:style w:type="paragraph" w:styleId="Revision">
    <w:name w:val="Revision"/>
    <w:hidden/>
    <w:uiPriority w:val="99"/>
    <w:semiHidden/>
    <w:rsid w:val="006E3DFB"/>
    <w:pPr>
      <w:spacing w:before="0" w:after="0" w:line="240" w:lineRule="auto"/>
      <w:ind w:right="0"/>
    </w:pPr>
    <w:rPr>
      <w:rFonts w:ascii="Arial" w:hAnsi="Arial"/>
      <w:szCs w:val="24"/>
      <w:lang w:val="en-US" w:eastAsia="en-US"/>
    </w:rPr>
  </w:style>
  <w:style w:type="table" w:customStyle="1" w:styleId="Table">
    <w:name w:val="Table"/>
    <w:basedOn w:val="TableNormal"/>
    <w:uiPriority w:val="99"/>
    <w:rsid w:val="00AE3132"/>
    <w:pPr>
      <w:spacing w:before="0" w:after="0" w:line="240" w:lineRule="auto"/>
      <w:ind w:right="0"/>
    </w:pPr>
    <w:rPr>
      <w:rFonts w:ascii="Arial" w:hAnsi="Arial"/>
    </w:rPr>
    <w:tblPr>
      <w:tblStyleRowBandSize w:val="1"/>
    </w:tblPr>
    <w:tcPr>
      <w:shd w:val="clear" w:color="auto" w:fill="auto"/>
    </w:tcPr>
    <w:tblStylePr w:type="firstRow">
      <w:pPr>
        <w:jc w:val="center"/>
      </w:pPr>
      <w:rPr>
        <w:rFonts w:ascii="Arial" w:hAnsi="Arial"/>
        <w:sz w:val="20"/>
      </w:rPr>
      <w:tblPr/>
      <w:tcPr>
        <w:tcBorders>
          <w:top w:val="nil"/>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56341">
      <w:bodyDiv w:val="1"/>
      <w:marLeft w:val="0"/>
      <w:marRight w:val="0"/>
      <w:marTop w:val="0"/>
      <w:marBottom w:val="0"/>
      <w:divBdr>
        <w:top w:val="none" w:sz="0" w:space="0" w:color="auto"/>
        <w:left w:val="none" w:sz="0" w:space="0" w:color="auto"/>
        <w:bottom w:val="none" w:sz="0" w:space="0" w:color="auto"/>
        <w:right w:val="none" w:sz="0" w:space="0" w:color="auto"/>
      </w:divBdr>
      <w:divsChild>
        <w:div w:id="735476298">
          <w:marLeft w:val="0"/>
          <w:marRight w:val="0"/>
          <w:marTop w:val="0"/>
          <w:marBottom w:val="0"/>
          <w:divBdr>
            <w:top w:val="none" w:sz="0" w:space="0" w:color="auto"/>
            <w:left w:val="none" w:sz="0" w:space="0" w:color="auto"/>
            <w:bottom w:val="none" w:sz="0" w:space="0" w:color="auto"/>
            <w:right w:val="none" w:sz="0" w:space="0" w:color="auto"/>
          </w:divBdr>
          <w:divsChild>
            <w:div w:id="26176450">
              <w:marLeft w:val="0"/>
              <w:marRight w:val="0"/>
              <w:marTop w:val="0"/>
              <w:marBottom w:val="0"/>
              <w:divBdr>
                <w:top w:val="none" w:sz="0" w:space="0" w:color="auto"/>
                <w:left w:val="none" w:sz="0" w:space="0" w:color="auto"/>
                <w:bottom w:val="none" w:sz="0" w:space="0" w:color="auto"/>
                <w:right w:val="none" w:sz="0" w:space="0" w:color="auto"/>
              </w:divBdr>
            </w:div>
            <w:div w:id="438650114">
              <w:marLeft w:val="0"/>
              <w:marRight w:val="0"/>
              <w:marTop w:val="0"/>
              <w:marBottom w:val="0"/>
              <w:divBdr>
                <w:top w:val="none" w:sz="0" w:space="0" w:color="auto"/>
                <w:left w:val="none" w:sz="0" w:space="0" w:color="auto"/>
                <w:bottom w:val="none" w:sz="0" w:space="0" w:color="auto"/>
                <w:right w:val="none" w:sz="0" w:space="0" w:color="auto"/>
              </w:divBdr>
            </w:div>
            <w:div w:id="1638224018">
              <w:marLeft w:val="0"/>
              <w:marRight w:val="0"/>
              <w:marTop w:val="0"/>
              <w:marBottom w:val="0"/>
              <w:divBdr>
                <w:top w:val="none" w:sz="0" w:space="0" w:color="auto"/>
                <w:left w:val="none" w:sz="0" w:space="0" w:color="auto"/>
                <w:bottom w:val="none" w:sz="0" w:space="0" w:color="auto"/>
                <w:right w:val="none" w:sz="0" w:space="0" w:color="auto"/>
              </w:divBdr>
            </w:div>
            <w:div w:id="1962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4568">
      <w:bodyDiv w:val="1"/>
      <w:marLeft w:val="0"/>
      <w:marRight w:val="0"/>
      <w:marTop w:val="0"/>
      <w:marBottom w:val="0"/>
      <w:divBdr>
        <w:top w:val="none" w:sz="0" w:space="0" w:color="auto"/>
        <w:left w:val="none" w:sz="0" w:space="0" w:color="auto"/>
        <w:bottom w:val="none" w:sz="0" w:space="0" w:color="auto"/>
        <w:right w:val="none" w:sz="0" w:space="0" w:color="auto"/>
      </w:divBdr>
      <w:divsChild>
        <w:div w:id="1836844656">
          <w:marLeft w:val="0"/>
          <w:marRight w:val="0"/>
          <w:marTop w:val="0"/>
          <w:marBottom w:val="0"/>
          <w:divBdr>
            <w:top w:val="none" w:sz="0" w:space="0" w:color="auto"/>
            <w:left w:val="none" w:sz="0" w:space="0" w:color="auto"/>
            <w:bottom w:val="none" w:sz="0" w:space="0" w:color="auto"/>
            <w:right w:val="none" w:sz="0" w:space="0" w:color="auto"/>
          </w:divBdr>
          <w:divsChild>
            <w:div w:id="8156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5647">
      <w:bodyDiv w:val="1"/>
      <w:marLeft w:val="0"/>
      <w:marRight w:val="0"/>
      <w:marTop w:val="0"/>
      <w:marBottom w:val="0"/>
      <w:divBdr>
        <w:top w:val="none" w:sz="0" w:space="0" w:color="auto"/>
        <w:left w:val="none" w:sz="0" w:space="0" w:color="auto"/>
        <w:bottom w:val="none" w:sz="0" w:space="0" w:color="auto"/>
        <w:right w:val="none" w:sz="0" w:space="0" w:color="auto"/>
      </w:divBdr>
      <w:divsChild>
        <w:div w:id="1482231402">
          <w:marLeft w:val="0"/>
          <w:marRight w:val="0"/>
          <w:marTop w:val="0"/>
          <w:marBottom w:val="0"/>
          <w:divBdr>
            <w:top w:val="none" w:sz="0" w:space="0" w:color="auto"/>
            <w:left w:val="none" w:sz="0" w:space="0" w:color="auto"/>
            <w:bottom w:val="none" w:sz="0" w:space="0" w:color="auto"/>
            <w:right w:val="none" w:sz="0" w:space="0" w:color="auto"/>
          </w:divBdr>
          <w:divsChild>
            <w:div w:id="172034528">
              <w:marLeft w:val="0"/>
              <w:marRight w:val="0"/>
              <w:marTop w:val="0"/>
              <w:marBottom w:val="0"/>
              <w:divBdr>
                <w:top w:val="none" w:sz="0" w:space="0" w:color="auto"/>
                <w:left w:val="none" w:sz="0" w:space="0" w:color="auto"/>
                <w:bottom w:val="none" w:sz="0" w:space="0" w:color="auto"/>
                <w:right w:val="none" w:sz="0" w:space="0" w:color="auto"/>
              </w:divBdr>
              <w:divsChild>
                <w:div w:id="1168210109">
                  <w:marLeft w:val="0"/>
                  <w:marRight w:val="0"/>
                  <w:marTop w:val="0"/>
                  <w:marBottom w:val="0"/>
                  <w:divBdr>
                    <w:top w:val="none" w:sz="0" w:space="0" w:color="auto"/>
                    <w:left w:val="none" w:sz="0" w:space="0" w:color="auto"/>
                    <w:bottom w:val="none" w:sz="0" w:space="0" w:color="auto"/>
                    <w:right w:val="none" w:sz="0" w:space="0" w:color="auto"/>
                  </w:divBdr>
                  <w:divsChild>
                    <w:div w:id="416176800">
                      <w:marLeft w:val="0"/>
                      <w:marRight w:val="0"/>
                      <w:marTop w:val="0"/>
                      <w:marBottom w:val="0"/>
                      <w:divBdr>
                        <w:top w:val="none" w:sz="0" w:space="0" w:color="auto"/>
                        <w:left w:val="none" w:sz="0" w:space="0" w:color="auto"/>
                        <w:bottom w:val="none" w:sz="0" w:space="0" w:color="auto"/>
                        <w:right w:val="none" w:sz="0" w:space="0" w:color="auto"/>
                      </w:divBdr>
                      <w:divsChild>
                        <w:div w:id="2140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18344">
      <w:bodyDiv w:val="1"/>
      <w:marLeft w:val="0"/>
      <w:marRight w:val="0"/>
      <w:marTop w:val="0"/>
      <w:marBottom w:val="0"/>
      <w:divBdr>
        <w:top w:val="none" w:sz="0" w:space="0" w:color="auto"/>
        <w:left w:val="none" w:sz="0" w:space="0" w:color="auto"/>
        <w:bottom w:val="none" w:sz="0" w:space="0" w:color="auto"/>
        <w:right w:val="none" w:sz="0" w:space="0" w:color="auto"/>
      </w:divBdr>
      <w:divsChild>
        <w:div w:id="871966096">
          <w:marLeft w:val="0"/>
          <w:marRight w:val="0"/>
          <w:marTop w:val="0"/>
          <w:marBottom w:val="0"/>
          <w:divBdr>
            <w:top w:val="none" w:sz="0" w:space="0" w:color="auto"/>
            <w:left w:val="none" w:sz="0" w:space="0" w:color="auto"/>
            <w:bottom w:val="none" w:sz="0" w:space="0" w:color="auto"/>
            <w:right w:val="none" w:sz="0" w:space="0" w:color="auto"/>
          </w:divBdr>
          <w:divsChild>
            <w:div w:id="776872163">
              <w:marLeft w:val="0"/>
              <w:marRight w:val="0"/>
              <w:marTop w:val="0"/>
              <w:marBottom w:val="0"/>
              <w:divBdr>
                <w:top w:val="none" w:sz="0" w:space="0" w:color="auto"/>
                <w:left w:val="none" w:sz="0" w:space="0" w:color="auto"/>
                <w:bottom w:val="none" w:sz="0" w:space="0" w:color="auto"/>
                <w:right w:val="none" w:sz="0" w:space="0" w:color="auto"/>
              </w:divBdr>
            </w:div>
            <w:div w:id="1883132304">
              <w:marLeft w:val="0"/>
              <w:marRight w:val="0"/>
              <w:marTop w:val="0"/>
              <w:marBottom w:val="0"/>
              <w:divBdr>
                <w:top w:val="none" w:sz="0" w:space="0" w:color="auto"/>
                <w:left w:val="none" w:sz="0" w:space="0" w:color="auto"/>
                <w:bottom w:val="none" w:sz="0" w:space="0" w:color="auto"/>
                <w:right w:val="none" w:sz="0" w:space="0" w:color="auto"/>
              </w:divBdr>
            </w:div>
            <w:div w:id="20439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9769">
      <w:bodyDiv w:val="1"/>
      <w:marLeft w:val="0"/>
      <w:marRight w:val="0"/>
      <w:marTop w:val="0"/>
      <w:marBottom w:val="0"/>
      <w:divBdr>
        <w:top w:val="none" w:sz="0" w:space="0" w:color="auto"/>
        <w:left w:val="none" w:sz="0" w:space="0" w:color="auto"/>
        <w:bottom w:val="none" w:sz="0" w:space="0" w:color="auto"/>
        <w:right w:val="none" w:sz="0" w:space="0" w:color="auto"/>
      </w:divBdr>
      <w:divsChild>
        <w:div w:id="937182280">
          <w:marLeft w:val="0"/>
          <w:marRight w:val="0"/>
          <w:marTop w:val="0"/>
          <w:marBottom w:val="0"/>
          <w:divBdr>
            <w:top w:val="none" w:sz="0" w:space="0" w:color="auto"/>
            <w:left w:val="none" w:sz="0" w:space="0" w:color="auto"/>
            <w:bottom w:val="none" w:sz="0" w:space="0" w:color="auto"/>
            <w:right w:val="none" w:sz="0" w:space="0" w:color="auto"/>
          </w:divBdr>
          <w:divsChild>
            <w:div w:id="1183931503">
              <w:marLeft w:val="0"/>
              <w:marRight w:val="0"/>
              <w:marTop w:val="0"/>
              <w:marBottom w:val="0"/>
              <w:divBdr>
                <w:top w:val="none" w:sz="0" w:space="0" w:color="auto"/>
                <w:left w:val="none" w:sz="0" w:space="0" w:color="auto"/>
                <w:bottom w:val="none" w:sz="0" w:space="0" w:color="auto"/>
                <w:right w:val="none" w:sz="0" w:space="0" w:color="auto"/>
              </w:divBdr>
              <w:divsChild>
                <w:div w:id="38938875">
                  <w:marLeft w:val="0"/>
                  <w:marRight w:val="0"/>
                  <w:marTop w:val="0"/>
                  <w:marBottom w:val="0"/>
                  <w:divBdr>
                    <w:top w:val="none" w:sz="0" w:space="0" w:color="auto"/>
                    <w:left w:val="none" w:sz="0" w:space="0" w:color="auto"/>
                    <w:bottom w:val="none" w:sz="0" w:space="0" w:color="auto"/>
                    <w:right w:val="none" w:sz="0" w:space="0" w:color="auto"/>
                  </w:divBdr>
                  <w:divsChild>
                    <w:div w:id="492647748">
                      <w:marLeft w:val="0"/>
                      <w:marRight w:val="0"/>
                      <w:marTop w:val="0"/>
                      <w:marBottom w:val="0"/>
                      <w:divBdr>
                        <w:top w:val="none" w:sz="0" w:space="0" w:color="auto"/>
                        <w:left w:val="none" w:sz="0" w:space="0" w:color="auto"/>
                        <w:bottom w:val="none" w:sz="0" w:space="0" w:color="auto"/>
                        <w:right w:val="none" w:sz="0" w:space="0" w:color="auto"/>
                      </w:divBdr>
                      <w:divsChild>
                        <w:div w:id="3061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114567">
      <w:bodyDiv w:val="1"/>
      <w:marLeft w:val="0"/>
      <w:marRight w:val="0"/>
      <w:marTop w:val="0"/>
      <w:marBottom w:val="0"/>
      <w:divBdr>
        <w:top w:val="none" w:sz="0" w:space="0" w:color="auto"/>
        <w:left w:val="none" w:sz="0" w:space="0" w:color="auto"/>
        <w:bottom w:val="none" w:sz="0" w:space="0" w:color="auto"/>
        <w:right w:val="none" w:sz="0" w:space="0" w:color="auto"/>
      </w:divBdr>
      <w:divsChild>
        <w:div w:id="1117263293">
          <w:marLeft w:val="0"/>
          <w:marRight w:val="0"/>
          <w:marTop w:val="0"/>
          <w:marBottom w:val="0"/>
          <w:divBdr>
            <w:top w:val="none" w:sz="0" w:space="0" w:color="auto"/>
            <w:left w:val="none" w:sz="0" w:space="0" w:color="auto"/>
            <w:bottom w:val="none" w:sz="0" w:space="0" w:color="auto"/>
            <w:right w:val="none" w:sz="0" w:space="0" w:color="auto"/>
          </w:divBdr>
          <w:divsChild>
            <w:div w:id="492338720">
              <w:marLeft w:val="0"/>
              <w:marRight w:val="0"/>
              <w:marTop w:val="0"/>
              <w:marBottom w:val="0"/>
              <w:divBdr>
                <w:top w:val="none" w:sz="0" w:space="0" w:color="auto"/>
                <w:left w:val="none" w:sz="0" w:space="0" w:color="auto"/>
                <w:bottom w:val="none" w:sz="0" w:space="0" w:color="auto"/>
                <w:right w:val="none" w:sz="0" w:space="0" w:color="auto"/>
              </w:divBdr>
            </w:div>
            <w:div w:id="724909846">
              <w:marLeft w:val="0"/>
              <w:marRight w:val="0"/>
              <w:marTop w:val="0"/>
              <w:marBottom w:val="0"/>
              <w:divBdr>
                <w:top w:val="none" w:sz="0" w:space="0" w:color="auto"/>
                <w:left w:val="none" w:sz="0" w:space="0" w:color="auto"/>
                <w:bottom w:val="none" w:sz="0" w:space="0" w:color="auto"/>
                <w:right w:val="none" w:sz="0" w:space="0" w:color="auto"/>
              </w:divBdr>
            </w:div>
            <w:div w:id="14736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1281">
      <w:bodyDiv w:val="1"/>
      <w:marLeft w:val="0"/>
      <w:marRight w:val="0"/>
      <w:marTop w:val="0"/>
      <w:marBottom w:val="0"/>
      <w:divBdr>
        <w:top w:val="none" w:sz="0" w:space="0" w:color="auto"/>
        <w:left w:val="none" w:sz="0" w:space="0" w:color="auto"/>
        <w:bottom w:val="none" w:sz="0" w:space="0" w:color="auto"/>
        <w:right w:val="none" w:sz="0" w:space="0" w:color="auto"/>
      </w:divBdr>
      <w:divsChild>
        <w:div w:id="1497502421">
          <w:marLeft w:val="0"/>
          <w:marRight w:val="0"/>
          <w:marTop w:val="0"/>
          <w:marBottom w:val="0"/>
          <w:divBdr>
            <w:top w:val="none" w:sz="0" w:space="0" w:color="auto"/>
            <w:left w:val="none" w:sz="0" w:space="0" w:color="auto"/>
            <w:bottom w:val="none" w:sz="0" w:space="0" w:color="auto"/>
            <w:right w:val="none" w:sz="0" w:space="0" w:color="auto"/>
          </w:divBdr>
          <w:divsChild>
            <w:div w:id="2098817911">
              <w:marLeft w:val="0"/>
              <w:marRight w:val="0"/>
              <w:marTop w:val="0"/>
              <w:marBottom w:val="0"/>
              <w:divBdr>
                <w:top w:val="none" w:sz="0" w:space="0" w:color="auto"/>
                <w:left w:val="none" w:sz="0" w:space="0" w:color="auto"/>
                <w:bottom w:val="none" w:sz="0" w:space="0" w:color="auto"/>
                <w:right w:val="none" w:sz="0" w:space="0" w:color="auto"/>
              </w:divBdr>
              <w:divsChild>
                <w:div w:id="1157379276">
                  <w:marLeft w:val="0"/>
                  <w:marRight w:val="0"/>
                  <w:marTop w:val="0"/>
                  <w:marBottom w:val="0"/>
                  <w:divBdr>
                    <w:top w:val="none" w:sz="0" w:space="0" w:color="auto"/>
                    <w:left w:val="none" w:sz="0" w:space="0" w:color="auto"/>
                    <w:bottom w:val="none" w:sz="0" w:space="0" w:color="auto"/>
                    <w:right w:val="none" w:sz="0" w:space="0" w:color="auto"/>
                  </w:divBdr>
                  <w:divsChild>
                    <w:div w:id="2026058594">
                      <w:marLeft w:val="0"/>
                      <w:marRight w:val="0"/>
                      <w:marTop w:val="0"/>
                      <w:marBottom w:val="0"/>
                      <w:divBdr>
                        <w:top w:val="none" w:sz="0" w:space="0" w:color="auto"/>
                        <w:left w:val="none" w:sz="0" w:space="0" w:color="auto"/>
                        <w:bottom w:val="none" w:sz="0" w:space="0" w:color="auto"/>
                        <w:right w:val="none" w:sz="0" w:space="0" w:color="auto"/>
                      </w:divBdr>
                      <w:divsChild>
                        <w:div w:id="3269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412441">
      <w:bodyDiv w:val="1"/>
      <w:marLeft w:val="0"/>
      <w:marRight w:val="0"/>
      <w:marTop w:val="0"/>
      <w:marBottom w:val="0"/>
      <w:divBdr>
        <w:top w:val="none" w:sz="0" w:space="0" w:color="auto"/>
        <w:left w:val="none" w:sz="0" w:space="0" w:color="auto"/>
        <w:bottom w:val="none" w:sz="0" w:space="0" w:color="auto"/>
        <w:right w:val="none" w:sz="0" w:space="0" w:color="auto"/>
      </w:divBdr>
    </w:div>
    <w:div w:id="580141494">
      <w:bodyDiv w:val="1"/>
      <w:marLeft w:val="0"/>
      <w:marRight w:val="0"/>
      <w:marTop w:val="0"/>
      <w:marBottom w:val="0"/>
      <w:divBdr>
        <w:top w:val="none" w:sz="0" w:space="0" w:color="auto"/>
        <w:left w:val="none" w:sz="0" w:space="0" w:color="auto"/>
        <w:bottom w:val="none" w:sz="0" w:space="0" w:color="auto"/>
        <w:right w:val="none" w:sz="0" w:space="0" w:color="auto"/>
      </w:divBdr>
    </w:div>
    <w:div w:id="607005940">
      <w:bodyDiv w:val="1"/>
      <w:marLeft w:val="0"/>
      <w:marRight w:val="0"/>
      <w:marTop w:val="0"/>
      <w:marBottom w:val="0"/>
      <w:divBdr>
        <w:top w:val="none" w:sz="0" w:space="0" w:color="auto"/>
        <w:left w:val="none" w:sz="0" w:space="0" w:color="auto"/>
        <w:bottom w:val="none" w:sz="0" w:space="0" w:color="auto"/>
        <w:right w:val="none" w:sz="0" w:space="0" w:color="auto"/>
      </w:divBdr>
    </w:div>
    <w:div w:id="741758509">
      <w:bodyDiv w:val="1"/>
      <w:marLeft w:val="0"/>
      <w:marRight w:val="0"/>
      <w:marTop w:val="0"/>
      <w:marBottom w:val="0"/>
      <w:divBdr>
        <w:top w:val="none" w:sz="0" w:space="0" w:color="auto"/>
        <w:left w:val="none" w:sz="0" w:space="0" w:color="auto"/>
        <w:bottom w:val="none" w:sz="0" w:space="0" w:color="auto"/>
        <w:right w:val="none" w:sz="0" w:space="0" w:color="auto"/>
      </w:divBdr>
    </w:div>
    <w:div w:id="825125230">
      <w:bodyDiv w:val="1"/>
      <w:marLeft w:val="0"/>
      <w:marRight w:val="0"/>
      <w:marTop w:val="0"/>
      <w:marBottom w:val="0"/>
      <w:divBdr>
        <w:top w:val="none" w:sz="0" w:space="0" w:color="auto"/>
        <w:left w:val="none" w:sz="0" w:space="0" w:color="auto"/>
        <w:bottom w:val="none" w:sz="0" w:space="0" w:color="auto"/>
        <w:right w:val="none" w:sz="0" w:space="0" w:color="auto"/>
      </w:divBdr>
    </w:div>
    <w:div w:id="839082237">
      <w:bodyDiv w:val="1"/>
      <w:marLeft w:val="0"/>
      <w:marRight w:val="0"/>
      <w:marTop w:val="0"/>
      <w:marBottom w:val="0"/>
      <w:divBdr>
        <w:top w:val="none" w:sz="0" w:space="0" w:color="auto"/>
        <w:left w:val="none" w:sz="0" w:space="0" w:color="auto"/>
        <w:bottom w:val="none" w:sz="0" w:space="0" w:color="auto"/>
        <w:right w:val="none" w:sz="0" w:space="0" w:color="auto"/>
      </w:divBdr>
      <w:divsChild>
        <w:div w:id="1008168682">
          <w:marLeft w:val="0"/>
          <w:marRight w:val="0"/>
          <w:marTop w:val="0"/>
          <w:marBottom w:val="0"/>
          <w:divBdr>
            <w:top w:val="none" w:sz="0" w:space="0" w:color="auto"/>
            <w:left w:val="none" w:sz="0" w:space="0" w:color="auto"/>
            <w:bottom w:val="none" w:sz="0" w:space="0" w:color="auto"/>
            <w:right w:val="none" w:sz="0" w:space="0" w:color="auto"/>
          </w:divBdr>
          <w:divsChild>
            <w:div w:id="1444764223">
              <w:marLeft w:val="0"/>
              <w:marRight w:val="0"/>
              <w:marTop w:val="0"/>
              <w:marBottom w:val="0"/>
              <w:divBdr>
                <w:top w:val="none" w:sz="0" w:space="0" w:color="auto"/>
                <w:left w:val="none" w:sz="0" w:space="0" w:color="auto"/>
                <w:bottom w:val="none" w:sz="0" w:space="0" w:color="auto"/>
                <w:right w:val="none" w:sz="0" w:space="0" w:color="auto"/>
              </w:divBdr>
            </w:div>
            <w:div w:id="1596327738">
              <w:marLeft w:val="0"/>
              <w:marRight w:val="0"/>
              <w:marTop w:val="0"/>
              <w:marBottom w:val="0"/>
              <w:divBdr>
                <w:top w:val="none" w:sz="0" w:space="0" w:color="auto"/>
                <w:left w:val="none" w:sz="0" w:space="0" w:color="auto"/>
                <w:bottom w:val="none" w:sz="0" w:space="0" w:color="auto"/>
                <w:right w:val="none" w:sz="0" w:space="0" w:color="auto"/>
              </w:divBdr>
            </w:div>
            <w:div w:id="18832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401">
      <w:bodyDiv w:val="1"/>
      <w:marLeft w:val="0"/>
      <w:marRight w:val="0"/>
      <w:marTop w:val="0"/>
      <w:marBottom w:val="0"/>
      <w:divBdr>
        <w:top w:val="none" w:sz="0" w:space="0" w:color="auto"/>
        <w:left w:val="none" w:sz="0" w:space="0" w:color="auto"/>
        <w:bottom w:val="none" w:sz="0" w:space="0" w:color="auto"/>
        <w:right w:val="none" w:sz="0" w:space="0" w:color="auto"/>
      </w:divBdr>
    </w:div>
    <w:div w:id="891768369">
      <w:bodyDiv w:val="1"/>
      <w:marLeft w:val="0"/>
      <w:marRight w:val="0"/>
      <w:marTop w:val="0"/>
      <w:marBottom w:val="0"/>
      <w:divBdr>
        <w:top w:val="none" w:sz="0" w:space="0" w:color="auto"/>
        <w:left w:val="none" w:sz="0" w:space="0" w:color="auto"/>
        <w:bottom w:val="none" w:sz="0" w:space="0" w:color="auto"/>
        <w:right w:val="none" w:sz="0" w:space="0" w:color="auto"/>
      </w:divBdr>
      <w:divsChild>
        <w:div w:id="79761984">
          <w:marLeft w:val="0"/>
          <w:marRight w:val="0"/>
          <w:marTop w:val="0"/>
          <w:marBottom w:val="0"/>
          <w:divBdr>
            <w:top w:val="none" w:sz="0" w:space="0" w:color="auto"/>
            <w:left w:val="none" w:sz="0" w:space="0" w:color="auto"/>
            <w:bottom w:val="none" w:sz="0" w:space="0" w:color="auto"/>
            <w:right w:val="none" w:sz="0" w:space="0" w:color="auto"/>
          </w:divBdr>
          <w:divsChild>
            <w:div w:id="210577811">
              <w:marLeft w:val="0"/>
              <w:marRight w:val="0"/>
              <w:marTop w:val="0"/>
              <w:marBottom w:val="0"/>
              <w:divBdr>
                <w:top w:val="none" w:sz="0" w:space="0" w:color="auto"/>
                <w:left w:val="none" w:sz="0" w:space="0" w:color="auto"/>
                <w:bottom w:val="none" w:sz="0" w:space="0" w:color="auto"/>
                <w:right w:val="none" w:sz="0" w:space="0" w:color="auto"/>
              </w:divBdr>
            </w:div>
            <w:div w:id="278878065">
              <w:marLeft w:val="0"/>
              <w:marRight w:val="0"/>
              <w:marTop w:val="0"/>
              <w:marBottom w:val="0"/>
              <w:divBdr>
                <w:top w:val="none" w:sz="0" w:space="0" w:color="auto"/>
                <w:left w:val="none" w:sz="0" w:space="0" w:color="auto"/>
                <w:bottom w:val="none" w:sz="0" w:space="0" w:color="auto"/>
                <w:right w:val="none" w:sz="0" w:space="0" w:color="auto"/>
              </w:divBdr>
            </w:div>
            <w:div w:id="1613900816">
              <w:marLeft w:val="0"/>
              <w:marRight w:val="0"/>
              <w:marTop w:val="0"/>
              <w:marBottom w:val="0"/>
              <w:divBdr>
                <w:top w:val="none" w:sz="0" w:space="0" w:color="auto"/>
                <w:left w:val="none" w:sz="0" w:space="0" w:color="auto"/>
                <w:bottom w:val="none" w:sz="0" w:space="0" w:color="auto"/>
                <w:right w:val="none" w:sz="0" w:space="0" w:color="auto"/>
              </w:divBdr>
            </w:div>
            <w:div w:id="17053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6103">
      <w:bodyDiv w:val="1"/>
      <w:marLeft w:val="0"/>
      <w:marRight w:val="0"/>
      <w:marTop w:val="0"/>
      <w:marBottom w:val="0"/>
      <w:divBdr>
        <w:top w:val="none" w:sz="0" w:space="0" w:color="auto"/>
        <w:left w:val="none" w:sz="0" w:space="0" w:color="auto"/>
        <w:bottom w:val="none" w:sz="0" w:space="0" w:color="auto"/>
        <w:right w:val="none" w:sz="0" w:space="0" w:color="auto"/>
      </w:divBdr>
    </w:div>
    <w:div w:id="1161771725">
      <w:bodyDiv w:val="1"/>
      <w:marLeft w:val="0"/>
      <w:marRight w:val="0"/>
      <w:marTop w:val="0"/>
      <w:marBottom w:val="0"/>
      <w:divBdr>
        <w:top w:val="none" w:sz="0" w:space="0" w:color="auto"/>
        <w:left w:val="none" w:sz="0" w:space="0" w:color="auto"/>
        <w:bottom w:val="none" w:sz="0" w:space="0" w:color="auto"/>
        <w:right w:val="none" w:sz="0" w:space="0" w:color="auto"/>
      </w:divBdr>
      <w:divsChild>
        <w:div w:id="194581691">
          <w:marLeft w:val="0"/>
          <w:marRight w:val="0"/>
          <w:marTop w:val="0"/>
          <w:marBottom w:val="0"/>
          <w:divBdr>
            <w:top w:val="none" w:sz="0" w:space="0" w:color="auto"/>
            <w:left w:val="none" w:sz="0" w:space="0" w:color="auto"/>
            <w:bottom w:val="none" w:sz="0" w:space="0" w:color="auto"/>
            <w:right w:val="none" w:sz="0" w:space="0" w:color="auto"/>
          </w:divBdr>
          <w:divsChild>
            <w:div w:id="54730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20702">
      <w:bodyDiv w:val="1"/>
      <w:marLeft w:val="0"/>
      <w:marRight w:val="0"/>
      <w:marTop w:val="0"/>
      <w:marBottom w:val="0"/>
      <w:divBdr>
        <w:top w:val="none" w:sz="0" w:space="0" w:color="auto"/>
        <w:left w:val="none" w:sz="0" w:space="0" w:color="auto"/>
        <w:bottom w:val="none" w:sz="0" w:space="0" w:color="auto"/>
        <w:right w:val="none" w:sz="0" w:space="0" w:color="auto"/>
      </w:divBdr>
      <w:divsChild>
        <w:div w:id="1545949795">
          <w:marLeft w:val="0"/>
          <w:marRight w:val="0"/>
          <w:marTop w:val="0"/>
          <w:marBottom w:val="0"/>
          <w:divBdr>
            <w:top w:val="none" w:sz="0" w:space="0" w:color="auto"/>
            <w:left w:val="none" w:sz="0" w:space="0" w:color="auto"/>
            <w:bottom w:val="none" w:sz="0" w:space="0" w:color="auto"/>
            <w:right w:val="none" w:sz="0" w:space="0" w:color="auto"/>
          </w:divBdr>
          <w:divsChild>
            <w:div w:id="10884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9722">
      <w:bodyDiv w:val="1"/>
      <w:marLeft w:val="0"/>
      <w:marRight w:val="0"/>
      <w:marTop w:val="0"/>
      <w:marBottom w:val="0"/>
      <w:divBdr>
        <w:top w:val="none" w:sz="0" w:space="0" w:color="auto"/>
        <w:left w:val="none" w:sz="0" w:space="0" w:color="auto"/>
        <w:bottom w:val="none" w:sz="0" w:space="0" w:color="auto"/>
        <w:right w:val="none" w:sz="0" w:space="0" w:color="auto"/>
      </w:divBdr>
      <w:divsChild>
        <w:div w:id="1212959444">
          <w:marLeft w:val="0"/>
          <w:marRight w:val="0"/>
          <w:marTop w:val="0"/>
          <w:marBottom w:val="0"/>
          <w:divBdr>
            <w:top w:val="none" w:sz="0" w:space="0" w:color="auto"/>
            <w:left w:val="none" w:sz="0" w:space="0" w:color="auto"/>
            <w:bottom w:val="none" w:sz="0" w:space="0" w:color="auto"/>
            <w:right w:val="none" w:sz="0" w:space="0" w:color="auto"/>
          </w:divBdr>
          <w:divsChild>
            <w:div w:id="352541047">
              <w:marLeft w:val="0"/>
              <w:marRight w:val="0"/>
              <w:marTop w:val="0"/>
              <w:marBottom w:val="0"/>
              <w:divBdr>
                <w:top w:val="none" w:sz="0" w:space="0" w:color="auto"/>
                <w:left w:val="none" w:sz="0" w:space="0" w:color="auto"/>
                <w:bottom w:val="none" w:sz="0" w:space="0" w:color="auto"/>
                <w:right w:val="none" w:sz="0" w:space="0" w:color="auto"/>
              </w:divBdr>
              <w:divsChild>
                <w:div w:id="1324242664">
                  <w:marLeft w:val="0"/>
                  <w:marRight w:val="0"/>
                  <w:marTop w:val="0"/>
                  <w:marBottom w:val="0"/>
                  <w:divBdr>
                    <w:top w:val="none" w:sz="0" w:space="0" w:color="auto"/>
                    <w:left w:val="none" w:sz="0" w:space="0" w:color="auto"/>
                    <w:bottom w:val="none" w:sz="0" w:space="0" w:color="auto"/>
                    <w:right w:val="none" w:sz="0" w:space="0" w:color="auto"/>
                  </w:divBdr>
                  <w:divsChild>
                    <w:div w:id="1605260860">
                      <w:marLeft w:val="0"/>
                      <w:marRight w:val="0"/>
                      <w:marTop w:val="0"/>
                      <w:marBottom w:val="0"/>
                      <w:divBdr>
                        <w:top w:val="none" w:sz="0" w:space="0" w:color="auto"/>
                        <w:left w:val="none" w:sz="0" w:space="0" w:color="auto"/>
                        <w:bottom w:val="none" w:sz="0" w:space="0" w:color="auto"/>
                        <w:right w:val="none" w:sz="0" w:space="0" w:color="auto"/>
                      </w:divBdr>
                      <w:divsChild>
                        <w:div w:id="4151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360707">
      <w:bodyDiv w:val="1"/>
      <w:marLeft w:val="0"/>
      <w:marRight w:val="0"/>
      <w:marTop w:val="0"/>
      <w:marBottom w:val="0"/>
      <w:divBdr>
        <w:top w:val="none" w:sz="0" w:space="0" w:color="auto"/>
        <w:left w:val="none" w:sz="0" w:space="0" w:color="auto"/>
        <w:bottom w:val="none" w:sz="0" w:space="0" w:color="auto"/>
        <w:right w:val="none" w:sz="0" w:space="0" w:color="auto"/>
      </w:divBdr>
      <w:divsChild>
        <w:div w:id="1411927117">
          <w:marLeft w:val="0"/>
          <w:marRight w:val="0"/>
          <w:marTop w:val="0"/>
          <w:marBottom w:val="0"/>
          <w:divBdr>
            <w:top w:val="none" w:sz="0" w:space="0" w:color="auto"/>
            <w:left w:val="none" w:sz="0" w:space="0" w:color="auto"/>
            <w:bottom w:val="none" w:sz="0" w:space="0" w:color="auto"/>
            <w:right w:val="none" w:sz="0" w:space="0" w:color="auto"/>
          </w:divBdr>
          <w:divsChild>
            <w:div w:id="528299083">
              <w:marLeft w:val="0"/>
              <w:marRight w:val="0"/>
              <w:marTop w:val="0"/>
              <w:marBottom w:val="0"/>
              <w:divBdr>
                <w:top w:val="none" w:sz="0" w:space="0" w:color="auto"/>
                <w:left w:val="none" w:sz="0" w:space="0" w:color="auto"/>
                <w:bottom w:val="none" w:sz="0" w:space="0" w:color="auto"/>
                <w:right w:val="none" w:sz="0" w:space="0" w:color="auto"/>
              </w:divBdr>
            </w:div>
            <w:div w:id="649098013">
              <w:marLeft w:val="0"/>
              <w:marRight w:val="0"/>
              <w:marTop w:val="0"/>
              <w:marBottom w:val="0"/>
              <w:divBdr>
                <w:top w:val="none" w:sz="0" w:space="0" w:color="auto"/>
                <w:left w:val="none" w:sz="0" w:space="0" w:color="auto"/>
                <w:bottom w:val="none" w:sz="0" w:space="0" w:color="auto"/>
                <w:right w:val="none" w:sz="0" w:space="0" w:color="auto"/>
              </w:divBdr>
            </w:div>
            <w:div w:id="708066874">
              <w:marLeft w:val="0"/>
              <w:marRight w:val="0"/>
              <w:marTop w:val="0"/>
              <w:marBottom w:val="0"/>
              <w:divBdr>
                <w:top w:val="none" w:sz="0" w:space="0" w:color="auto"/>
                <w:left w:val="none" w:sz="0" w:space="0" w:color="auto"/>
                <w:bottom w:val="none" w:sz="0" w:space="0" w:color="auto"/>
                <w:right w:val="none" w:sz="0" w:space="0" w:color="auto"/>
              </w:divBdr>
            </w:div>
            <w:div w:id="12555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0710">
      <w:bodyDiv w:val="1"/>
      <w:marLeft w:val="0"/>
      <w:marRight w:val="0"/>
      <w:marTop w:val="0"/>
      <w:marBottom w:val="0"/>
      <w:divBdr>
        <w:top w:val="none" w:sz="0" w:space="0" w:color="auto"/>
        <w:left w:val="none" w:sz="0" w:space="0" w:color="auto"/>
        <w:bottom w:val="none" w:sz="0" w:space="0" w:color="auto"/>
        <w:right w:val="none" w:sz="0" w:space="0" w:color="auto"/>
      </w:divBdr>
    </w:div>
    <w:div w:id="1558004934">
      <w:bodyDiv w:val="1"/>
      <w:marLeft w:val="0"/>
      <w:marRight w:val="0"/>
      <w:marTop w:val="0"/>
      <w:marBottom w:val="0"/>
      <w:divBdr>
        <w:top w:val="none" w:sz="0" w:space="0" w:color="auto"/>
        <w:left w:val="none" w:sz="0" w:space="0" w:color="auto"/>
        <w:bottom w:val="none" w:sz="0" w:space="0" w:color="auto"/>
        <w:right w:val="none" w:sz="0" w:space="0" w:color="auto"/>
      </w:divBdr>
      <w:divsChild>
        <w:div w:id="1225801434">
          <w:marLeft w:val="0"/>
          <w:marRight w:val="0"/>
          <w:marTop w:val="0"/>
          <w:marBottom w:val="0"/>
          <w:divBdr>
            <w:top w:val="none" w:sz="0" w:space="0" w:color="auto"/>
            <w:left w:val="none" w:sz="0" w:space="0" w:color="auto"/>
            <w:bottom w:val="none" w:sz="0" w:space="0" w:color="auto"/>
            <w:right w:val="none" w:sz="0" w:space="0" w:color="auto"/>
          </w:divBdr>
          <w:divsChild>
            <w:div w:id="13455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7754">
      <w:bodyDiv w:val="1"/>
      <w:marLeft w:val="0"/>
      <w:marRight w:val="0"/>
      <w:marTop w:val="0"/>
      <w:marBottom w:val="0"/>
      <w:divBdr>
        <w:top w:val="none" w:sz="0" w:space="0" w:color="auto"/>
        <w:left w:val="none" w:sz="0" w:space="0" w:color="auto"/>
        <w:bottom w:val="none" w:sz="0" w:space="0" w:color="auto"/>
        <w:right w:val="none" w:sz="0" w:space="0" w:color="auto"/>
      </w:divBdr>
      <w:divsChild>
        <w:div w:id="1033380098">
          <w:marLeft w:val="0"/>
          <w:marRight w:val="0"/>
          <w:marTop w:val="0"/>
          <w:marBottom w:val="0"/>
          <w:divBdr>
            <w:top w:val="none" w:sz="0" w:space="0" w:color="auto"/>
            <w:left w:val="none" w:sz="0" w:space="0" w:color="auto"/>
            <w:bottom w:val="none" w:sz="0" w:space="0" w:color="auto"/>
            <w:right w:val="none" w:sz="0" w:space="0" w:color="auto"/>
          </w:divBdr>
          <w:divsChild>
            <w:div w:id="1930113089">
              <w:marLeft w:val="0"/>
              <w:marRight w:val="0"/>
              <w:marTop w:val="0"/>
              <w:marBottom w:val="0"/>
              <w:divBdr>
                <w:top w:val="none" w:sz="0" w:space="0" w:color="auto"/>
                <w:left w:val="none" w:sz="0" w:space="0" w:color="auto"/>
                <w:bottom w:val="none" w:sz="0" w:space="0" w:color="auto"/>
                <w:right w:val="none" w:sz="0" w:space="0" w:color="auto"/>
              </w:divBdr>
              <w:divsChild>
                <w:div w:id="2075615802">
                  <w:marLeft w:val="0"/>
                  <w:marRight w:val="0"/>
                  <w:marTop w:val="0"/>
                  <w:marBottom w:val="0"/>
                  <w:divBdr>
                    <w:top w:val="none" w:sz="0" w:space="0" w:color="auto"/>
                    <w:left w:val="none" w:sz="0" w:space="0" w:color="auto"/>
                    <w:bottom w:val="none" w:sz="0" w:space="0" w:color="auto"/>
                    <w:right w:val="none" w:sz="0" w:space="0" w:color="auto"/>
                  </w:divBdr>
                  <w:divsChild>
                    <w:div w:id="153449767">
                      <w:marLeft w:val="0"/>
                      <w:marRight w:val="0"/>
                      <w:marTop w:val="0"/>
                      <w:marBottom w:val="0"/>
                      <w:divBdr>
                        <w:top w:val="none" w:sz="0" w:space="0" w:color="auto"/>
                        <w:left w:val="none" w:sz="0" w:space="0" w:color="auto"/>
                        <w:bottom w:val="none" w:sz="0" w:space="0" w:color="auto"/>
                        <w:right w:val="none" w:sz="0" w:space="0" w:color="auto"/>
                      </w:divBdr>
                      <w:divsChild>
                        <w:div w:id="888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866972">
      <w:bodyDiv w:val="1"/>
      <w:marLeft w:val="0"/>
      <w:marRight w:val="0"/>
      <w:marTop w:val="0"/>
      <w:marBottom w:val="0"/>
      <w:divBdr>
        <w:top w:val="none" w:sz="0" w:space="0" w:color="auto"/>
        <w:left w:val="none" w:sz="0" w:space="0" w:color="auto"/>
        <w:bottom w:val="none" w:sz="0" w:space="0" w:color="auto"/>
        <w:right w:val="none" w:sz="0" w:space="0" w:color="auto"/>
      </w:divBdr>
    </w:div>
    <w:div w:id="1828982113">
      <w:bodyDiv w:val="1"/>
      <w:marLeft w:val="0"/>
      <w:marRight w:val="0"/>
      <w:marTop w:val="0"/>
      <w:marBottom w:val="0"/>
      <w:divBdr>
        <w:top w:val="none" w:sz="0" w:space="0" w:color="auto"/>
        <w:left w:val="none" w:sz="0" w:space="0" w:color="auto"/>
        <w:bottom w:val="none" w:sz="0" w:space="0" w:color="auto"/>
        <w:right w:val="none" w:sz="0" w:space="0" w:color="auto"/>
      </w:divBdr>
      <w:divsChild>
        <w:div w:id="1495995760">
          <w:marLeft w:val="0"/>
          <w:marRight w:val="0"/>
          <w:marTop w:val="0"/>
          <w:marBottom w:val="0"/>
          <w:divBdr>
            <w:top w:val="none" w:sz="0" w:space="0" w:color="auto"/>
            <w:left w:val="none" w:sz="0" w:space="0" w:color="auto"/>
            <w:bottom w:val="none" w:sz="0" w:space="0" w:color="auto"/>
            <w:right w:val="none" w:sz="0" w:space="0" w:color="auto"/>
          </w:divBdr>
          <w:divsChild>
            <w:div w:id="18026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3600">
      <w:bodyDiv w:val="1"/>
      <w:marLeft w:val="0"/>
      <w:marRight w:val="0"/>
      <w:marTop w:val="0"/>
      <w:marBottom w:val="0"/>
      <w:divBdr>
        <w:top w:val="none" w:sz="0" w:space="0" w:color="auto"/>
        <w:left w:val="none" w:sz="0" w:space="0" w:color="auto"/>
        <w:bottom w:val="none" w:sz="0" w:space="0" w:color="auto"/>
        <w:right w:val="none" w:sz="0" w:space="0" w:color="auto"/>
      </w:divBdr>
      <w:divsChild>
        <w:div w:id="865488664">
          <w:marLeft w:val="0"/>
          <w:marRight w:val="0"/>
          <w:marTop w:val="0"/>
          <w:marBottom w:val="0"/>
          <w:divBdr>
            <w:top w:val="none" w:sz="0" w:space="0" w:color="auto"/>
            <w:left w:val="none" w:sz="0" w:space="0" w:color="auto"/>
            <w:bottom w:val="none" w:sz="0" w:space="0" w:color="auto"/>
            <w:right w:val="none" w:sz="0" w:space="0" w:color="auto"/>
          </w:divBdr>
          <w:divsChild>
            <w:div w:id="1506751269">
              <w:marLeft w:val="0"/>
              <w:marRight w:val="0"/>
              <w:marTop w:val="0"/>
              <w:marBottom w:val="0"/>
              <w:divBdr>
                <w:top w:val="none" w:sz="0" w:space="0" w:color="auto"/>
                <w:left w:val="none" w:sz="0" w:space="0" w:color="auto"/>
                <w:bottom w:val="none" w:sz="0" w:space="0" w:color="auto"/>
                <w:right w:val="none" w:sz="0" w:space="0" w:color="auto"/>
              </w:divBdr>
            </w:div>
            <w:div w:id="1539390267">
              <w:marLeft w:val="0"/>
              <w:marRight w:val="0"/>
              <w:marTop w:val="0"/>
              <w:marBottom w:val="0"/>
              <w:divBdr>
                <w:top w:val="none" w:sz="0" w:space="0" w:color="auto"/>
                <w:left w:val="none" w:sz="0" w:space="0" w:color="auto"/>
                <w:bottom w:val="none" w:sz="0" w:space="0" w:color="auto"/>
                <w:right w:val="none" w:sz="0" w:space="0" w:color="auto"/>
              </w:divBdr>
            </w:div>
            <w:div w:id="1931162770">
              <w:marLeft w:val="0"/>
              <w:marRight w:val="0"/>
              <w:marTop w:val="0"/>
              <w:marBottom w:val="0"/>
              <w:divBdr>
                <w:top w:val="none" w:sz="0" w:space="0" w:color="auto"/>
                <w:left w:val="none" w:sz="0" w:space="0" w:color="auto"/>
                <w:bottom w:val="none" w:sz="0" w:space="0" w:color="auto"/>
                <w:right w:val="none" w:sz="0" w:space="0" w:color="auto"/>
              </w:divBdr>
            </w:div>
            <w:div w:id="20132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footer" Target="footer2.xml" /><Relationship Id="rId11" Type="http://schemas.openxmlformats.org/officeDocument/2006/relationships/footer" Target="footer4.xml" /><Relationship Id="rId12" Type="http://schemas.openxmlformats.org/officeDocument/2006/relationships/footer" Target="footer3.xml" /><Relationship Id="rId13" Type="http://schemas.openxmlformats.org/officeDocument/2006/relationships/footer" Target="footer1.xml"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71" Target="media/rId71.png" /></Relationships>
</file>

<file path=word/_rels/footnotes.xml.rels><?xml version="1.0" encoding="UTF-8"?>
<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LOCALS~1\Temp\notesBAAA25\Meistaraverkefni_Heilbrigdisvisindasvid-Snidmat-Arial-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C:\DOCUME~1\mas\LOCALS~1\Temp\notesBAAA25\Meistaraverkefni_Heilbrigdisvisindasvid-Snidmat-Arial-A4.dot</Template>
  <TotalTime>42</TotalTime>
  <Pages>47</Pages>
  <Words>2399</Words>
  <Characters>13677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Sniðmát meistaraverkefnis HÍ</vt:lpstr>
    </vt:vector>
  </TitlesOfParts>
  <Company>Háskóli Íslands</Company>
  <LinksUpToDate>false</LinksUpToDate>
  <CharactersWithSpaces>16044</CharactersWithSpaces>
  <SharedDoc>false</SharedDoc>
  <HLinks>
    <vt:vector size="612" baseType="variant">
      <vt:variant>
        <vt:i4>7864426</vt:i4>
      </vt:variant>
      <vt:variant>
        <vt:i4>1576</vt:i4>
      </vt:variant>
      <vt:variant>
        <vt:i4>0</vt:i4>
      </vt:variant>
      <vt:variant>
        <vt:i4>5</vt:i4>
      </vt:variant>
      <vt:variant>
        <vt:lpwstr>http://www.skemman.is/</vt:lpwstr>
      </vt:variant>
      <vt:variant>
        <vt:lpwstr/>
      </vt:variant>
      <vt:variant>
        <vt:i4>262178</vt:i4>
      </vt:variant>
      <vt:variant>
        <vt:i4>1573</vt:i4>
      </vt:variant>
      <vt:variant>
        <vt:i4>0</vt:i4>
      </vt:variant>
      <vt:variant>
        <vt:i4>5</vt:i4>
      </vt:variant>
      <vt:variant>
        <vt:lpwstr>http://images.isiknowledge.com/WOK45/help/WOS/A_abrvjt.html</vt:lpwstr>
      </vt:variant>
      <vt:variant>
        <vt:lpwstr/>
      </vt:variant>
      <vt:variant>
        <vt:i4>7864426</vt:i4>
      </vt:variant>
      <vt:variant>
        <vt:i4>591</vt:i4>
      </vt:variant>
      <vt:variant>
        <vt:i4>0</vt:i4>
      </vt:variant>
      <vt:variant>
        <vt:i4>5</vt:i4>
      </vt:variant>
      <vt:variant>
        <vt:lpwstr>http://www.skemman.is/</vt:lpwstr>
      </vt:variant>
      <vt:variant>
        <vt:lpwstr/>
      </vt:variant>
      <vt:variant>
        <vt:i4>3407914</vt:i4>
      </vt:variant>
      <vt:variant>
        <vt:i4>588</vt:i4>
      </vt:variant>
      <vt:variant>
        <vt:i4>0</vt:i4>
      </vt:variant>
      <vt:variant>
        <vt:i4>5</vt:i4>
      </vt:variant>
      <vt:variant>
        <vt:lpwstr>http://www.ncbi.nlm.nih.gov/pubmed/21145922</vt:lpwstr>
      </vt:variant>
      <vt:variant>
        <vt:lpwstr/>
      </vt:variant>
      <vt:variant>
        <vt:i4>3538981</vt:i4>
      </vt:variant>
      <vt:variant>
        <vt:i4>585</vt:i4>
      </vt:variant>
      <vt:variant>
        <vt:i4>0</vt:i4>
      </vt:variant>
      <vt:variant>
        <vt:i4>5</vt:i4>
      </vt:variant>
      <vt:variant>
        <vt:lpwstr>http://www.ncbi.nlm.nih.gov/pubmed/18687367</vt:lpwstr>
      </vt:variant>
      <vt:variant>
        <vt:lpwstr/>
      </vt:variant>
      <vt:variant>
        <vt:i4>3932200</vt:i4>
      </vt:variant>
      <vt:variant>
        <vt:i4>582</vt:i4>
      </vt:variant>
      <vt:variant>
        <vt:i4>0</vt:i4>
      </vt:variant>
      <vt:variant>
        <vt:i4>5</vt:i4>
      </vt:variant>
      <vt:variant>
        <vt:lpwstr>http://www.ncbi.nlm.nih.gov/pubmed/15327994</vt:lpwstr>
      </vt:variant>
      <vt:variant>
        <vt:lpwstr/>
      </vt:variant>
      <vt:variant>
        <vt:i4>3670050</vt:i4>
      </vt:variant>
      <vt:variant>
        <vt:i4>579</vt:i4>
      </vt:variant>
      <vt:variant>
        <vt:i4>0</vt:i4>
      </vt:variant>
      <vt:variant>
        <vt:i4>5</vt:i4>
      </vt:variant>
      <vt:variant>
        <vt:lpwstr>http://www.ncbi.nlm.nih.gov/pubmed/12801607</vt:lpwstr>
      </vt:variant>
      <vt:variant>
        <vt:lpwstr/>
      </vt:variant>
      <vt:variant>
        <vt:i4>1179699</vt:i4>
      </vt:variant>
      <vt:variant>
        <vt:i4>572</vt:i4>
      </vt:variant>
      <vt:variant>
        <vt:i4>0</vt:i4>
      </vt:variant>
      <vt:variant>
        <vt:i4>5</vt:i4>
      </vt:variant>
      <vt:variant>
        <vt:lpwstr/>
      </vt:variant>
      <vt:variant>
        <vt:lpwstr>_Toc320729290</vt:lpwstr>
      </vt:variant>
      <vt:variant>
        <vt:i4>1048627</vt:i4>
      </vt:variant>
      <vt:variant>
        <vt:i4>561</vt:i4>
      </vt:variant>
      <vt:variant>
        <vt:i4>0</vt:i4>
      </vt:variant>
      <vt:variant>
        <vt:i4>5</vt:i4>
      </vt:variant>
      <vt:variant>
        <vt:lpwstr/>
      </vt:variant>
      <vt:variant>
        <vt:lpwstr>_Toc321999855</vt:lpwstr>
      </vt:variant>
      <vt:variant>
        <vt:i4>1048627</vt:i4>
      </vt:variant>
      <vt:variant>
        <vt:i4>555</vt:i4>
      </vt:variant>
      <vt:variant>
        <vt:i4>0</vt:i4>
      </vt:variant>
      <vt:variant>
        <vt:i4>5</vt:i4>
      </vt:variant>
      <vt:variant>
        <vt:lpwstr/>
      </vt:variant>
      <vt:variant>
        <vt:lpwstr>_Toc321999854</vt:lpwstr>
      </vt:variant>
      <vt:variant>
        <vt:i4>1048627</vt:i4>
      </vt:variant>
      <vt:variant>
        <vt:i4>549</vt:i4>
      </vt:variant>
      <vt:variant>
        <vt:i4>0</vt:i4>
      </vt:variant>
      <vt:variant>
        <vt:i4>5</vt:i4>
      </vt:variant>
      <vt:variant>
        <vt:lpwstr/>
      </vt:variant>
      <vt:variant>
        <vt:lpwstr>_Toc321999853</vt:lpwstr>
      </vt:variant>
      <vt:variant>
        <vt:i4>1048627</vt:i4>
      </vt:variant>
      <vt:variant>
        <vt:i4>543</vt:i4>
      </vt:variant>
      <vt:variant>
        <vt:i4>0</vt:i4>
      </vt:variant>
      <vt:variant>
        <vt:i4>5</vt:i4>
      </vt:variant>
      <vt:variant>
        <vt:lpwstr/>
      </vt:variant>
      <vt:variant>
        <vt:lpwstr>_Toc321999852</vt:lpwstr>
      </vt:variant>
      <vt:variant>
        <vt:i4>1048627</vt:i4>
      </vt:variant>
      <vt:variant>
        <vt:i4>537</vt:i4>
      </vt:variant>
      <vt:variant>
        <vt:i4>0</vt:i4>
      </vt:variant>
      <vt:variant>
        <vt:i4>5</vt:i4>
      </vt:variant>
      <vt:variant>
        <vt:lpwstr/>
      </vt:variant>
      <vt:variant>
        <vt:lpwstr>_Toc321999851</vt:lpwstr>
      </vt:variant>
      <vt:variant>
        <vt:i4>1048627</vt:i4>
      </vt:variant>
      <vt:variant>
        <vt:i4>531</vt:i4>
      </vt:variant>
      <vt:variant>
        <vt:i4>0</vt:i4>
      </vt:variant>
      <vt:variant>
        <vt:i4>5</vt:i4>
      </vt:variant>
      <vt:variant>
        <vt:lpwstr/>
      </vt:variant>
      <vt:variant>
        <vt:lpwstr>_Toc321999850</vt:lpwstr>
      </vt:variant>
      <vt:variant>
        <vt:i4>1114163</vt:i4>
      </vt:variant>
      <vt:variant>
        <vt:i4>525</vt:i4>
      </vt:variant>
      <vt:variant>
        <vt:i4>0</vt:i4>
      </vt:variant>
      <vt:variant>
        <vt:i4>5</vt:i4>
      </vt:variant>
      <vt:variant>
        <vt:lpwstr/>
      </vt:variant>
      <vt:variant>
        <vt:lpwstr>_Toc321999849</vt:lpwstr>
      </vt:variant>
      <vt:variant>
        <vt:i4>1114163</vt:i4>
      </vt:variant>
      <vt:variant>
        <vt:i4>519</vt:i4>
      </vt:variant>
      <vt:variant>
        <vt:i4>0</vt:i4>
      </vt:variant>
      <vt:variant>
        <vt:i4>5</vt:i4>
      </vt:variant>
      <vt:variant>
        <vt:lpwstr/>
      </vt:variant>
      <vt:variant>
        <vt:lpwstr>_Toc321999848</vt:lpwstr>
      </vt:variant>
      <vt:variant>
        <vt:i4>1114163</vt:i4>
      </vt:variant>
      <vt:variant>
        <vt:i4>513</vt:i4>
      </vt:variant>
      <vt:variant>
        <vt:i4>0</vt:i4>
      </vt:variant>
      <vt:variant>
        <vt:i4>5</vt:i4>
      </vt:variant>
      <vt:variant>
        <vt:lpwstr/>
      </vt:variant>
      <vt:variant>
        <vt:lpwstr>_Toc321999847</vt:lpwstr>
      </vt:variant>
      <vt:variant>
        <vt:i4>1114163</vt:i4>
      </vt:variant>
      <vt:variant>
        <vt:i4>507</vt:i4>
      </vt:variant>
      <vt:variant>
        <vt:i4>0</vt:i4>
      </vt:variant>
      <vt:variant>
        <vt:i4>5</vt:i4>
      </vt:variant>
      <vt:variant>
        <vt:lpwstr/>
      </vt:variant>
      <vt:variant>
        <vt:lpwstr>_Toc321999846</vt:lpwstr>
      </vt:variant>
      <vt:variant>
        <vt:i4>1114163</vt:i4>
      </vt:variant>
      <vt:variant>
        <vt:i4>501</vt:i4>
      </vt:variant>
      <vt:variant>
        <vt:i4>0</vt:i4>
      </vt:variant>
      <vt:variant>
        <vt:i4>5</vt:i4>
      </vt:variant>
      <vt:variant>
        <vt:lpwstr/>
      </vt:variant>
      <vt:variant>
        <vt:lpwstr>_Toc321999845</vt:lpwstr>
      </vt:variant>
      <vt:variant>
        <vt:i4>1114163</vt:i4>
      </vt:variant>
      <vt:variant>
        <vt:i4>495</vt:i4>
      </vt:variant>
      <vt:variant>
        <vt:i4>0</vt:i4>
      </vt:variant>
      <vt:variant>
        <vt:i4>5</vt:i4>
      </vt:variant>
      <vt:variant>
        <vt:lpwstr/>
      </vt:variant>
      <vt:variant>
        <vt:lpwstr>_Toc321999844</vt:lpwstr>
      </vt:variant>
      <vt:variant>
        <vt:i4>1114163</vt:i4>
      </vt:variant>
      <vt:variant>
        <vt:i4>489</vt:i4>
      </vt:variant>
      <vt:variant>
        <vt:i4>0</vt:i4>
      </vt:variant>
      <vt:variant>
        <vt:i4>5</vt:i4>
      </vt:variant>
      <vt:variant>
        <vt:lpwstr/>
      </vt:variant>
      <vt:variant>
        <vt:lpwstr>_Toc321999843</vt:lpwstr>
      </vt:variant>
      <vt:variant>
        <vt:i4>1114163</vt:i4>
      </vt:variant>
      <vt:variant>
        <vt:i4>483</vt:i4>
      </vt:variant>
      <vt:variant>
        <vt:i4>0</vt:i4>
      </vt:variant>
      <vt:variant>
        <vt:i4>5</vt:i4>
      </vt:variant>
      <vt:variant>
        <vt:lpwstr/>
      </vt:variant>
      <vt:variant>
        <vt:lpwstr>_Toc321999842</vt:lpwstr>
      </vt:variant>
      <vt:variant>
        <vt:i4>1114163</vt:i4>
      </vt:variant>
      <vt:variant>
        <vt:i4>477</vt:i4>
      </vt:variant>
      <vt:variant>
        <vt:i4>0</vt:i4>
      </vt:variant>
      <vt:variant>
        <vt:i4>5</vt:i4>
      </vt:variant>
      <vt:variant>
        <vt:lpwstr/>
      </vt:variant>
      <vt:variant>
        <vt:lpwstr>_Toc321999841</vt:lpwstr>
      </vt:variant>
      <vt:variant>
        <vt:i4>1114163</vt:i4>
      </vt:variant>
      <vt:variant>
        <vt:i4>471</vt:i4>
      </vt:variant>
      <vt:variant>
        <vt:i4>0</vt:i4>
      </vt:variant>
      <vt:variant>
        <vt:i4>5</vt:i4>
      </vt:variant>
      <vt:variant>
        <vt:lpwstr/>
      </vt:variant>
      <vt:variant>
        <vt:lpwstr>_Toc321999840</vt:lpwstr>
      </vt:variant>
      <vt:variant>
        <vt:i4>1441843</vt:i4>
      </vt:variant>
      <vt:variant>
        <vt:i4>465</vt:i4>
      </vt:variant>
      <vt:variant>
        <vt:i4>0</vt:i4>
      </vt:variant>
      <vt:variant>
        <vt:i4>5</vt:i4>
      </vt:variant>
      <vt:variant>
        <vt:lpwstr/>
      </vt:variant>
      <vt:variant>
        <vt:lpwstr>_Toc321999839</vt:lpwstr>
      </vt:variant>
      <vt:variant>
        <vt:i4>1441843</vt:i4>
      </vt:variant>
      <vt:variant>
        <vt:i4>459</vt:i4>
      </vt:variant>
      <vt:variant>
        <vt:i4>0</vt:i4>
      </vt:variant>
      <vt:variant>
        <vt:i4>5</vt:i4>
      </vt:variant>
      <vt:variant>
        <vt:lpwstr/>
      </vt:variant>
      <vt:variant>
        <vt:lpwstr>_Toc321999838</vt:lpwstr>
      </vt:variant>
      <vt:variant>
        <vt:i4>1245235</vt:i4>
      </vt:variant>
      <vt:variant>
        <vt:i4>455</vt:i4>
      </vt:variant>
      <vt:variant>
        <vt:i4>0</vt:i4>
      </vt:variant>
      <vt:variant>
        <vt:i4>5</vt:i4>
      </vt:variant>
      <vt:variant>
        <vt:lpwstr/>
      </vt:variant>
      <vt:variant>
        <vt:lpwstr>_Toc320729289</vt:lpwstr>
      </vt:variant>
      <vt:variant>
        <vt:i4>1245235</vt:i4>
      </vt:variant>
      <vt:variant>
        <vt:i4>446</vt:i4>
      </vt:variant>
      <vt:variant>
        <vt:i4>0</vt:i4>
      </vt:variant>
      <vt:variant>
        <vt:i4>5</vt:i4>
      </vt:variant>
      <vt:variant>
        <vt:lpwstr/>
      </vt:variant>
      <vt:variant>
        <vt:lpwstr>_Toc320729288</vt:lpwstr>
      </vt:variant>
      <vt:variant>
        <vt:i4>1114163</vt:i4>
      </vt:variant>
      <vt:variant>
        <vt:i4>437</vt:i4>
      </vt:variant>
      <vt:variant>
        <vt:i4>0</vt:i4>
      </vt:variant>
      <vt:variant>
        <vt:i4>5</vt:i4>
      </vt:variant>
      <vt:variant>
        <vt:lpwstr/>
      </vt:variant>
      <vt:variant>
        <vt:lpwstr>_Toc322000249</vt:lpwstr>
      </vt:variant>
      <vt:variant>
        <vt:i4>1114163</vt:i4>
      </vt:variant>
      <vt:variant>
        <vt:i4>431</vt:i4>
      </vt:variant>
      <vt:variant>
        <vt:i4>0</vt:i4>
      </vt:variant>
      <vt:variant>
        <vt:i4>5</vt:i4>
      </vt:variant>
      <vt:variant>
        <vt:lpwstr/>
      </vt:variant>
      <vt:variant>
        <vt:lpwstr>_Toc322000248</vt:lpwstr>
      </vt:variant>
      <vt:variant>
        <vt:i4>1114163</vt:i4>
      </vt:variant>
      <vt:variant>
        <vt:i4>425</vt:i4>
      </vt:variant>
      <vt:variant>
        <vt:i4>0</vt:i4>
      </vt:variant>
      <vt:variant>
        <vt:i4>5</vt:i4>
      </vt:variant>
      <vt:variant>
        <vt:lpwstr/>
      </vt:variant>
      <vt:variant>
        <vt:lpwstr>_Toc322000247</vt:lpwstr>
      </vt:variant>
      <vt:variant>
        <vt:i4>1114163</vt:i4>
      </vt:variant>
      <vt:variant>
        <vt:i4>419</vt:i4>
      </vt:variant>
      <vt:variant>
        <vt:i4>0</vt:i4>
      </vt:variant>
      <vt:variant>
        <vt:i4>5</vt:i4>
      </vt:variant>
      <vt:variant>
        <vt:lpwstr/>
      </vt:variant>
      <vt:variant>
        <vt:lpwstr>_Toc322000246</vt:lpwstr>
      </vt:variant>
      <vt:variant>
        <vt:i4>1114163</vt:i4>
      </vt:variant>
      <vt:variant>
        <vt:i4>413</vt:i4>
      </vt:variant>
      <vt:variant>
        <vt:i4>0</vt:i4>
      </vt:variant>
      <vt:variant>
        <vt:i4>5</vt:i4>
      </vt:variant>
      <vt:variant>
        <vt:lpwstr/>
      </vt:variant>
      <vt:variant>
        <vt:lpwstr>_Toc322000245</vt:lpwstr>
      </vt:variant>
      <vt:variant>
        <vt:i4>1114163</vt:i4>
      </vt:variant>
      <vt:variant>
        <vt:i4>407</vt:i4>
      </vt:variant>
      <vt:variant>
        <vt:i4>0</vt:i4>
      </vt:variant>
      <vt:variant>
        <vt:i4>5</vt:i4>
      </vt:variant>
      <vt:variant>
        <vt:lpwstr/>
      </vt:variant>
      <vt:variant>
        <vt:lpwstr>_Toc322000244</vt:lpwstr>
      </vt:variant>
      <vt:variant>
        <vt:i4>1114163</vt:i4>
      </vt:variant>
      <vt:variant>
        <vt:i4>401</vt:i4>
      </vt:variant>
      <vt:variant>
        <vt:i4>0</vt:i4>
      </vt:variant>
      <vt:variant>
        <vt:i4>5</vt:i4>
      </vt:variant>
      <vt:variant>
        <vt:lpwstr/>
      </vt:variant>
      <vt:variant>
        <vt:lpwstr>_Toc322000243</vt:lpwstr>
      </vt:variant>
      <vt:variant>
        <vt:i4>1114163</vt:i4>
      </vt:variant>
      <vt:variant>
        <vt:i4>395</vt:i4>
      </vt:variant>
      <vt:variant>
        <vt:i4>0</vt:i4>
      </vt:variant>
      <vt:variant>
        <vt:i4>5</vt:i4>
      </vt:variant>
      <vt:variant>
        <vt:lpwstr/>
      </vt:variant>
      <vt:variant>
        <vt:lpwstr>_Toc322000242</vt:lpwstr>
      </vt:variant>
      <vt:variant>
        <vt:i4>1114163</vt:i4>
      </vt:variant>
      <vt:variant>
        <vt:i4>389</vt:i4>
      </vt:variant>
      <vt:variant>
        <vt:i4>0</vt:i4>
      </vt:variant>
      <vt:variant>
        <vt:i4>5</vt:i4>
      </vt:variant>
      <vt:variant>
        <vt:lpwstr/>
      </vt:variant>
      <vt:variant>
        <vt:lpwstr>_Toc322000241</vt:lpwstr>
      </vt:variant>
      <vt:variant>
        <vt:i4>1114163</vt:i4>
      </vt:variant>
      <vt:variant>
        <vt:i4>383</vt:i4>
      </vt:variant>
      <vt:variant>
        <vt:i4>0</vt:i4>
      </vt:variant>
      <vt:variant>
        <vt:i4>5</vt:i4>
      </vt:variant>
      <vt:variant>
        <vt:lpwstr/>
      </vt:variant>
      <vt:variant>
        <vt:lpwstr>_Toc322000240</vt:lpwstr>
      </vt:variant>
      <vt:variant>
        <vt:i4>1441843</vt:i4>
      </vt:variant>
      <vt:variant>
        <vt:i4>377</vt:i4>
      </vt:variant>
      <vt:variant>
        <vt:i4>0</vt:i4>
      </vt:variant>
      <vt:variant>
        <vt:i4>5</vt:i4>
      </vt:variant>
      <vt:variant>
        <vt:lpwstr/>
      </vt:variant>
      <vt:variant>
        <vt:lpwstr>_Toc322000239</vt:lpwstr>
      </vt:variant>
      <vt:variant>
        <vt:i4>1441843</vt:i4>
      </vt:variant>
      <vt:variant>
        <vt:i4>371</vt:i4>
      </vt:variant>
      <vt:variant>
        <vt:i4>0</vt:i4>
      </vt:variant>
      <vt:variant>
        <vt:i4>5</vt:i4>
      </vt:variant>
      <vt:variant>
        <vt:lpwstr/>
      </vt:variant>
      <vt:variant>
        <vt:lpwstr>_Toc322000238</vt:lpwstr>
      </vt:variant>
      <vt:variant>
        <vt:i4>1441843</vt:i4>
      </vt:variant>
      <vt:variant>
        <vt:i4>365</vt:i4>
      </vt:variant>
      <vt:variant>
        <vt:i4>0</vt:i4>
      </vt:variant>
      <vt:variant>
        <vt:i4>5</vt:i4>
      </vt:variant>
      <vt:variant>
        <vt:lpwstr/>
      </vt:variant>
      <vt:variant>
        <vt:lpwstr>_Toc322000237</vt:lpwstr>
      </vt:variant>
      <vt:variant>
        <vt:i4>1441843</vt:i4>
      </vt:variant>
      <vt:variant>
        <vt:i4>359</vt:i4>
      </vt:variant>
      <vt:variant>
        <vt:i4>0</vt:i4>
      </vt:variant>
      <vt:variant>
        <vt:i4>5</vt:i4>
      </vt:variant>
      <vt:variant>
        <vt:lpwstr/>
      </vt:variant>
      <vt:variant>
        <vt:lpwstr>_Toc322000236</vt:lpwstr>
      </vt:variant>
      <vt:variant>
        <vt:i4>1441843</vt:i4>
      </vt:variant>
      <vt:variant>
        <vt:i4>353</vt:i4>
      </vt:variant>
      <vt:variant>
        <vt:i4>0</vt:i4>
      </vt:variant>
      <vt:variant>
        <vt:i4>5</vt:i4>
      </vt:variant>
      <vt:variant>
        <vt:lpwstr/>
      </vt:variant>
      <vt:variant>
        <vt:lpwstr>_Toc322000235</vt:lpwstr>
      </vt:variant>
      <vt:variant>
        <vt:i4>1441843</vt:i4>
      </vt:variant>
      <vt:variant>
        <vt:i4>347</vt:i4>
      </vt:variant>
      <vt:variant>
        <vt:i4>0</vt:i4>
      </vt:variant>
      <vt:variant>
        <vt:i4>5</vt:i4>
      </vt:variant>
      <vt:variant>
        <vt:lpwstr/>
      </vt:variant>
      <vt:variant>
        <vt:lpwstr>_Toc322000234</vt:lpwstr>
      </vt:variant>
      <vt:variant>
        <vt:i4>1441843</vt:i4>
      </vt:variant>
      <vt:variant>
        <vt:i4>341</vt:i4>
      </vt:variant>
      <vt:variant>
        <vt:i4>0</vt:i4>
      </vt:variant>
      <vt:variant>
        <vt:i4>5</vt:i4>
      </vt:variant>
      <vt:variant>
        <vt:lpwstr/>
      </vt:variant>
      <vt:variant>
        <vt:lpwstr>_Toc322000233</vt:lpwstr>
      </vt:variant>
      <vt:variant>
        <vt:i4>1441843</vt:i4>
      </vt:variant>
      <vt:variant>
        <vt:i4>335</vt:i4>
      </vt:variant>
      <vt:variant>
        <vt:i4>0</vt:i4>
      </vt:variant>
      <vt:variant>
        <vt:i4>5</vt:i4>
      </vt:variant>
      <vt:variant>
        <vt:lpwstr/>
      </vt:variant>
      <vt:variant>
        <vt:lpwstr>_Toc322000232</vt:lpwstr>
      </vt:variant>
      <vt:variant>
        <vt:i4>1441843</vt:i4>
      </vt:variant>
      <vt:variant>
        <vt:i4>329</vt:i4>
      </vt:variant>
      <vt:variant>
        <vt:i4>0</vt:i4>
      </vt:variant>
      <vt:variant>
        <vt:i4>5</vt:i4>
      </vt:variant>
      <vt:variant>
        <vt:lpwstr/>
      </vt:variant>
      <vt:variant>
        <vt:lpwstr>_Toc322000231</vt:lpwstr>
      </vt:variant>
      <vt:variant>
        <vt:i4>1441843</vt:i4>
      </vt:variant>
      <vt:variant>
        <vt:i4>323</vt:i4>
      </vt:variant>
      <vt:variant>
        <vt:i4>0</vt:i4>
      </vt:variant>
      <vt:variant>
        <vt:i4>5</vt:i4>
      </vt:variant>
      <vt:variant>
        <vt:lpwstr/>
      </vt:variant>
      <vt:variant>
        <vt:lpwstr>_Toc322000230</vt:lpwstr>
      </vt:variant>
      <vt:variant>
        <vt:i4>1507379</vt:i4>
      </vt:variant>
      <vt:variant>
        <vt:i4>317</vt:i4>
      </vt:variant>
      <vt:variant>
        <vt:i4>0</vt:i4>
      </vt:variant>
      <vt:variant>
        <vt:i4>5</vt:i4>
      </vt:variant>
      <vt:variant>
        <vt:lpwstr/>
      </vt:variant>
      <vt:variant>
        <vt:lpwstr>_Toc322000229</vt:lpwstr>
      </vt:variant>
      <vt:variant>
        <vt:i4>1507379</vt:i4>
      </vt:variant>
      <vt:variant>
        <vt:i4>311</vt:i4>
      </vt:variant>
      <vt:variant>
        <vt:i4>0</vt:i4>
      </vt:variant>
      <vt:variant>
        <vt:i4>5</vt:i4>
      </vt:variant>
      <vt:variant>
        <vt:lpwstr/>
      </vt:variant>
      <vt:variant>
        <vt:lpwstr>_Toc322000228</vt:lpwstr>
      </vt:variant>
      <vt:variant>
        <vt:i4>1507379</vt:i4>
      </vt:variant>
      <vt:variant>
        <vt:i4>305</vt:i4>
      </vt:variant>
      <vt:variant>
        <vt:i4>0</vt:i4>
      </vt:variant>
      <vt:variant>
        <vt:i4>5</vt:i4>
      </vt:variant>
      <vt:variant>
        <vt:lpwstr/>
      </vt:variant>
      <vt:variant>
        <vt:lpwstr>_Toc322000227</vt:lpwstr>
      </vt:variant>
      <vt:variant>
        <vt:i4>1507379</vt:i4>
      </vt:variant>
      <vt:variant>
        <vt:i4>299</vt:i4>
      </vt:variant>
      <vt:variant>
        <vt:i4>0</vt:i4>
      </vt:variant>
      <vt:variant>
        <vt:i4>5</vt:i4>
      </vt:variant>
      <vt:variant>
        <vt:lpwstr/>
      </vt:variant>
      <vt:variant>
        <vt:lpwstr>_Toc322000226</vt:lpwstr>
      </vt:variant>
      <vt:variant>
        <vt:i4>1507379</vt:i4>
      </vt:variant>
      <vt:variant>
        <vt:i4>293</vt:i4>
      </vt:variant>
      <vt:variant>
        <vt:i4>0</vt:i4>
      </vt:variant>
      <vt:variant>
        <vt:i4>5</vt:i4>
      </vt:variant>
      <vt:variant>
        <vt:lpwstr/>
      </vt:variant>
      <vt:variant>
        <vt:lpwstr>_Toc322000225</vt:lpwstr>
      </vt:variant>
      <vt:variant>
        <vt:i4>1507379</vt:i4>
      </vt:variant>
      <vt:variant>
        <vt:i4>287</vt:i4>
      </vt:variant>
      <vt:variant>
        <vt:i4>0</vt:i4>
      </vt:variant>
      <vt:variant>
        <vt:i4>5</vt:i4>
      </vt:variant>
      <vt:variant>
        <vt:lpwstr/>
      </vt:variant>
      <vt:variant>
        <vt:lpwstr>_Toc322000224</vt:lpwstr>
      </vt:variant>
      <vt:variant>
        <vt:i4>1507379</vt:i4>
      </vt:variant>
      <vt:variant>
        <vt:i4>281</vt:i4>
      </vt:variant>
      <vt:variant>
        <vt:i4>0</vt:i4>
      </vt:variant>
      <vt:variant>
        <vt:i4>5</vt:i4>
      </vt:variant>
      <vt:variant>
        <vt:lpwstr/>
      </vt:variant>
      <vt:variant>
        <vt:lpwstr>_Toc322000223</vt:lpwstr>
      </vt:variant>
      <vt:variant>
        <vt:i4>1507379</vt:i4>
      </vt:variant>
      <vt:variant>
        <vt:i4>275</vt:i4>
      </vt:variant>
      <vt:variant>
        <vt:i4>0</vt:i4>
      </vt:variant>
      <vt:variant>
        <vt:i4>5</vt:i4>
      </vt:variant>
      <vt:variant>
        <vt:lpwstr/>
      </vt:variant>
      <vt:variant>
        <vt:lpwstr>_Toc322000222</vt:lpwstr>
      </vt:variant>
      <vt:variant>
        <vt:i4>1507379</vt:i4>
      </vt:variant>
      <vt:variant>
        <vt:i4>269</vt:i4>
      </vt:variant>
      <vt:variant>
        <vt:i4>0</vt:i4>
      </vt:variant>
      <vt:variant>
        <vt:i4>5</vt:i4>
      </vt:variant>
      <vt:variant>
        <vt:lpwstr/>
      </vt:variant>
      <vt:variant>
        <vt:lpwstr>_Toc322000221</vt:lpwstr>
      </vt:variant>
      <vt:variant>
        <vt:i4>1507379</vt:i4>
      </vt:variant>
      <vt:variant>
        <vt:i4>263</vt:i4>
      </vt:variant>
      <vt:variant>
        <vt:i4>0</vt:i4>
      </vt:variant>
      <vt:variant>
        <vt:i4>5</vt:i4>
      </vt:variant>
      <vt:variant>
        <vt:lpwstr/>
      </vt:variant>
      <vt:variant>
        <vt:lpwstr>_Toc322000220</vt:lpwstr>
      </vt:variant>
      <vt:variant>
        <vt:i4>1310771</vt:i4>
      </vt:variant>
      <vt:variant>
        <vt:i4>257</vt:i4>
      </vt:variant>
      <vt:variant>
        <vt:i4>0</vt:i4>
      </vt:variant>
      <vt:variant>
        <vt:i4>5</vt:i4>
      </vt:variant>
      <vt:variant>
        <vt:lpwstr/>
      </vt:variant>
      <vt:variant>
        <vt:lpwstr>_Toc322000219</vt:lpwstr>
      </vt:variant>
      <vt:variant>
        <vt:i4>1310771</vt:i4>
      </vt:variant>
      <vt:variant>
        <vt:i4>251</vt:i4>
      </vt:variant>
      <vt:variant>
        <vt:i4>0</vt:i4>
      </vt:variant>
      <vt:variant>
        <vt:i4>5</vt:i4>
      </vt:variant>
      <vt:variant>
        <vt:lpwstr/>
      </vt:variant>
      <vt:variant>
        <vt:lpwstr>_Toc322000218</vt:lpwstr>
      </vt:variant>
      <vt:variant>
        <vt:i4>1310771</vt:i4>
      </vt:variant>
      <vt:variant>
        <vt:i4>245</vt:i4>
      </vt:variant>
      <vt:variant>
        <vt:i4>0</vt:i4>
      </vt:variant>
      <vt:variant>
        <vt:i4>5</vt:i4>
      </vt:variant>
      <vt:variant>
        <vt:lpwstr/>
      </vt:variant>
      <vt:variant>
        <vt:lpwstr>_Toc322000217</vt:lpwstr>
      </vt:variant>
      <vt:variant>
        <vt:i4>1310771</vt:i4>
      </vt:variant>
      <vt:variant>
        <vt:i4>239</vt:i4>
      </vt:variant>
      <vt:variant>
        <vt:i4>0</vt:i4>
      </vt:variant>
      <vt:variant>
        <vt:i4>5</vt:i4>
      </vt:variant>
      <vt:variant>
        <vt:lpwstr/>
      </vt:variant>
      <vt:variant>
        <vt:lpwstr>_Toc322000216</vt:lpwstr>
      </vt:variant>
      <vt:variant>
        <vt:i4>1310771</vt:i4>
      </vt:variant>
      <vt:variant>
        <vt:i4>233</vt:i4>
      </vt:variant>
      <vt:variant>
        <vt:i4>0</vt:i4>
      </vt:variant>
      <vt:variant>
        <vt:i4>5</vt:i4>
      </vt:variant>
      <vt:variant>
        <vt:lpwstr/>
      </vt:variant>
      <vt:variant>
        <vt:lpwstr>_Toc322000215</vt:lpwstr>
      </vt:variant>
      <vt:variant>
        <vt:i4>1310771</vt:i4>
      </vt:variant>
      <vt:variant>
        <vt:i4>227</vt:i4>
      </vt:variant>
      <vt:variant>
        <vt:i4>0</vt:i4>
      </vt:variant>
      <vt:variant>
        <vt:i4>5</vt:i4>
      </vt:variant>
      <vt:variant>
        <vt:lpwstr/>
      </vt:variant>
      <vt:variant>
        <vt:lpwstr>_Toc322000214</vt:lpwstr>
      </vt:variant>
      <vt:variant>
        <vt:i4>1310771</vt:i4>
      </vt:variant>
      <vt:variant>
        <vt:i4>221</vt:i4>
      </vt:variant>
      <vt:variant>
        <vt:i4>0</vt:i4>
      </vt:variant>
      <vt:variant>
        <vt:i4>5</vt:i4>
      </vt:variant>
      <vt:variant>
        <vt:lpwstr/>
      </vt:variant>
      <vt:variant>
        <vt:lpwstr>_Toc322000213</vt:lpwstr>
      </vt:variant>
      <vt:variant>
        <vt:i4>1310771</vt:i4>
      </vt:variant>
      <vt:variant>
        <vt:i4>215</vt:i4>
      </vt:variant>
      <vt:variant>
        <vt:i4>0</vt:i4>
      </vt:variant>
      <vt:variant>
        <vt:i4>5</vt:i4>
      </vt:variant>
      <vt:variant>
        <vt:lpwstr/>
      </vt:variant>
      <vt:variant>
        <vt:lpwstr>_Toc322000212</vt:lpwstr>
      </vt:variant>
      <vt:variant>
        <vt:i4>1310771</vt:i4>
      </vt:variant>
      <vt:variant>
        <vt:i4>209</vt:i4>
      </vt:variant>
      <vt:variant>
        <vt:i4>0</vt:i4>
      </vt:variant>
      <vt:variant>
        <vt:i4>5</vt:i4>
      </vt:variant>
      <vt:variant>
        <vt:lpwstr/>
      </vt:variant>
      <vt:variant>
        <vt:lpwstr>_Toc322000211</vt:lpwstr>
      </vt:variant>
      <vt:variant>
        <vt:i4>1310771</vt:i4>
      </vt:variant>
      <vt:variant>
        <vt:i4>203</vt:i4>
      </vt:variant>
      <vt:variant>
        <vt:i4>0</vt:i4>
      </vt:variant>
      <vt:variant>
        <vt:i4>5</vt:i4>
      </vt:variant>
      <vt:variant>
        <vt:lpwstr/>
      </vt:variant>
      <vt:variant>
        <vt:lpwstr>_Toc322000210</vt:lpwstr>
      </vt:variant>
      <vt:variant>
        <vt:i4>1376307</vt:i4>
      </vt:variant>
      <vt:variant>
        <vt:i4>197</vt:i4>
      </vt:variant>
      <vt:variant>
        <vt:i4>0</vt:i4>
      </vt:variant>
      <vt:variant>
        <vt:i4>5</vt:i4>
      </vt:variant>
      <vt:variant>
        <vt:lpwstr/>
      </vt:variant>
      <vt:variant>
        <vt:lpwstr>_Toc322000209</vt:lpwstr>
      </vt:variant>
      <vt:variant>
        <vt:i4>1376307</vt:i4>
      </vt:variant>
      <vt:variant>
        <vt:i4>191</vt:i4>
      </vt:variant>
      <vt:variant>
        <vt:i4>0</vt:i4>
      </vt:variant>
      <vt:variant>
        <vt:i4>5</vt:i4>
      </vt:variant>
      <vt:variant>
        <vt:lpwstr/>
      </vt:variant>
      <vt:variant>
        <vt:lpwstr>_Toc322000208</vt:lpwstr>
      </vt:variant>
      <vt:variant>
        <vt:i4>1376307</vt:i4>
      </vt:variant>
      <vt:variant>
        <vt:i4>185</vt:i4>
      </vt:variant>
      <vt:variant>
        <vt:i4>0</vt:i4>
      </vt:variant>
      <vt:variant>
        <vt:i4>5</vt:i4>
      </vt:variant>
      <vt:variant>
        <vt:lpwstr/>
      </vt:variant>
      <vt:variant>
        <vt:lpwstr>_Toc322000207</vt:lpwstr>
      </vt:variant>
      <vt:variant>
        <vt:i4>1376307</vt:i4>
      </vt:variant>
      <vt:variant>
        <vt:i4>179</vt:i4>
      </vt:variant>
      <vt:variant>
        <vt:i4>0</vt:i4>
      </vt:variant>
      <vt:variant>
        <vt:i4>5</vt:i4>
      </vt:variant>
      <vt:variant>
        <vt:lpwstr/>
      </vt:variant>
      <vt:variant>
        <vt:lpwstr>_Toc322000206</vt:lpwstr>
      </vt:variant>
      <vt:variant>
        <vt:i4>1376307</vt:i4>
      </vt:variant>
      <vt:variant>
        <vt:i4>173</vt:i4>
      </vt:variant>
      <vt:variant>
        <vt:i4>0</vt:i4>
      </vt:variant>
      <vt:variant>
        <vt:i4>5</vt:i4>
      </vt:variant>
      <vt:variant>
        <vt:lpwstr/>
      </vt:variant>
      <vt:variant>
        <vt:lpwstr>_Toc322000205</vt:lpwstr>
      </vt:variant>
      <vt:variant>
        <vt:i4>1376307</vt:i4>
      </vt:variant>
      <vt:variant>
        <vt:i4>167</vt:i4>
      </vt:variant>
      <vt:variant>
        <vt:i4>0</vt:i4>
      </vt:variant>
      <vt:variant>
        <vt:i4>5</vt:i4>
      </vt:variant>
      <vt:variant>
        <vt:lpwstr/>
      </vt:variant>
      <vt:variant>
        <vt:lpwstr>_Toc322000204</vt:lpwstr>
      </vt:variant>
      <vt:variant>
        <vt:i4>1376307</vt:i4>
      </vt:variant>
      <vt:variant>
        <vt:i4>161</vt:i4>
      </vt:variant>
      <vt:variant>
        <vt:i4>0</vt:i4>
      </vt:variant>
      <vt:variant>
        <vt:i4>5</vt:i4>
      </vt:variant>
      <vt:variant>
        <vt:lpwstr/>
      </vt:variant>
      <vt:variant>
        <vt:lpwstr>_Toc322000203</vt:lpwstr>
      </vt:variant>
      <vt:variant>
        <vt:i4>1376307</vt:i4>
      </vt:variant>
      <vt:variant>
        <vt:i4>155</vt:i4>
      </vt:variant>
      <vt:variant>
        <vt:i4>0</vt:i4>
      </vt:variant>
      <vt:variant>
        <vt:i4>5</vt:i4>
      </vt:variant>
      <vt:variant>
        <vt:lpwstr/>
      </vt:variant>
      <vt:variant>
        <vt:lpwstr>_Toc322000202</vt:lpwstr>
      </vt:variant>
      <vt:variant>
        <vt:i4>1376307</vt:i4>
      </vt:variant>
      <vt:variant>
        <vt:i4>149</vt:i4>
      </vt:variant>
      <vt:variant>
        <vt:i4>0</vt:i4>
      </vt:variant>
      <vt:variant>
        <vt:i4>5</vt:i4>
      </vt:variant>
      <vt:variant>
        <vt:lpwstr/>
      </vt:variant>
      <vt:variant>
        <vt:lpwstr>_Toc322000201</vt:lpwstr>
      </vt:variant>
      <vt:variant>
        <vt:i4>1376307</vt:i4>
      </vt:variant>
      <vt:variant>
        <vt:i4>143</vt:i4>
      </vt:variant>
      <vt:variant>
        <vt:i4>0</vt:i4>
      </vt:variant>
      <vt:variant>
        <vt:i4>5</vt:i4>
      </vt:variant>
      <vt:variant>
        <vt:lpwstr/>
      </vt:variant>
      <vt:variant>
        <vt:lpwstr>_Toc322000200</vt:lpwstr>
      </vt:variant>
      <vt:variant>
        <vt:i4>1835056</vt:i4>
      </vt:variant>
      <vt:variant>
        <vt:i4>137</vt:i4>
      </vt:variant>
      <vt:variant>
        <vt:i4>0</vt:i4>
      </vt:variant>
      <vt:variant>
        <vt:i4>5</vt:i4>
      </vt:variant>
      <vt:variant>
        <vt:lpwstr/>
      </vt:variant>
      <vt:variant>
        <vt:lpwstr>_Toc322000199</vt:lpwstr>
      </vt:variant>
      <vt:variant>
        <vt:i4>1835056</vt:i4>
      </vt:variant>
      <vt:variant>
        <vt:i4>131</vt:i4>
      </vt:variant>
      <vt:variant>
        <vt:i4>0</vt:i4>
      </vt:variant>
      <vt:variant>
        <vt:i4>5</vt:i4>
      </vt:variant>
      <vt:variant>
        <vt:lpwstr/>
      </vt:variant>
      <vt:variant>
        <vt:lpwstr>_Toc322000198</vt:lpwstr>
      </vt:variant>
      <vt:variant>
        <vt:i4>1835056</vt:i4>
      </vt:variant>
      <vt:variant>
        <vt:i4>125</vt:i4>
      </vt:variant>
      <vt:variant>
        <vt:i4>0</vt:i4>
      </vt:variant>
      <vt:variant>
        <vt:i4>5</vt:i4>
      </vt:variant>
      <vt:variant>
        <vt:lpwstr/>
      </vt:variant>
      <vt:variant>
        <vt:lpwstr>_Toc322000197</vt:lpwstr>
      </vt:variant>
      <vt:variant>
        <vt:i4>1835056</vt:i4>
      </vt:variant>
      <vt:variant>
        <vt:i4>119</vt:i4>
      </vt:variant>
      <vt:variant>
        <vt:i4>0</vt:i4>
      </vt:variant>
      <vt:variant>
        <vt:i4>5</vt:i4>
      </vt:variant>
      <vt:variant>
        <vt:lpwstr/>
      </vt:variant>
      <vt:variant>
        <vt:lpwstr>_Toc322000196</vt:lpwstr>
      </vt:variant>
      <vt:variant>
        <vt:i4>1835056</vt:i4>
      </vt:variant>
      <vt:variant>
        <vt:i4>113</vt:i4>
      </vt:variant>
      <vt:variant>
        <vt:i4>0</vt:i4>
      </vt:variant>
      <vt:variant>
        <vt:i4>5</vt:i4>
      </vt:variant>
      <vt:variant>
        <vt:lpwstr/>
      </vt:variant>
      <vt:variant>
        <vt:lpwstr>_Toc322000195</vt:lpwstr>
      </vt:variant>
      <vt:variant>
        <vt:i4>1835056</vt:i4>
      </vt:variant>
      <vt:variant>
        <vt:i4>107</vt:i4>
      </vt:variant>
      <vt:variant>
        <vt:i4>0</vt:i4>
      </vt:variant>
      <vt:variant>
        <vt:i4>5</vt:i4>
      </vt:variant>
      <vt:variant>
        <vt:lpwstr/>
      </vt:variant>
      <vt:variant>
        <vt:lpwstr>_Toc322000194</vt:lpwstr>
      </vt:variant>
      <vt:variant>
        <vt:i4>1835056</vt:i4>
      </vt:variant>
      <vt:variant>
        <vt:i4>101</vt:i4>
      </vt:variant>
      <vt:variant>
        <vt:i4>0</vt:i4>
      </vt:variant>
      <vt:variant>
        <vt:i4>5</vt:i4>
      </vt:variant>
      <vt:variant>
        <vt:lpwstr/>
      </vt:variant>
      <vt:variant>
        <vt:lpwstr>_Toc322000193</vt:lpwstr>
      </vt:variant>
      <vt:variant>
        <vt:i4>1835056</vt:i4>
      </vt:variant>
      <vt:variant>
        <vt:i4>95</vt:i4>
      </vt:variant>
      <vt:variant>
        <vt:i4>0</vt:i4>
      </vt:variant>
      <vt:variant>
        <vt:i4>5</vt:i4>
      </vt:variant>
      <vt:variant>
        <vt:lpwstr/>
      </vt:variant>
      <vt:variant>
        <vt:lpwstr>_Toc322000192</vt:lpwstr>
      </vt:variant>
      <vt:variant>
        <vt:i4>1835056</vt:i4>
      </vt:variant>
      <vt:variant>
        <vt:i4>89</vt:i4>
      </vt:variant>
      <vt:variant>
        <vt:i4>0</vt:i4>
      </vt:variant>
      <vt:variant>
        <vt:i4>5</vt:i4>
      </vt:variant>
      <vt:variant>
        <vt:lpwstr/>
      </vt:variant>
      <vt:variant>
        <vt:lpwstr>_Toc322000191</vt:lpwstr>
      </vt:variant>
      <vt:variant>
        <vt:i4>1835056</vt:i4>
      </vt:variant>
      <vt:variant>
        <vt:i4>83</vt:i4>
      </vt:variant>
      <vt:variant>
        <vt:i4>0</vt:i4>
      </vt:variant>
      <vt:variant>
        <vt:i4>5</vt:i4>
      </vt:variant>
      <vt:variant>
        <vt:lpwstr/>
      </vt:variant>
      <vt:variant>
        <vt:lpwstr>_Toc322000190</vt:lpwstr>
      </vt:variant>
      <vt:variant>
        <vt:i4>1900592</vt:i4>
      </vt:variant>
      <vt:variant>
        <vt:i4>77</vt:i4>
      </vt:variant>
      <vt:variant>
        <vt:i4>0</vt:i4>
      </vt:variant>
      <vt:variant>
        <vt:i4>5</vt:i4>
      </vt:variant>
      <vt:variant>
        <vt:lpwstr/>
      </vt:variant>
      <vt:variant>
        <vt:lpwstr>_Toc322000189</vt:lpwstr>
      </vt:variant>
      <vt:variant>
        <vt:i4>1900592</vt:i4>
      </vt:variant>
      <vt:variant>
        <vt:i4>71</vt:i4>
      </vt:variant>
      <vt:variant>
        <vt:i4>0</vt:i4>
      </vt:variant>
      <vt:variant>
        <vt:i4>5</vt:i4>
      </vt:variant>
      <vt:variant>
        <vt:lpwstr/>
      </vt:variant>
      <vt:variant>
        <vt:lpwstr>_Toc322000188</vt:lpwstr>
      </vt:variant>
      <vt:variant>
        <vt:i4>1900592</vt:i4>
      </vt:variant>
      <vt:variant>
        <vt:i4>65</vt:i4>
      </vt:variant>
      <vt:variant>
        <vt:i4>0</vt:i4>
      </vt:variant>
      <vt:variant>
        <vt:i4>5</vt:i4>
      </vt:variant>
      <vt:variant>
        <vt:lpwstr/>
      </vt:variant>
      <vt:variant>
        <vt:lpwstr>_Toc322000187</vt:lpwstr>
      </vt:variant>
      <vt:variant>
        <vt:i4>1900592</vt:i4>
      </vt:variant>
      <vt:variant>
        <vt:i4>59</vt:i4>
      </vt:variant>
      <vt:variant>
        <vt:i4>0</vt:i4>
      </vt:variant>
      <vt:variant>
        <vt:i4>5</vt:i4>
      </vt:variant>
      <vt:variant>
        <vt:lpwstr/>
      </vt:variant>
      <vt:variant>
        <vt:lpwstr>_Toc322000186</vt:lpwstr>
      </vt:variant>
      <vt:variant>
        <vt:i4>1900592</vt:i4>
      </vt:variant>
      <vt:variant>
        <vt:i4>53</vt:i4>
      </vt:variant>
      <vt:variant>
        <vt:i4>0</vt:i4>
      </vt:variant>
      <vt:variant>
        <vt:i4>5</vt:i4>
      </vt:variant>
      <vt:variant>
        <vt:lpwstr/>
      </vt:variant>
      <vt:variant>
        <vt:lpwstr>_Toc322000185</vt:lpwstr>
      </vt:variant>
      <vt:variant>
        <vt:i4>1900592</vt:i4>
      </vt:variant>
      <vt:variant>
        <vt:i4>47</vt:i4>
      </vt:variant>
      <vt:variant>
        <vt:i4>0</vt:i4>
      </vt:variant>
      <vt:variant>
        <vt:i4>5</vt:i4>
      </vt:variant>
      <vt:variant>
        <vt:lpwstr/>
      </vt:variant>
      <vt:variant>
        <vt:lpwstr>_Toc322000184</vt:lpwstr>
      </vt:variant>
      <vt:variant>
        <vt:i4>1900592</vt:i4>
      </vt:variant>
      <vt:variant>
        <vt:i4>41</vt:i4>
      </vt:variant>
      <vt:variant>
        <vt:i4>0</vt:i4>
      </vt:variant>
      <vt:variant>
        <vt:i4>5</vt:i4>
      </vt:variant>
      <vt:variant>
        <vt:lpwstr/>
      </vt:variant>
      <vt:variant>
        <vt:lpwstr>_Toc322000183</vt:lpwstr>
      </vt:variant>
      <vt:variant>
        <vt:i4>1900592</vt:i4>
      </vt:variant>
      <vt:variant>
        <vt:i4>35</vt:i4>
      </vt:variant>
      <vt:variant>
        <vt:i4>0</vt:i4>
      </vt:variant>
      <vt:variant>
        <vt:i4>5</vt:i4>
      </vt:variant>
      <vt:variant>
        <vt:lpwstr/>
      </vt:variant>
      <vt:variant>
        <vt:lpwstr>_Toc322000182</vt:lpwstr>
      </vt:variant>
      <vt:variant>
        <vt:i4>1900592</vt:i4>
      </vt:variant>
      <vt:variant>
        <vt:i4>29</vt:i4>
      </vt:variant>
      <vt:variant>
        <vt:i4>0</vt:i4>
      </vt:variant>
      <vt:variant>
        <vt:i4>5</vt:i4>
      </vt:variant>
      <vt:variant>
        <vt:lpwstr/>
      </vt:variant>
      <vt:variant>
        <vt:lpwstr>_Toc322000181</vt:lpwstr>
      </vt:variant>
      <vt:variant>
        <vt:i4>1900592</vt:i4>
      </vt:variant>
      <vt:variant>
        <vt:i4>23</vt:i4>
      </vt:variant>
      <vt:variant>
        <vt:i4>0</vt:i4>
      </vt:variant>
      <vt:variant>
        <vt:i4>5</vt:i4>
      </vt:variant>
      <vt:variant>
        <vt:lpwstr/>
      </vt:variant>
      <vt:variant>
        <vt:lpwstr>_Toc322000180</vt:lpwstr>
      </vt:variant>
      <vt:variant>
        <vt:i4>1179696</vt:i4>
      </vt:variant>
      <vt:variant>
        <vt:i4>17</vt:i4>
      </vt:variant>
      <vt:variant>
        <vt:i4>0</vt:i4>
      </vt:variant>
      <vt:variant>
        <vt:i4>5</vt:i4>
      </vt:variant>
      <vt:variant>
        <vt:lpwstr/>
      </vt:variant>
      <vt:variant>
        <vt:lpwstr>_Toc322000179</vt:lpwstr>
      </vt:variant>
      <vt:variant>
        <vt:i4>1179696</vt:i4>
      </vt:variant>
      <vt:variant>
        <vt:i4>11</vt:i4>
      </vt:variant>
      <vt:variant>
        <vt:i4>0</vt:i4>
      </vt:variant>
      <vt:variant>
        <vt:i4>5</vt:i4>
      </vt:variant>
      <vt:variant>
        <vt:lpwstr/>
      </vt:variant>
      <vt:variant>
        <vt:lpwstr>_Toc322000178</vt:lpwstr>
      </vt:variant>
      <vt:variant>
        <vt:i4>1179696</vt:i4>
      </vt:variant>
      <vt:variant>
        <vt:i4>5</vt:i4>
      </vt:variant>
      <vt:variant>
        <vt:i4>0</vt:i4>
      </vt:variant>
      <vt:variant>
        <vt:i4>5</vt:i4>
      </vt:variant>
      <vt:variant>
        <vt:lpwstr/>
      </vt:variant>
      <vt:variant>
        <vt:lpwstr>_Toc322000177</vt:lpwstr>
      </vt:variant>
      <vt:variant>
        <vt:i4>1900564</vt:i4>
      </vt:variant>
      <vt:variant>
        <vt:i4>0</vt:i4>
      </vt:variant>
      <vt:variant>
        <vt:i4>0</vt:i4>
      </vt:variant>
      <vt:variant>
        <vt:i4>5</vt:i4>
      </vt:variant>
      <vt:variant>
        <vt:lpwstr>http://www.landsbokasafn.is/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PhD thesis</dc:title>
  <dc:creator>Elías Sæbjörn Eyþórsson</dc:creator>
  <dcterms:created xsi:type="dcterms:W3CDTF">2018-12-27T12:23:01Z</dcterms:created>
  <dcterms:modified xsi:type="dcterms:W3CDTF">2018-12-27T12:23:01Z</dcterms:modified>
</cp:coreProperties>
</file>