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i w:val="0"/>
          <w:color w:val="555555"/>
          <w:sz w:val="22"/>
        </w:rPr>
        <w:t>UNIVERSIDAD TECNOLÓGICA NACIONAL — Facultad Regional Buenos Aires</w:t>
      </w:r>
    </w:p>
    <w:p>
      <w:pPr>
        <w:spacing w:after="0"/>
        <w:jc w:val="center"/>
      </w:pPr>
      <w:r>
        <w:rPr>
          <w:i w:val="0"/>
          <w:color w:val="555555"/>
          <w:sz w:val="22"/>
        </w:rPr>
        <w:t>Inteligencia Artificial Aplicada a Organizaciones</w:t>
      </w:r>
    </w:p>
    <w:p>
      <w:pPr>
        <w:jc w:val="center"/>
      </w:pPr>
      <w:r>
        <w:rPr>
          <w:i w:val="0"/>
          <w:color w:val="555555"/>
          <w:sz w:val="22"/>
        </w:rPr>
        <w:t>Trabajo de Fin de Ciclo — Entrega Final de Proyecto</w:t>
      </w:r>
    </w:p>
    <w:p>
      <w:pPr>
        <w:spacing w:after="0"/>
        <w:jc w:val="center"/>
      </w:pPr>
      <w:r>
        <w:rPr>
          <w:b/>
          <w:i w:val="0"/>
          <w:color w:val="312E81"/>
          <w:sz w:val="52"/>
        </w:rPr>
        <w:t>NEXO</w:t>
      </w:r>
    </w:p>
    <w:p>
      <w:pPr>
        <w:jc w:val="center"/>
      </w:pPr>
      <w:r>
        <w:rPr>
          <w:i w:val="0"/>
          <w:color w:val="1C1C22"/>
          <w:sz w:val="24"/>
        </w:rPr>
        <w:t>Hipótesis científicas a partir de conexiones no exploradas en la literatura</w:t>
      </w:r>
    </w:p>
    <w:p>
      <w:pPr>
        <w:jc w:val="center"/>
      </w:pPr>
      <w:r>
        <w:rPr>
          <w:i w:val="0"/>
          <w:color w:val="555555"/>
          <w:sz w:val="20"/>
        </w:rPr>
        <w:t>Alumno: Elías Jiménez — Agosto de 2026</w:t>
      </w:r>
    </w:p>
    <w:p>
      <w:pPr>
        <w:spacing w:before="120" w:after="40"/>
      </w:pPr>
      <w:r>
        <w:rPr>
          <w:b/>
          <w:color w:val="4338CA"/>
          <w:sz w:val="24"/>
        </w:rPr>
        <w:t>Links obligatorios</w:t>
      </w:r>
    </w:p>
    <w:tbl>
      <w:tblPr>
        <w:tblStyle w:val="TableGrid"/>
        <w:tblW w:type="auto" w:w="0"/>
        <w:jc w:val="center"/>
        <w:tblLook w:firstColumn="1" w:firstRow="1" w:lastColumn="0" w:lastRow="0" w:noHBand="0" w:noVBand="1" w:val="04A0"/>
      </w:tblPr>
      <w:tblGrid>
        <w:gridCol w:w="4320"/>
        <w:gridCol w:w="4320"/>
      </w:tblGrid>
      <w:tr>
        <w:tc>
          <w:tcPr>
            <w:tcW w:type="dxa" w:w="3600"/>
            <w:shd w:val="clear" w:color="auto" w:fill="312E81"/>
          </w:tcPr>
          <w:p>
            <w:r>
              <w:rPr>
                <w:b/>
                <w:color w:val="FFFFFF"/>
                <w:sz w:val="20"/>
              </w:rPr>
              <w:t>Recurso</w:t>
            </w:r>
          </w:p>
        </w:tc>
        <w:tc>
          <w:tcPr>
            <w:tcW w:type="dxa" w:w="5616"/>
            <w:shd w:val="clear" w:color="auto" w:fill="312E81"/>
          </w:tcPr>
          <w:p>
            <w:r>
              <w:rPr>
                <w:b/>
                <w:color w:val="FFFFFF"/>
                <w:sz w:val="20"/>
              </w:rPr>
              <w:t>URL</w:t>
            </w:r>
          </w:p>
        </w:tc>
      </w:tr>
      <w:tr>
        <w:tc>
          <w:tcPr>
            <w:tcW w:type="dxa" w:w="3600"/>
          </w:tcPr>
          <w:p>
            <w:r>
              <w:rPr>
                <w:sz w:val="20"/>
              </w:rPr>
              <w:t>Repositorio GitHub</w:t>
            </w:r>
          </w:p>
        </w:tc>
        <w:tc>
          <w:tcPr>
            <w:tcW w:type="dxa" w:w="5616"/>
          </w:tcPr>
          <w:p>
            <w:r>
              <w:rPr>
                <w:sz w:val="20"/>
              </w:rPr>
              <w:t>https://github.com/eliasjz36/nexo</w:t>
            </w:r>
          </w:p>
        </w:tc>
      </w:tr>
      <w:tr>
        <w:tc>
          <w:tcPr>
            <w:tcW w:type="dxa" w:w="3600"/>
            <w:shd w:val="clear" w:color="auto" w:fill="EEF2FF"/>
          </w:tcPr>
          <w:p>
            <w:r>
              <w:rPr>
                <w:sz w:val="20"/>
              </w:rPr>
              <w:t>Aplicación web en producción</w:t>
            </w:r>
          </w:p>
        </w:tc>
        <w:tc>
          <w:tcPr>
            <w:tcW w:type="dxa" w:w="5616"/>
            <w:shd w:val="clear" w:color="auto" w:fill="EEF2FF"/>
          </w:tcPr>
          <w:p>
            <w:r>
              <w:rPr>
                <w:sz w:val="20"/>
              </w:rPr>
              <w:t>https://a9katfbde589gdtas3ybxg.streamlit.app</w:t>
            </w:r>
          </w:p>
        </w:tc>
      </w:tr>
      <w:tr>
        <w:tc>
          <w:tcPr>
            <w:tcW w:type="dxa" w:w="3600"/>
          </w:tcPr>
          <w:p>
            <w:r>
              <w:rPr>
                <w:sz w:val="20"/>
              </w:rPr>
              <w:t>Video de demo</w:t>
            </w:r>
          </w:p>
        </w:tc>
        <w:tc>
          <w:tcPr>
            <w:tcW w:type="dxa" w:w="5616"/>
          </w:tcPr>
          <w:p>
            <w:r>
              <w:rPr>
                <w:sz w:val="20"/>
              </w:rPr>
              <w:t>— (la demostración se hará en vivo en la exposición)</w:t>
            </w:r>
          </w:p>
        </w:tc>
      </w:tr>
      <w:tr>
        <w:tc>
          <w:tcPr>
            <w:tcW w:type="dxa" w:w="3600"/>
            <w:shd w:val="clear" w:color="auto" w:fill="EEF2FF"/>
          </w:tcPr>
          <w:p>
            <w:r>
              <w:rPr>
                <w:sz w:val="20"/>
              </w:rPr>
              <w:t>Registro de desarrollo y co-work (DEVLOG)</w:t>
            </w:r>
          </w:p>
        </w:tc>
        <w:tc>
          <w:tcPr>
            <w:tcW w:type="dxa" w:w="5616"/>
            <w:shd w:val="clear" w:color="auto" w:fill="EEF2FF"/>
          </w:tcPr>
          <w:p>
            <w:r>
              <w:rPr>
                <w:sz w:val="20"/>
              </w:rPr>
              <w:t>https://github.com/eliasjz36/nexo/blob/main/DEVLOG.md</w:t>
            </w:r>
          </w:p>
        </w:tc>
      </w:tr>
      <w:tr>
        <w:tc>
          <w:tcPr>
            <w:tcW w:type="dxa" w:w="3600"/>
          </w:tcPr>
          <w:p>
            <w:r>
              <w:rPr>
                <w:sz w:val="20"/>
              </w:rPr>
              <w:t>Informe y anexos (diagramas, logs, demo)</w:t>
            </w:r>
          </w:p>
        </w:tc>
        <w:tc>
          <w:tcPr>
            <w:tcW w:type="dxa" w:w="5616"/>
          </w:tcPr>
          <w:p>
            <w:r>
              <w:rPr>
                <w:sz w:val="20"/>
              </w:rPr>
              <w:t>https://github.com/eliasjz36/nexo/tree/main/docs</w:t>
            </w:r>
          </w:p>
        </w:tc>
      </w:tr>
    </w:tbl>
    <w:p>
      <w:pPr>
        <w:spacing w:after="40"/>
      </w:pPr>
    </w:p>
    <w:p>
      <w:pPr>
        <w:jc w:val="center"/>
      </w:pPr>
      <w:r>
        <w:rPr>
          <w:i/>
          <w:sz w:val="20"/>
        </w:rPr>
        <w:t>Resumen en una línea: alimentado únicamente con papers anteriores a 2013, el sistema ubicó en el puesto 13 de 772 una conexión médica (inhibidores SGLT2 → insuficiencia cardíaca) sobre la que no existía ningún artículo al momento del corte y que hoy tiene 225 — la medicina la confirmó en 2015-2019.</w:t>
      </w:r>
    </w:p>
    <w:p>
      <w:r>
        <w:br w:type="page"/>
      </w:r>
    </w:p>
    <w:p>
      <w:pPr>
        <w:spacing w:before="240" w:after="120"/>
        <w:pBdr>
          <w:bottom w:val="single" w:sz="6" w:space="2" w:color="4338CA"/>
        </w:pBdr>
      </w:pPr>
      <w:r>
        <w:rPr>
          <w:b/>
          <w:color w:val="312E81"/>
          <w:sz w:val="30"/>
        </w:rPr>
        <w:t>PARTE 1 — El proyecto como aplicación real</w:t>
      </w:r>
    </w:p>
    <w:p>
      <w:pPr>
        <w:spacing w:before="120" w:after="40"/>
      </w:pPr>
      <w:r>
        <w:rPr>
          <w:b/>
          <w:color w:val="4338CA"/>
          <w:sz w:val="24"/>
        </w:rPr>
        <w:t>Sección 1 · Presentación del equipo y del proyecto</w:t>
      </w:r>
    </w:p>
    <w:p>
      <w:pPr>
        <w:pStyle w:val="ListBullet"/>
        <w:spacing w:after="40"/>
      </w:pPr>
      <w:r>
        <w:rPr>
          <w:b/>
        </w:rPr>
        <w:t xml:space="preserve">Integrantes: </w:t>
      </w:r>
      <w:r>
        <w:t>equipo de una persona. Elías Jiménez: definición del problema, decisiones de alcance y arquitectura, operación del pipeline y validación de resultados. El desarrollo se hizo en co-work con IA (detalle y roles en la Sección 7).</w:t>
      </w:r>
    </w:p>
    <w:p>
      <w:pPr>
        <w:pStyle w:val="ListBullet"/>
        <w:spacing w:after="40"/>
      </w:pPr>
      <w:r>
        <w:rPr>
          <w:b/>
        </w:rPr>
        <w:t xml:space="preserve">Nombre del proyecto: </w:t>
      </w:r>
      <w:r>
        <w:t>NEXO.</w:t>
      </w:r>
    </w:p>
    <w:p>
      <w:pPr>
        <w:pStyle w:val="ListBullet"/>
        <w:spacing w:after="40"/>
      </w:pPr>
      <w:r>
        <w:rPr>
          <w:b/>
        </w:rPr>
        <w:t xml:space="preserve">Problema que resuelve: </w:t>
      </w:r>
      <w:r>
        <w:t>la literatura científica está fragmentada en áreas que no se leen entre sí; hallazgos publicados en un área podrían responder problemas de otra, pero nadie los conecta. En el medio ciclo esto se diseñó conceptualmente; ahora está implementado: NEXO lee papers, extrae relaciones con su evidencia y propone hipótesis conectando áreas que nunca fueron vinculadas, cada una con sus fuentes verificables.</w:t>
      </w:r>
    </w:p>
    <w:p>
      <w:pPr>
        <w:pStyle w:val="ListBullet"/>
        <w:spacing w:after="40"/>
      </w:pPr>
      <w:r>
        <w:rPr>
          <w:b/>
        </w:rPr>
        <w:t xml:space="preserve">Público objetivo: </w:t>
      </w:r>
      <w:r>
        <w:t>investigadores, docentes y estudiantes avanzados de áreas biomédicas que exploran literatura para encontrar líneas de investigación. Es un usuario que lee papers en inglés y entiende términos como «natriuresis», pero no necesita saber programar: la app es de solo exploración, sin configuración técnica.</w:t>
      </w:r>
    </w:p>
    <w:p>
      <w:pPr>
        <w:spacing w:before="120" w:after="40"/>
      </w:pPr>
      <w:r>
        <w:rPr>
          <w:b/>
          <w:color w:val="4338CA"/>
          <w:sz w:val="24"/>
        </w:rPr>
        <w:t>Sección 2 · Arquitectura técnica</w:t>
      </w:r>
    </w:p>
    <w:p>
      <w:pPr>
        <w:spacing w:before="120"/>
        <w:jc w:val="center"/>
      </w:pPr>
      <w:r>
        <w:drawing>
          <wp:inline xmlns:a="http://schemas.openxmlformats.org/drawingml/2006/main" xmlns:pic="http://schemas.openxmlformats.org/drawingml/2006/picture">
            <wp:extent cx="5943600" cy="3651069"/>
            <wp:docPr id="1" name="Picture 1"/>
            <wp:cNvGraphicFramePr>
              <a:graphicFrameLocks noChangeAspect="1"/>
            </wp:cNvGraphicFramePr>
            <a:graphic>
              <a:graphicData uri="http://schemas.openxmlformats.org/drawingml/2006/picture">
                <pic:pic>
                  <pic:nvPicPr>
                    <pic:cNvPr id="0" name="diagrama_arquitectura.png"/>
                    <pic:cNvPicPr/>
                  </pic:nvPicPr>
                  <pic:blipFill>
                    <a:blip r:embed="rId9"/>
                    <a:stretch>
                      <a:fillRect/>
                    </a:stretch>
                  </pic:blipFill>
                  <pic:spPr>
                    <a:xfrm>
                      <a:off x="0" y="0"/>
                      <a:ext cx="5943600" cy="3651069"/>
                    </a:xfrm>
                    <a:prstGeom prst="rect"/>
                  </pic:spPr>
                </pic:pic>
              </a:graphicData>
            </a:graphic>
          </wp:inline>
        </w:drawing>
      </w:r>
    </w:p>
    <w:p>
      <w:pPr>
        <w:jc w:val="center"/>
      </w:pPr>
      <w:r>
        <w:rPr>
          <w:i/>
          <w:color w:val="555555"/>
          <w:sz w:val="18"/>
        </w:rPr>
        <w:t>Figura 1. Arquitectura general: los datos fluyen de PubMed (entrada) al pipeline offline y de ahí a la app publicada (salida al usuario).</w:t>
      </w:r>
    </w:p>
    <w:p>
      <w:pPr>
        <w:pStyle w:val="ListBullet"/>
        <w:spacing w:after="40"/>
      </w:pPr>
      <w:r>
        <w:rPr>
          <w:b/>
        </w:rPr>
        <w:t xml:space="preserve">Flujo de datos: </w:t>
      </w:r>
      <w:r>
        <w:t>PubMed → corpus con corte temporal → extracción de relaciones → verificación y grafo → hipótesis con novedad y veredictos → app web → feedback del usuario, que vuelve a la base.</w:t>
      </w:r>
    </w:p>
    <w:p>
      <w:pPr>
        <w:pStyle w:val="ListBullet"/>
        <w:spacing w:after="40"/>
      </w:pPr>
      <w:r>
        <w:rPr>
          <w:b/>
        </w:rPr>
        <w:t xml:space="preserve">Componentes de IA vs. lógica tradicional: </w:t>
      </w:r>
      <w:r>
        <w:t>son IA el extractor de relaciones, el traductor de entidades y el agente escéptico (los tres con el LLM local). Son lógica tradicional la descarga del corpus, la verificación de evidencia, la construcción del grafo, la búsqueda de caminos con composición de signos, el ranking y toda la app.</w:t>
      </w:r>
    </w:p>
    <w:p>
      <w:pPr>
        <w:pStyle w:val="ListBullet"/>
        <w:spacing w:after="40"/>
      </w:pPr>
      <w:r>
        <w:rPr>
          <w:b/>
        </w:rPr>
        <w:t xml:space="preserve">Dónde vive la memoria persistente: </w:t>
      </w:r>
      <w:r>
        <w:t>en data/corpus.db (SQLite), que acumula papers, relaciones verificadas, hipótesis, veredictos, feedback del usuario y el registro de uso. Viaja versionada en el repositorio.</w:t>
      </w:r>
    </w:p>
    <w:p>
      <w:pPr>
        <w:spacing w:before="120"/>
        <w:jc w:val="center"/>
      </w:pPr>
      <w:r>
        <w:drawing>
          <wp:inline xmlns:a="http://schemas.openxmlformats.org/drawingml/2006/main" xmlns:pic="http://schemas.openxmlformats.org/drawingml/2006/picture">
            <wp:extent cx="5669280" cy="4081882"/>
            <wp:docPr id="2" name="Picture 2"/>
            <wp:cNvGraphicFramePr>
              <a:graphicFrameLocks noChangeAspect="1"/>
            </wp:cNvGraphicFramePr>
            <a:graphic>
              <a:graphicData uri="http://schemas.openxmlformats.org/drawingml/2006/picture">
                <pic:pic>
                  <pic:nvPicPr>
                    <pic:cNvPr id="0" name="diagrama_flujo_agentes.png"/>
                    <pic:cNvPicPr/>
                  </pic:nvPicPr>
                  <pic:blipFill>
                    <a:blip r:embed="rId10"/>
                    <a:stretch>
                      <a:fillRect/>
                    </a:stretch>
                  </pic:blipFill>
                  <pic:spPr>
                    <a:xfrm>
                      <a:off x="0" y="0"/>
                      <a:ext cx="5669280" cy="4081882"/>
                    </a:xfrm>
                    <a:prstGeom prst="rect"/>
                  </pic:spPr>
                </pic:pic>
              </a:graphicData>
            </a:graphic>
          </wp:inline>
        </w:drawing>
      </w:r>
    </w:p>
    <w:p>
      <w:pPr>
        <w:jc w:val="center"/>
      </w:pPr>
      <w:r>
        <w:rPr>
          <w:i/>
          <w:color w:val="555555"/>
          <w:sz w:val="18"/>
        </w:rPr>
        <w:t>Figura 2. Flujo de agentes: qué decide cada uno, comunicación por memoria compartida (SQLite) y ciclo realimentado por el feedback del usuario.</w:t>
      </w:r>
    </w:p>
    <w:p>
      <w:pPr>
        <w:spacing w:before="120"/>
        <w:jc w:val="center"/>
      </w:pPr>
      <w:r>
        <w:drawing>
          <wp:inline xmlns:a="http://schemas.openxmlformats.org/drawingml/2006/main" xmlns:pic="http://schemas.openxmlformats.org/drawingml/2006/picture">
            <wp:extent cx="5943600" cy="3311434"/>
            <wp:docPr id="3" name="Picture 3"/>
            <wp:cNvGraphicFramePr>
              <a:graphicFrameLocks noChangeAspect="1"/>
            </wp:cNvGraphicFramePr>
            <a:graphic>
              <a:graphicData uri="http://schemas.openxmlformats.org/drawingml/2006/picture">
                <pic:pic>
                  <pic:nvPicPr>
                    <pic:cNvPr id="0" name="diagrama_uml_secuencia.png"/>
                    <pic:cNvPicPr/>
                  </pic:nvPicPr>
                  <pic:blipFill>
                    <a:blip r:embed="rId11"/>
                    <a:stretch>
                      <a:fillRect/>
                    </a:stretch>
                  </pic:blipFill>
                  <pic:spPr>
                    <a:xfrm>
                      <a:off x="0" y="0"/>
                      <a:ext cx="5943600" cy="3311434"/>
                    </a:xfrm>
                    <a:prstGeom prst="rect"/>
                  </pic:spPr>
                </pic:pic>
              </a:graphicData>
            </a:graphic>
          </wp:inline>
        </w:drawing>
      </w:r>
    </w:p>
    <w:p>
      <w:pPr>
        <w:jc w:val="center"/>
      </w:pPr>
      <w:r>
        <w:rPr>
          <w:i/>
          <w:color w:val="555555"/>
          <w:sz w:val="18"/>
        </w:rPr>
        <w:t>Figura 3. UML de secuencia: una interacción completa del usuario, del clic a la evidencia, el re-chequeo de novedad en vivo y el feedback persistido.</w:t>
      </w:r>
    </w:p>
    <w:p>
      <w:pPr>
        <w:spacing w:before="120" w:after="40"/>
      </w:pPr>
      <w:r>
        <w:rPr>
          <w:b/>
          <w:color w:val="4338CA"/>
          <w:sz w:val="24"/>
        </w:rPr>
        <w:t>Sección 3 · Stack tecnológico</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color="auto" w:fill="312E81"/>
          </w:tcPr>
          <w:p>
            <w:r>
              <w:rPr>
                <w:b/>
                <w:color w:val="FFFFFF"/>
                <w:sz w:val="18"/>
              </w:rPr>
              <w:t>Componente</w:t>
            </w:r>
          </w:p>
        </w:tc>
        <w:tc>
          <w:tcPr>
            <w:tcW w:type="dxa" w:w="2736"/>
            <w:shd w:val="clear" w:color="auto" w:fill="312E81"/>
          </w:tcPr>
          <w:p>
            <w:r>
              <w:rPr>
                <w:b/>
                <w:color w:val="FFFFFF"/>
                <w:sz w:val="18"/>
              </w:rPr>
              <w:t>Tecnología / Herramienta</w:t>
            </w:r>
          </w:p>
        </w:tc>
        <w:tc>
          <w:tcPr>
            <w:tcW w:type="dxa" w:w="5184"/>
            <w:shd w:val="clear" w:color="auto" w:fill="312E81"/>
          </w:tcPr>
          <w:p>
            <w:r>
              <w:rPr>
                <w:b/>
                <w:color w:val="FFFFFF"/>
                <w:sz w:val="18"/>
              </w:rPr>
              <w:t>Por qué se eligió esta y no otra</w:t>
            </w:r>
          </w:p>
        </w:tc>
      </w:tr>
      <w:tr>
        <w:tc>
          <w:tcPr>
            <w:tcW w:type="dxa" w:w="1584"/>
          </w:tcPr>
          <w:p>
            <w:r>
              <w:rPr>
                <w:sz w:val="18"/>
              </w:rPr>
              <w:t>Frontend</w:t>
            </w:r>
          </w:p>
        </w:tc>
        <w:tc>
          <w:tcPr>
            <w:tcW w:type="dxa" w:w="2736"/>
          </w:tcPr>
          <w:p>
            <w:r>
              <w:rPr>
                <w:sz w:val="18"/>
              </w:rPr>
              <w:t>Streamlit</w:t>
            </w:r>
          </w:p>
        </w:tc>
        <w:tc>
          <w:tcPr>
            <w:tcW w:type="dxa" w:w="5184"/>
          </w:tcPr>
          <w:p>
            <w:r>
              <w:rPr>
                <w:sz w:val="18"/>
              </w:rPr>
              <w:t>React o HTML+JS exigían construir y hostear un backend aparte; Streamlit da la interfaz completa en Python puro, razonable para un equipo de una persona con plazo corto.</w:t>
            </w:r>
          </w:p>
        </w:tc>
      </w:tr>
      <w:tr>
        <w:tc>
          <w:tcPr>
            <w:tcW w:type="dxa" w:w="1584"/>
            <w:shd w:val="clear" w:color="auto" w:fill="EEF2FF"/>
          </w:tcPr>
          <w:p>
            <w:r>
              <w:rPr>
                <w:sz w:val="18"/>
              </w:rPr>
              <w:t>Backend</w:t>
            </w:r>
          </w:p>
        </w:tc>
        <w:tc>
          <w:tcPr>
            <w:tcW w:type="dxa" w:w="2736"/>
            <w:shd w:val="clear" w:color="auto" w:fill="EEF2FF"/>
          </w:tcPr>
          <w:p>
            <w:r>
              <w:rPr>
                <w:sz w:val="18"/>
              </w:rPr>
              <w:t>Python 3.12 (scripts de pipeline + la propia app)</w:t>
            </w:r>
          </w:p>
        </w:tc>
        <w:tc>
          <w:tcPr>
            <w:tcW w:type="dxa" w:w="5184"/>
            <w:shd w:val="clear" w:color="auto" w:fill="EEF2FF"/>
          </w:tcPr>
          <w:p>
            <w:r>
              <w:rPr>
                <w:sz w:val="18"/>
              </w:rPr>
              <w:t>No hay API propia que justifique FastAPI/Node: la app lee la base directamente. Menos piezas, menos superficie de falla.</w:t>
            </w:r>
          </w:p>
        </w:tc>
      </w:tr>
      <w:tr>
        <w:tc>
          <w:tcPr>
            <w:tcW w:type="dxa" w:w="1584"/>
          </w:tcPr>
          <w:p>
            <w:r>
              <w:rPr>
                <w:sz w:val="18"/>
              </w:rPr>
              <w:t>Base de datos</w:t>
            </w:r>
          </w:p>
        </w:tc>
        <w:tc>
          <w:tcPr>
            <w:tcW w:type="dxa" w:w="2736"/>
          </w:tcPr>
          <w:p>
            <w:r>
              <w:rPr>
                <w:sz w:val="18"/>
              </w:rPr>
              <w:t>SQLite</w:t>
            </w:r>
          </w:p>
        </w:tc>
        <w:tc>
          <w:tcPr>
            <w:tcW w:type="dxa" w:w="5184"/>
          </w:tcPr>
          <w:p>
            <w:r>
              <w:rPr>
                <w:sz w:val="18"/>
              </w:rPr>
              <w:t>Frente a Supabase/Firebase: no necesita servidor ni credenciales, y el archivo se versiona en git — la «memoria persistente» viaja con el repo y el deploy la lee tal cual.</w:t>
            </w:r>
          </w:p>
        </w:tc>
      </w:tr>
      <w:tr>
        <w:tc>
          <w:tcPr>
            <w:tcW w:type="dxa" w:w="1584"/>
            <w:shd w:val="clear" w:color="auto" w:fill="EEF2FF"/>
          </w:tcPr>
          <w:p>
            <w:r>
              <w:rPr>
                <w:sz w:val="18"/>
              </w:rPr>
              <w:t>Modelo de IA</w:t>
            </w:r>
          </w:p>
        </w:tc>
        <w:tc>
          <w:tcPr>
            <w:tcW w:type="dxa" w:w="2736"/>
            <w:shd w:val="clear" w:color="auto" w:fill="EEF2FF"/>
          </w:tcPr>
          <w:p>
            <w:r>
              <w:rPr>
                <w:sz w:val="18"/>
              </w:rPr>
              <w:t>Qwen2.5-14B-Instruct local (llama.cpp, GGUF Q4_K_M)</w:t>
            </w:r>
          </w:p>
        </w:tc>
        <w:tc>
          <w:tcPr>
            <w:tcW w:type="dxa" w:w="5184"/>
            <w:shd w:val="clear" w:color="auto" w:fill="EEF2FF"/>
          </w:tcPr>
          <w:p>
            <w:r>
              <w:rPr>
                <w:sz w:val="18"/>
              </w:rPr>
              <w:t>Frente a GPT/Claude/Gemini por API: costo $0 para ~2.000 llamadas, datos que no salen de la máquina, y hace real la Parte 2. El costo oculto se midió: 17% de extracciones descartadas por verificación.</w:t>
            </w:r>
          </w:p>
        </w:tc>
      </w:tr>
      <w:tr>
        <w:tc>
          <w:tcPr>
            <w:tcW w:type="dxa" w:w="1584"/>
          </w:tcPr>
          <w:p>
            <w:r>
              <w:rPr>
                <w:sz w:val="18"/>
              </w:rPr>
              <w:t>Orquestación</w:t>
            </w:r>
          </w:p>
        </w:tc>
        <w:tc>
          <w:tcPr>
            <w:tcW w:type="dxa" w:w="2736"/>
          </w:tcPr>
          <w:p>
            <w:r>
              <w:rPr>
                <w:sz w:val="18"/>
              </w:rPr>
              <w:t>Código propio (5 scripts secuenciales sobre SQLite)</w:t>
            </w:r>
          </w:p>
        </w:tc>
        <w:tc>
          <w:tcPr>
            <w:tcW w:type="dxa" w:w="5184"/>
          </w:tcPr>
          <w:p>
            <w:r>
              <w:rPr>
                <w:sz w:val="18"/>
              </w:rPr>
              <w:t>LangChain/n8n agregan abstracción y dependencias que un pipeline lineal de 5 pasos no necesita; el flujo queda legible y depurable.</w:t>
            </w:r>
          </w:p>
        </w:tc>
      </w:tr>
      <w:tr>
        <w:tc>
          <w:tcPr>
            <w:tcW w:type="dxa" w:w="1584"/>
            <w:shd w:val="clear" w:color="auto" w:fill="EEF2FF"/>
          </w:tcPr>
          <w:p>
            <w:r>
              <w:rPr>
                <w:sz w:val="18"/>
              </w:rPr>
              <w:t>Despliegue</w:t>
            </w:r>
          </w:p>
        </w:tc>
        <w:tc>
          <w:tcPr>
            <w:tcW w:type="dxa" w:w="2736"/>
            <w:shd w:val="clear" w:color="auto" w:fill="EEF2FF"/>
          </w:tcPr>
          <w:p>
            <w:r>
              <w:rPr>
                <w:sz w:val="18"/>
              </w:rPr>
              <w:t>Streamlit Community Cloud</w:t>
            </w:r>
          </w:p>
        </w:tc>
        <w:tc>
          <w:tcPr>
            <w:tcW w:type="dxa" w:w="5184"/>
            <w:shd w:val="clear" w:color="auto" w:fill="EEF2FF"/>
          </w:tcPr>
          <w:p>
            <w:r>
              <w:rPr>
                <w:sz w:val="18"/>
              </w:rPr>
              <w:t>Frente a Vercel/Render: gratuito, deploy directo desde GitHub y diseñado específicamente para apps Streamlit.</w:t>
            </w:r>
          </w:p>
        </w:tc>
      </w:tr>
      <w:tr>
        <w:tc>
          <w:tcPr>
            <w:tcW w:type="dxa" w:w="1584"/>
          </w:tcPr>
          <w:p>
            <w:r>
              <w:rPr>
                <w:sz w:val="18"/>
              </w:rPr>
              <w:t>Datos externos</w:t>
            </w:r>
          </w:p>
        </w:tc>
        <w:tc>
          <w:tcPr>
            <w:tcW w:type="dxa" w:w="2736"/>
          </w:tcPr>
          <w:p>
            <w:r>
              <w:rPr>
                <w:sz w:val="18"/>
              </w:rPr>
              <w:t>PubMed E-utilities (NCBI)</w:t>
            </w:r>
          </w:p>
        </w:tc>
        <w:tc>
          <w:tcPr>
            <w:tcW w:type="dxa" w:w="5184"/>
          </w:tcPr>
          <w:p>
            <w:r>
              <w:rPr>
                <w:sz w:val="18"/>
              </w:rPr>
              <w:t>API oficial, gratuita y sin clave; además cada registro trae los términos MeSH que se usaron para normalizar entidades.</w:t>
            </w:r>
          </w:p>
        </w:tc>
      </w:tr>
      <w:tr>
        <w:tc>
          <w:tcPr>
            <w:tcW w:type="dxa" w:w="1584"/>
            <w:shd w:val="clear" w:color="auto" w:fill="EEF2FF"/>
          </w:tcPr>
          <w:p>
            <w:r>
              <w:rPr>
                <w:sz w:val="18"/>
              </w:rPr>
              <w:t>Pruebas</w:t>
            </w:r>
          </w:p>
        </w:tc>
        <w:tc>
          <w:tcPr>
            <w:tcW w:type="dxa" w:w="2736"/>
            <w:shd w:val="clear" w:color="auto" w:fill="EEF2FF"/>
          </w:tcPr>
          <w:p>
            <w:r>
              <w:rPr>
                <w:sz w:val="18"/>
              </w:rPr>
              <w:t>AppTest (Streamlit) + verificación por corte temporal</w:t>
            </w:r>
          </w:p>
        </w:tc>
        <w:tc>
          <w:tcPr>
            <w:tcW w:type="dxa" w:w="5184"/>
            <w:shd w:val="clear" w:color="auto" w:fill="EEF2FF"/>
          </w:tcPr>
          <w:p>
            <w:r>
              <w:rPr>
                <w:sz w:val="18"/>
              </w:rPr>
              <w:t>AppTest ejecuta la app completa sin navegador (detectó un bug real antes del deploy); el corte temporal es la evaluación estándar del área para sistemas de descubrimiento.</w:t>
            </w:r>
          </w:p>
        </w:tc>
      </w:tr>
    </w:tbl>
    <w:p>
      <w:pPr>
        <w:spacing w:after="40"/>
      </w:pPr>
    </w:p>
    <w:p>
      <w:pPr>
        <w:spacing w:before="120" w:after="40"/>
      </w:pPr>
      <w:r>
        <w:rPr>
          <w:b/>
          <w:color w:val="4338CA"/>
          <w:sz w:val="24"/>
        </w:rPr>
        <w:t>Sección 4 · Evidencia de funcionamiento</w:t>
      </w:r>
    </w:p>
    <w:p>
      <w:r>
        <w:rPr>
          <w:i w:val="0"/>
        </w:rPr>
        <w:t>El resultado central, verificable en la app publicada:</w:t>
      </w:r>
    </w:p>
    <w:tbl>
      <w:tblPr>
        <w:tblStyle w:val="TableGrid"/>
        <w:tblW w:type="auto" w:w="0"/>
        <w:jc w:val="center"/>
        <w:tblLook w:firstColumn="1" w:firstRow="1" w:lastColumn="0" w:lastRow="0" w:noHBand="0" w:noVBand="1" w:val="04A0"/>
      </w:tblPr>
      <w:tblGrid>
        <w:gridCol w:w="4320"/>
        <w:gridCol w:w="4320"/>
      </w:tblGrid>
      <w:tr>
        <w:tc>
          <w:tcPr>
            <w:tcW w:type="dxa" w:w="6048"/>
            <w:shd w:val="clear" w:color="auto" w:fill="312E81"/>
          </w:tcPr>
          <w:p>
            <w:r>
              <w:rPr>
                <w:b/>
                <w:color w:val="FFFFFF"/>
                <w:sz w:val="18"/>
              </w:rPr>
              <w:t>Verificación</w:t>
            </w:r>
          </w:p>
        </w:tc>
        <w:tc>
          <w:tcPr>
            <w:tcW w:type="dxa" w:w="3456"/>
            <w:shd w:val="clear" w:color="auto" w:fill="312E81"/>
          </w:tcPr>
          <w:p>
            <w:r>
              <w:rPr>
                <w:b/>
                <w:color w:val="FFFFFF"/>
                <w:sz w:val="18"/>
              </w:rPr>
              <w:t>Valor</w:t>
            </w:r>
          </w:p>
        </w:tc>
      </w:tr>
      <w:tr>
        <w:tc>
          <w:tcPr>
            <w:tcW w:type="dxa" w:w="6048"/>
          </w:tcPr>
          <w:p>
            <w:r>
              <w:rPr>
                <w:sz w:val="18"/>
              </w:rPr>
              <w:t>Hipótesis «sglt2 inhibition ⇒ heart failure» (sentido opuesto = posible beneficio)</w:t>
            </w:r>
          </w:p>
        </w:tc>
        <w:tc>
          <w:tcPr>
            <w:tcW w:type="dxa" w:w="3456"/>
          </w:tcPr>
          <w:p>
            <w:r>
              <w:rPr>
                <w:sz w:val="18"/>
              </w:rPr>
              <w:t>Puesto 13 de 772 generadas</w:t>
            </w:r>
          </w:p>
        </w:tc>
      </w:tr>
      <w:tr>
        <w:tc>
          <w:tcPr>
            <w:tcW w:type="dxa" w:w="6048"/>
            <w:shd w:val="clear" w:color="auto" w:fill="EEF2FF"/>
          </w:tcPr>
          <w:p>
            <w:r>
              <w:rPr>
                <w:sz w:val="18"/>
              </w:rPr>
              <w:t>Corpus del sistema</w:t>
            </w:r>
          </w:p>
        </w:tc>
        <w:tc>
          <w:tcPr>
            <w:tcW w:type="dxa" w:w="3456"/>
            <w:shd w:val="clear" w:color="auto" w:fill="EEF2FF"/>
          </w:tcPr>
          <w:p>
            <w:r>
              <w:rPr>
                <w:sz w:val="18"/>
              </w:rPr>
              <w:t>Solo papers anteriores a 2013 (1.987, con corte estricto verificado)</w:t>
            </w:r>
          </w:p>
        </w:tc>
      </w:tr>
      <w:tr>
        <w:tc>
          <w:tcPr>
            <w:tcW w:type="dxa" w:w="6048"/>
          </w:tcPr>
          <w:p>
            <w:r>
              <w:rPr>
                <w:sz w:val="18"/>
              </w:rPr>
              <w:t>Papers en PubMed que mencionaban ambos términos hasta 2013</w:t>
            </w:r>
          </w:p>
        </w:tc>
        <w:tc>
          <w:tcPr>
            <w:tcW w:type="dxa" w:w="3456"/>
          </w:tcPr>
          <w:p>
            <w:r>
              <w:rPr>
                <w:sz w:val="18"/>
              </w:rPr>
              <w:t>0</w:t>
            </w:r>
          </w:p>
        </w:tc>
      </w:tr>
      <w:tr>
        <w:tc>
          <w:tcPr>
            <w:tcW w:type="dxa" w:w="6048"/>
            <w:shd w:val="clear" w:color="auto" w:fill="EEF2FF"/>
          </w:tcPr>
          <w:p>
            <w:r>
              <w:rPr>
                <w:sz w:val="18"/>
              </w:rPr>
              <w:t>Papers que los mencionan hoy (2026)</w:t>
            </w:r>
          </w:p>
        </w:tc>
        <w:tc>
          <w:tcPr>
            <w:tcW w:type="dxa" w:w="3456"/>
            <w:shd w:val="clear" w:color="auto" w:fill="EEF2FF"/>
          </w:tcPr>
          <w:p>
            <w:r>
              <w:rPr>
                <w:sz w:val="18"/>
              </w:rPr>
              <w:t>225</w:t>
            </w:r>
          </w:p>
        </w:tc>
      </w:tr>
      <w:tr>
        <w:tc>
          <w:tcPr>
            <w:tcW w:type="dxa" w:w="6048"/>
          </w:tcPr>
          <w:p>
            <w:r>
              <w:rPr>
                <w:sz w:val="18"/>
              </w:rPr>
              <w:t>Señal complementaria</w:t>
            </w:r>
          </w:p>
        </w:tc>
        <w:tc>
          <w:tcPr>
            <w:tcW w:type="dxa" w:w="3456"/>
          </w:tcPr>
          <w:p>
            <w:r>
              <w:rPr>
                <w:sz w:val="18"/>
              </w:rPr>
              <w:t>Las 3 primeras hipótesis del ranking: SGLT2 actúa como captopril, furosemida y tolvaptán — los fármacos del tratamiento de la insuficiencia cardíaca</w:t>
            </w:r>
          </w:p>
        </w:tc>
      </w:tr>
      <w:tr>
        <w:tc>
          <w:tcPr>
            <w:tcW w:type="dxa" w:w="6048"/>
            <w:shd w:val="clear" w:color="auto" w:fill="EEF2FF"/>
          </w:tcPr>
          <w:p>
            <w:r>
              <w:rPr>
                <w:sz w:val="18"/>
              </w:rPr>
              <w:t>Veredicto del agente escéptico</w:t>
            </w:r>
          </w:p>
        </w:tc>
        <w:tc>
          <w:tcPr>
            <w:tcW w:type="dxa" w:w="3456"/>
            <w:shd w:val="clear" w:color="auto" w:fill="EEF2FF"/>
          </w:tcPr>
          <w:p>
            <w:r>
              <w:rPr>
                <w:sz w:val="18"/>
              </w:rPr>
              <w:t>«Dudosa»: aceptó los puentes de hipertensión y diabetes, atacó uno mal extraído. Con la evidencia de 2013, es el veredicto correcto</w:t>
            </w:r>
          </w:p>
        </w:tc>
      </w:tr>
    </w:tbl>
    <w:p>
      <w:pPr>
        <w:spacing w:after="40"/>
      </w:pPr>
    </w:p>
    <w:p>
      <w:pPr>
        <w:spacing w:before="120"/>
        <w:jc w:val="center"/>
      </w:pPr>
      <w:r>
        <w:drawing>
          <wp:inline xmlns:a="http://schemas.openxmlformats.org/drawingml/2006/main" xmlns:pic="http://schemas.openxmlformats.org/drawingml/2006/picture">
            <wp:extent cx="5760720" cy="3648456"/>
            <wp:docPr id="4" name="Picture 4"/>
            <wp:cNvGraphicFramePr>
              <a:graphicFrameLocks noChangeAspect="1"/>
            </wp:cNvGraphicFramePr>
            <a:graphic>
              <a:graphicData uri="http://schemas.openxmlformats.org/drawingml/2006/picture">
                <pic:pic>
                  <pic:nvPicPr>
                    <pic:cNvPr id="0" name="01_lista.png"/>
                    <pic:cNvPicPr/>
                  </pic:nvPicPr>
                  <pic:blipFill>
                    <a:blip r:embed="rId12"/>
                    <a:stretch>
                      <a:fillRect/>
                    </a:stretch>
                  </pic:blipFill>
                  <pic:spPr>
                    <a:xfrm>
                      <a:off x="0" y="0"/>
                      <a:ext cx="5760720" cy="3648456"/>
                    </a:xfrm>
                    <a:prstGeom prst="rect"/>
                  </pic:spPr>
                </pic:pic>
              </a:graphicData>
            </a:graphic>
          </wp:inline>
        </w:drawing>
      </w:r>
    </w:p>
    <w:p>
      <w:pPr>
        <w:jc w:val="center"/>
      </w:pPr>
      <w:r>
        <w:rPr>
          <w:i/>
          <w:color w:val="555555"/>
          <w:sz w:val="18"/>
        </w:rPr>
        <w:t>Captura 1 — Pantalla principal: métricas del experimento, filtros y lista de hipótesis con el veredicto del escéptico.</w:t>
      </w:r>
    </w:p>
    <w:p>
      <w:pPr>
        <w:spacing w:before="120"/>
        <w:jc w:val="center"/>
      </w:pPr>
      <w:r>
        <w:drawing>
          <wp:inline xmlns:a="http://schemas.openxmlformats.org/drawingml/2006/main" xmlns:pic="http://schemas.openxmlformats.org/drawingml/2006/picture">
            <wp:extent cx="5760720" cy="5376672"/>
            <wp:docPr id="5" name="Picture 5"/>
            <wp:cNvGraphicFramePr>
              <a:graphicFrameLocks noChangeAspect="1"/>
            </wp:cNvGraphicFramePr>
            <a:graphic>
              <a:graphicData uri="http://schemas.openxmlformats.org/drawingml/2006/picture">
                <pic:pic>
                  <pic:nvPicPr>
                    <pic:cNvPr id="0" name="02_detalle.png"/>
                    <pic:cNvPicPr/>
                  </pic:nvPicPr>
                  <pic:blipFill>
                    <a:blip r:embed="rId13"/>
                    <a:stretch>
                      <a:fillRect/>
                    </a:stretch>
                  </pic:blipFill>
                  <pic:spPr>
                    <a:xfrm>
                      <a:off x="0" y="0"/>
                      <a:ext cx="5760720" cy="5376672"/>
                    </a:xfrm>
                    <a:prstGeom prst="rect"/>
                  </pic:spPr>
                </pic:pic>
              </a:graphicData>
            </a:graphic>
          </wp:inline>
        </w:drawing>
      </w:r>
    </w:p>
    <w:p>
      <w:pPr>
        <w:jc w:val="center"/>
      </w:pPr>
      <w:r>
        <w:rPr>
          <w:i/>
          <w:color w:val="555555"/>
          <w:sz w:val="18"/>
        </w:rPr>
        <w:t>Captura 2 — Flujo principal de uso: el usuario elige una hipótesis y obtiene el output de la IA — novedad (0 pre-2014, 225 hoy), veredicto con argumentos, y puentes con evidencia enlazada a PubMed.</w:t>
      </w:r>
    </w:p>
    <w:p>
      <w:pPr>
        <w:spacing w:before="120"/>
        <w:jc w:val="center"/>
      </w:pPr>
      <w:r>
        <w:drawing>
          <wp:inline xmlns:a="http://schemas.openxmlformats.org/drawingml/2006/main" xmlns:pic="http://schemas.openxmlformats.org/drawingml/2006/picture">
            <wp:extent cx="5760720" cy="3840480"/>
            <wp:docPr id="6" name="Picture 6"/>
            <wp:cNvGraphicFramePr>
              <a:graphicFrameLocks noChangeAspect="1"/>
            </wp:cNvGraphicFramePr>
            <a:graphic>
              <a:graphicData uri="http://schemas.openxmlformats.org/drawingml/2006/picture">
                <pic:pic>
                  <pic:nvPicPr>
                    <pic:cNvPr id="0" name="03_produccion.png"/>
                    <pic:cNvPicPr/>
                  </pic:nvPicPr>
                  <pic:blipFill>
                    <a:blip r:embed="rId14"/>
                    <a:stretch>
                      <a:fillRect/>
                    </a:stretch>
                  </pic:blipFill>
                  <pic:spPr>
                    <a:xfrm>
                      <a:off x="0" y="0"/>
                      <a:ext cx="5760720" cy="3840480"/>
                    </a:xfrm>
                    <a:prstGeom prst="rect"/>
                  </pic:spPr>
                </pic:pic>
              </a:graphicData>
            </a:graphic>
          </wp:inline>
        </w:drawing>
      </w:r>
    </w:p>
    <w:p>
      <w:pPr>
        <w:jc w:val="center"/>
      </w:pPr>
      <w:r>
        <w:rPr>
          <w:i/>
          <w:color w:val="555555"/>
          <w:sz w:val="18"/>
        </w:rPr>
        <w:t>Captura 3 — La aplicación corriendo en producción (Streamlit Community Cloud), evaluando una hipótesis refutada por el escéptico.</w:t>
      </w:r>
    </w:p>
    <w:p>
      <w:pPr>
        <w:spacing w:before="120" w:after="40"/>
      </w:pPr>
      <w:r>
        <w:rPr>
          <w:b/>
          <w:color w:val="4338CA"/>
          <w:sz w:val="24"/>
        </w:rPr>
        <w:t>Registro de una sesión real</w:t>
      </w:r>
    </w:p>
    <w:p>
      <w:r>
        <w:rPr>
          <w:i w:val="0"/>
        </w:rPr>
        <w:t>La app registra cada interacción en la tabla registro_uso de la base. Extracto real (ejecución completa con los datos reales del corpus):</w:t>
      </w:r>
    </w:p>
    <w:p>
      <w:pPr>
        <w:spacing w:after="40"/>
      </w:pPr>
      <w:r>
        <w:rPr>
          <w:rFonts w:ascii="Consolas" w:hAnsi="Consolas"/>
          <w:i w:val="0"/>
          <w:sz w:val="18"/>
        </w:rPr>
        <w:t>REGISTRO DE SESIÓN DE USO — tabla registro_uso de la app</w:t>
        <w:br/>
        <w:t>(cada interacción del usuario queda registrada automáticamente)</w:t>
        <w:br/>
        <w:t>==================================================================</w:t>
        <w:br/>
        <w:t>2026-08-15T18:04:56  ver:hipotesis=1:sglt2 inhibition=&gt;nesiritide</w:t>
        <w:br/>
        <w:t>2026-08-15T18:04:56  ver:hipotesis=1:sglt2 inhibition=&gt;nesiritide</w:t>
        <w:br/>
        <w:t>2026-08-15T18:05:21  ver:hipotesis=1:sglt2 inhibition=&gt;nesiritide</w:t>
        <w:br/>
        <w:t>2026-08-15T18:05:21  ver:hipotesis=1:sglt2 inhibition=&gt;nesiritide</w:t>
        <w:br/>
        <w:t>2026-08-15T19:15:44  ver:hipotesis=434:sglt2 inhibition=&gt;captopril</w:t>
        <w:br/>
        <w:t>2026-08-15T19:15:44  ver:hipotesis=434:sglt2 inhibition=&gt;captopril</w:t>
        <w:br/>
        <w:t>2026-08-16T19:24:08  ver:hipotesis=434:sglt2 inhibition=&gt;captopril</w:t>
        <w:br/>
        <w:t>2026-08-16T19:24:09  ver:hipotesis=451:sglt2 inhibition=&gt;heart failure</w:t>
        <w:br/>
        <w:t>2026-08-16T19:24:47  ver:hipotesis=434:sglt2 inhibition=&gt;captopril</w:t>
      </w:r>
    </w:p>
    <w:p>
      <w:r>
        <w:rPr>
          <w:i w:val="0"/>
          <w:color w:val="555555"/>
          <w:sz w:val="20"/>
        </w:rPr>
        <w:t>Las entradas «ver:» son aperturas del detalle de una hipótesis; también se registran los re-chequeos de novedad en vivo y el feedback del usuario.</w:t>
      </w:r>
    </w:p>
    <w:p>
      <w:pPr>
        <w:spacing w:before="120" w:after="40"/>
      </w:pPr>
      <w:r>
        <w:rPr>
          <w:b/>
          <w:color w:val="4338CA"/>
          <w:sz w:val="24"/>
        </w:rPr>
        <w:t>Sección 5 · Evaluación UX/UI</w:t>
      </w:r>
    </w:p>
    <w:p>
      <w:pPr>
        <w:spacing w:after="40"/>
      </w:pPr>
      <w:r>
        <w:rPr>
          <w:i w:val="0"/>
        </w:rPr>
        <w:t>5.1 — Heurísticas de Nielsen aplicadas al proyecto:</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312E81"/>
          </w:tcPr>
          <w:p>
            <w:r>
              <w:rPr>
                <w:b/>
                <w:color w:val="FFFFFF"/>
                <w:sz w:val="18"/>
              </w:rPr>
              <w:t>Heurística</w:t>
            </w:r>
          </w:p>
        </w:tc>
        <w:tc>
          <w:tcPr>
            <w:tcW w:type="dxa" w:w="1008"/>
            <w:shd w:val="clear" w:color="auto" w:fill="312E81"/>
          </w:tcPr>
          <w:p>
            <w:r>
              <w:rPr>
                <w:b/>
                <w:color w:val="FFFFFF"/>
                <w:sz w:val="18"/>
              </w:rPr>
              <w:t>¿Cumple?</w:t>
            </w:r>
          </w:p>
        </w:tc>
        <w:tc>
          <w:tcPr>
            <w:tcW w:type="dxa" w:w="6048"/>
            <w:shd w:val="clear" w:color="auto" w:fill="312E81"/>
          </w:tcPr>
          <w:p>
            <w:r>
              <w:rPr>
                <w:b/>
                <w:color w:val="FFFFFF"/>
                <w:sz w:val="18"/>
              </w:rPr>
              <w:t>Evidencia / Observación</w:t>
            </w:r>
          </w:p>
        </w:tc>
      </w:tr>
      <w:tr>
        <w:tc>
          <w:tcPr>
            <w:tcW w:type="dxa" w:w="2448"/>
          </w:tcPr>
          <w:p>
            <w:r>
              <w:rPr>
                <w:sz w:val="18"/>
              </w:rPr>
              <w:t>Visibilidad del estado del sistema</w:t>
            </w:r>
          </w:p>
        </w:tc>
        <w:tc>
          <w:tcPr>
            <w:tcW w:type="dxa" w:w="1008"/>
          </w:tcPr>
          <w:p>
            <w:r>
              <w:rPr>
                <w:sz w:val="18"/>
              </w:rPr>
              <w:t>Sí</w:t>
            </w:r>
          </w:p>
        </w:tc>
        <w:tc>
          <w:tcPr>
            <w:tcW w:type="dxa" w:w="6048"/>
          </w:tcPr>
          <w:p>
            <w:r>
              <w:rPr>
                <w:sz w:val="18"/>
              </w:rPr>
              <w:t>Métricas del corpus siempre visibles; indicadores de carga; el feedback guardado se muestra al volver a la hipótesis.</w:t>
            </w:r>
          </w:p>
        </w:tc>
      </w:tr>
      <w:tr>
        <w:tc>
          <w:tcPr>
            <w:tcW w:type="dxa" w:w="2448"/>
            <w:shd w:val="clear" w:color="auto" w:fill="EEF2FF"/>
          </w:tcPr>
          <w:p>
            <w:r>
              <w:rPr>
                <w:sz w:val="18"/>
              </w:rPr>
              <w:t>Coincidencia con el mundo real</w:t>
            </w:r>
          </w:p>
        </w:tc>
        <w:tc>
          <w:tcPr>
            <w:tcW w:type="dxa" w:w="1008"/>
            <w:shd w:val="clear" w:color="auto" w:fill="EEF2FF"/>
          </w:tcPr>
          <w:p>
            <w:r>
              <w:rPr>
                <w:sz w:val="18"/>
              </w:rPr>
              <w:t>Parcial</w:t>
            </w:r>
          </w:p>
        </w:tc>
        <w:tc>
          <w:tcPr>
            <w:tcW w:type="dxa" w:w="6048"/>
            <w:shd w:val="clear" w:color="auto" w:fill="EEF2FF"/>
          </w:tcPr>
          <w:p>
            <w:r>
              <w:rPr>
                <w:sz w:val="18"/>
              </w:rPr>
              <w:t>La interfaz está en español pero las entidades científicas quedan en inglés (decisión de normalización con MeSH). Para el público objetivo —que lee papers en inglés— es natural; para público general no lo sería.</w:t>
            </w:r>
          </w:p>
        </w:tc>
      </w:tr>
      <w:tr>
        <w:tc>
          <w:tcPr>
            <w:tcW w:type="dxa" w:w="2448"/>
          </w:tcPr>
          <w:p>
            <w:r>
              <w:rPr>
                <w:sz w:val="18"/>
              </w:rPr>
              <w:t>Control y libertad del usuario</w:t>
            </w:r>
          </w:p>
        </w:tc>
        <w:tc>
          <w:tcPr>
            <w:tcW w:type="dxa" w:w="1008"/>
          </w:tcPr>
          <w:p>
            <w:r>
              <w:rPr>
                <w:sz w:val="18"/>
              </w:rPr>
              <w:t>Parcial</w:t>
            </w:r>
          </w:p>
        </w:tc>
        <w:tc>
          <w:tcPr>
            <w:tcW w:type="dxa" w:w="6048"/>
          </w:tcPr>
          <w:p>
            <w:r>
              <w:rPr>
                <w:sz w:val="18"/>
              </w:rPr>
              <w:t>El feedback puede cambiarse (sobrescribe), pero no hay «deshacer» explícito ni limpieza de filtros en un clic.</w:t>
            </w:r>
          </w:p>
        </w:tc>
      </w:tr>
      <w:tr>
        <w:tc>
          <w:tcPr>
            <w:tcW w:type="dxa" w:w="2448"/>
            <w:shd w:val="clear" w:color="auto" w:fill="EEF2FF"/>
          </w:tcPr>
          <w:p>
            <w:r>
              <w:rPr>
                <w:sz w:val="18"/>
              </w:rPr>
              <w:t>Consistencia y estándares</w:t>
            </w:r>
          </w:p>
        </w:tc>
        <w:tc>
          <w:tcPr>
            <w:tcW w:type="dxa" w:w="1008"/>
            <w:shd w:val="clear" w:color="auto" w:fill="EEF2FF"/>
          </w:tcPr>
          <w:p>
            <w:r>
              <w:rPr>
                <w:sz w:val="18"/>
              </w:rPr>
              <w:t>Sí</w:t>
            </w:r>
          </w:p>
        </w:tc>
        <w:tc>
          <w:tcPr>
            <w:tcW w:type="dxa" w:w="6048"/>
            <w:shd w:val="clear" w:color="auto" w:fill="EEF2FF"/>
          </w:tcPr>
          <w:p>
            <w:r>
              <w:rPr>
                <w:sz w:val="18"/>
              </w:rPr>
              <w:t>Iconografía uniforme (✅🤔❌), mismo patrón de tarjetas y expansores en toda la app.</w:t>
            </w:r>
          </w:p>
        </w:tc>
      </w:tr>
      <w:tr>
        <w:tc>
          <w:tcPr>
            <w:tcW w:type="dxa" w:w="2448"/>
          </w:tcPr>
          <w:p>
            <w:r>
              <w:rPr>
                <w:sz w:val="18"/>
              </w:rPr>
              <w:t>Prevención de errores</w:t>
            </w:r>
          </w:p>
        </w:tc>
        <w:tc>
          <w:tcPr>
            <w:tcW w:type="dxa" w:w="1008"/>
          </w:tcPr>
          <w:p>
            <w:r>
              <w:rPr>
                <w:sz w:val="18"/>
              </w:rPr>
              <w:t>Sí</w:t>
            </w:r>
          </w:p>
        </w:tc>
        <w:tc>
          <w:tcPr>
            <w:tcW w:type="dxa" w:w="6048"/>
          </w:tcPr>
          <w:p>
            <w:r>
              <w:rPr>
                <w:sz w:val="18"/>
              </w:rPr>
              <w:t>No hay entrada de texto libre: todo es selección; el chequeo en vivo maneja el fallo de red con un mensaje.</w:t>
            </w:r>
          </w:p>
        </w:tc>
      </w:tr>
      <w:tr>
        <w:tc>
          <w:tcPr>
            <w:tcW w:type="dxa" w:w="2448"/>
            <w:shd w:val="clear" w:color="auto" w:fill="EEF2FF"/>
          </w:tcPr>
          <w:p>
            <w:r>
              <w:rPr>
                <w:sz w:val="18"/>
              </w:rPr>
              <w:t>Reconocimiento antes que recuerdo</w:t>
            </w:r>
          </w:p>
        </w:tc>
        <w:tc>
          <w:tcPr>
            <w:tcW w:type="dxa" w:w="1008"/>
            <w:shd w:val="clear" w:color="auto" w:fill="EEF2FF"/>
          </w:tcPr>
          <w:p>
            <w:r>
              <w:rPr>
                <w:sz w:val="18"/>
              </w:rPr>
              <w:t>Sí</w:t>
            </w:r>
          </w:p>
        </w:tc>
        <w:tc>
          <w:tcPr>
            <w:tcW w:type="dxa" w:w="6048"/>
            <w:shd w:val="clear" w:color="auto" w:fill="EEF2FF"/>
          </w:tcPr>
          <w:p>
            <w:r>
              <w:rPr>
                <w:sz w:val="18"/>
              </w:rPr>
              <w:t>Cada hipótesis muestra su cadena completa, evidencia y fuentes; no hay códigos ni estados que memorizar.</w:t>
            </w:r>
          </w:p>
        </w:tc>
      </w:tr>
      <w:tr>
        <w:tc>
          <w:tcPr>
            <w:tcW w:type="dxa" w:w="2448"/>
          </w:tcPr>
          <w:p>
            <w:r>
              <w:rPr>
                <w:sz w:val="18"/>
              </w:rPr>
              <w:t>Flexibilidad y eficiencia de uso</w:t>
            </w:r>
          </w:p>
        </w:tc>
        <w:tc>
          <w:tcPr>
            <w:tcW w:type="dxa" w:w="1008"/>
          </w:tcPr>
          <w:p>
            <w:r>
              <w:rPr>
                <w:sz w:val="18"/>
              </w:rPr>
              <w:t>Sí</w:t>
            </w:r>
          </w:p>
        </w:tc>
        <w:tc>
          <w:tcPr>
            <w:tcW w:type="dxa" w:w="6048"/>
          </w:tcPr>
          <w:p>
            <w:r>
              <w:rPr>
                <w:sz w:val="18"/>
              </w:rPr>
              <w:t>Enlaces directos ?hip=id para compartir una hipótesis puntual; filtros para usuarios avanzados.</w:t>
            </w:r>
          </w:p>
        </w:tc>
      </w:tr>
      <w:tr>
        <w:tc>
          <w:tcPr>
            <w:tcW w:type="dxa" w:w="2448"/>
            <w:shd w:val="clear" w:color="auto" w:fill="EEF2FF"/>
          </w:tcPr>
          <w:p>
            <w:r>
              <w:rPr>
                <w:sz w:val="18"/>
              </w:rPr>
              <w:t>Diseño estético y minimalista</w:t>
            </w:r>
          </w:p>
        </w:tc>
        <w:tc>
          <w:tcPr>
            <w:tcW w:type="dxa" w:w="1008"/>
            <w:shd w:val="clear" w:color="auto" w:fill="EEF2FF"/>
          </w:tcPr>
          <w:p>
            <w:r>
              <w:rPr>
                <w:sz w:val="18"/>
              </w:rPr>
              <w:t>Sí</w:t>
            </w:r>
          </w:p>
        </w:tc>
        <w:tc>
          <w:tcPr>
            <w:tcW w:type="dxa" w:w="6048"/>
            <w:shd w:val="clear" w:color="auto" w:fill="EEF2FF"/>
          </w:tcPr>
          <w:p>
            <w:r>
              <w:rPr>
                <w:sz w:val="18"/>
              </w:rPr>
              <w:t>Dos filtros, una lista y un panel de detalle; sin elementos decorativos.</w:t>
            </w:r>
          </w:p>
        </w:tc>
      </w:tr>
      <w:tr>
        <w:tc>
          <w:tcPr>
            <w:tcW w:type="dxa" w:w="2448"/>
          </w:tcPr>
          <w:p>
            <w:r>
              <w:rPr>
                <w:sz w:val="18"/>
              </w:rPr>
              <w:t>Ayudar a reconocer y recuperarse de errores</w:t>
            </w:r>
          </w:p>
        </w:tc>
        <w:tc>
          <w:tcPr>
            <w:tcW w:type="dxa" w:w="1008"/>
          </w:tcPr>
          <w:p>
            <w:r>
              <w:rPr>
                <w:sz w:val="18"/>
              </w:rPr>
              <w:t>Parcial</w:t>
            </w:r>
          </w:p>
        </w:tc>
        <w:tc>
          <w:tcPr>
            <w:tcW w:type="dxa" w:w="6048"/>
          </w:tcPr>
          <w:p>
            <w:r>
              <w:rPr>
                <w:sz w:val="18"/>
              </w:rPr>
              <w:t>Los errores de red se informan con mensaje claro, pero sin sugerencia de causa o reintento automático.</w:t>
            </w:r>
          </w:p>
        </w:tc>
      </w:tr>
      <w:tr>
        <w:tc>
          <w:tcPr>
            <w:tcW w:type="dxa" w:w="2448"/>
            <w:shd w:val="clear" w:color="auto" w:fill="EEF2FF"/>
          </w:tcPr>
          <w:p>
            <w:r>
              <w:rPr>
                <w:sz w:val="18"/>
              </w:rPr>
              <w:t>Ayuda y documentación</w:t>
            </w:r>
          </w:p>
        </w:tc>
        <w:tc>
          <w:tcPr>
            <w:tcW w:type="dxa" w:w="1008"/>
            <w:shd w:val="clear" w:color="auto" w:fill="EEF2FF"/>
          </w:tcPr>
          <w:p>
            <w:r>
              <w:rPr>
                <w:sz w:val="18"/>
              </w:rPr>
              <w:t>No</w:t>
            </w:r>
          </w:p>
        </w:tc>
        <w:tc>
          <w:tcPr>
            <w:tcW w:type="dxa" w:w="6048"/>
            <w:shd w:val="clear" w:color="auto" w:fill="EEF2FF"/>
          </w:tcPr>
          <w:p>
            <w:r>
              <w:rPr>
                <w:sz w:val="18"/>
              </w:rPr>
              <w:t>La barra lateral explica el experimento, pero falta una sección de ayuda sobre cómo leer los signos (↑/↓) y los puentes. Es la mejora pendiente más clara.</w:t>
            </w:r>
          </w:p>
        </w:tc>
      </w:tr>
    </w:tbl>
    <w:p>
      <w:pPr>
        <w:spacing w:after="40"/>
      </w:pPr>
    </w:p>
    <w:p>
      <w:pPr>
        <w:spacing w:after="40"/>
      </w:pPr>
      <w:r>
        <w:rPr>
          <w:i w:val="0"/>
        </w:rPr>
        <w:t>5.2 — Evaluación orientada al público objetivo:</w:t>
      </w:r>
    </w:p>
    <w:p>
      <w:pPr>
        <w:pStyle w:val="ListBullet"/>
        <w:spacing w:after="40"/>
      </w:pPr>
      <w:r>
        <w:rPr>
          <w:b/>
        </w:rPr>
        <w:t xml:space="preserve">¿El diseño es apropiado para el nivel técnico del usuario final? </w:t>
      </w:r>
      <w:r>
        <w:t>Sí para el usuario definido (investigador/docente): no requiere configuración, todo es clic y lectura. La densidad de información (signos, puentes, PMIDs) sería excesiva para un usuario ajeno al ámbito científico, pero ese no es el público.</w:t>
      </w:r>
    </w:p>
    <w:p>
      <w:pPr>
        <w:pStyle w:val="ListBullet"/>
        <w:spacing w:after="40"/>
      </w:pPr>
      <w:r>
        <w:rPr>
          <w:b/>
        </w:rPr>
        <w:t xml:space="preserve">¿El lenguaje visual y textual es comprensible para ese usuario? </w:t>
      </w:r>
      <w:r>
        <w:t>El texto de la interfaz está en español llano; los términos científicos quedan en inglés a propósito, porque es como el público objetivo los lee en PubMed. Los íconos de veredicto y las flechas de signo se entienden sin manual, aunque un tooltip ayudaría (ver heurística 10).</w:t>
      </w:r>
    </w:p>
    <w:p>
      <w:pPr>
        <w:pStyle w:val="ListBullet"/>
        <w:spacing w:after="40"/>
      </w:pPr>
      <w:r>
        <w:rPr>
          <w:b/>
        </w:rPr>
        <w:t xml:space="preserve">¿Se hizo alguna prueba con un usuario real? </w:t>
      </w:r>
      <w:r>
        <w:t>Todavía no una formal con un usuario externo: el uso registrado (Sección 4) es del propio autor durante el desarrollo. Está prevista una prueba informal con un usuario del perfil objetivo antes de la exposición; el feedback se sumará como anexo al repositorio.</w:t>
      </w:r>
    </w:p>
    <w:p>
      <w:pPr>
        <w:spacing w:before="120" w:after="40"/>
      </w:pPr>
      <w:r>
        <w:rPr>
          <w:b/>
          <w:color w:val="4338CA"/>
          <w:sz w:val="24"/>
        </w:rPr>
        <w:t>Sección 6 · Evaluación de ciberseguridad</w:t>
      </w:r>
    </w:p>
    <w:p>
      <w:r>
        <w:rPr>
          <w:i w:val="0"/>
        </w:rPr>
        <w:t>Log de consideraciones de seguridad pensadas y aplicadas durante el desarrollo:</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color="auto" w:fill="312E81"/>
          </w:tcPr>
          <w:p>
            <w:r>
              <w:rPr>
                <w:b/>
                <w:color w:val="FFFFFF"/>
                <w:sz w:val="18"/>
              </w:rPr>
              <w:t>Riesgo identificado</w:t>
            </w:r>
          </w:p>
        </w:tc>
        <w:tc>
          <w:tcPr>
            <w:tcW w:type="dxa" w:w="1872"/>
            <w:shd w:val="clear" w:color="auto" w:fill="312E81"/>
          </w:tcPr>
          <w:p>
            <w:r>
              <w:rPr>
                <w:b/>
                <w:color w:val="FFFFFF"/>
                <w:sz w:val="18"/>
              </w:rPr>
              <w:t>Tipo</w:t>
            </w:r>
          </w:p>
        </w:tc>
        <w:tc>
          <w:tcPr>
            <w:tcW w:type="dxa" w:w="4464"/>
            <w:shd w:val="clear" w:color="auto" w:fill="312E81"/>
          </w:tcPr>
          <w:p>
            <w:r>
              <w:rPr>
                <w:b/>
                <w:color w:val="FFFFFF"/>
                <w:sz w:val="18"/>
              </w:rPr>
              <w:t>Medida implementada o decisión tomada</w:t>
            </w:r>
          </w:p>
        </w:tc>
      </w:tr>
      <w:tr>
        <w:tc>
          <w:tcPr>
            <w:tcW w:type="dxa" w:w="3168"/>
          </w:tcPr>
          <w:p>
            <w:r>
              <w:rPr>
                <w:sz w:val="18"/>
              </w:rPr>
              <w:t>Inyección indirecta de prompt: los abstracts son texto externo no confiable que se inserta en el prompt del LLM</w:t>
            </w:r>
          </w:p>
        </w:tc>
        <w:tc>
          <w:tcPr>
            <w:tcW w:type="dxa" w:w="1872"/>
          </w:tcPr>
          <w:p>
            <w:r>
              <w:rPr>
                <w:sz w:val="18"/>
              </w:rPr>
              <w:t>Prompt injection (OWASP LLM01)</w:t>
            </w:r>
          </w:p>
        </w:tc>
        <w:tc>
          <w:tcPr>
            <w:tcW w:type="dxa" w:w="4464"/>
          </w:tcPr>
          <w:p>
            <w:r>
              <w:rPr>
                <w:sz w:val="18"/>
              </w:rPr>
              <w:t>El LLM corre local, sin herramientas ni acceso a red (solo devuelve JSON con esquema forzado); ninguna salida se ejecuta: todo se guarda como datos y se verifica contra la fuente.</w:t>
            </w:r>
          </w:p>
        </w:tc>
      </w:tr>
      <w:tr>
        <w:tc>
          <w:tcPr>
            <w:tcW w:type="dxa" w:w="3168"/>
            <w:shd w:val="clear" w:color="auto" w:fill="EEF2FF"/>
          </w:tcPr>
          <w:p>
            <w:r>
              <w:rPr>
                <w:sz w:val="18"/>
              </w:rPr>
              <w:t>Alucinación del extractor: el modelo «extrajo» relaciones que el paper no dice, inyectando conocimiento de su pre-entrenamiento</w:t>
            </w:r>
          </w:p>
        </w:tc>
        <w:tc>
          <w:tcPr>
            <w:tcW w:type="dxa" w:w="1872"/>
            <w:shd w:val="clear" w:color="auto" w:fill="EEF2FF"/>
          </w:tcPr>
          <w:p>
            <w:r>
              <w:rPr>
                <w:sz w:val="18"/>
              </w:rPr>
              <w:t>Integridad de datos / sobreconfianza en LLM (OWASP LLM09)</w:t>
            </w:r>
          </w:p>
        </w:tc>
        <w:tc>
          <w:tcPr>
            <w:tcW w:type="dxa" w:w="4464"/>
            <w:shd w:val="clear" w:color="auto" w:fill="EEF2FF"/>
          </w:tcPr>
          <w:p>
            <w:r>
              <w:rPr>
                <w:sz w:val="18"/>
              </w:rPr>
              <w:t>Capa de verificación en dos controles: la frase citada debe existir textualmente en el abstract y las entidades deben estar ancladas al texto. Se descartó el 17% de las relaciones; el grafo publicado solo contiene afirmaciones verificables.</w:t>
            </w:r>
          </w:p>
        </w:tc>
      </w:tr>
      <w:tr>
        <w:tc>
          <w:tcPr>
            <w:tcW w:type="dxa" w:w="3168"/>
          </w:tcPr>
          <w:p>
            <w:r>
              <w:rPr>
                <w:sz w:val="18"/>
              </w:rPr>
              <w:t>Exposición de API keys o costos disparados por abuso de la app pública</w:t>
            </w:r>
          </w:p>
        </w:tc>
        <w:tc>
          <w:tcPr>
            <w:tcW w:type="dxa" w:w="1872"/>
          </w:tcPr>
          <w:p>
            <w:r>
              <w:rPr>
                <w:sz w:val="18"/>
              </w:rPr>
              <w:t>Secretos / denegación de billetera</w:t>
            </w:r>
          </w:p>
        </w:tc>
        <w:tc>
          <w:tcPr>
            <w:tcW w:type="dxa" w:w="4464"/>
          </w:tcPr>
          <w:p>
            <w:r>
              <w:rPr>
                <w:sz w:val="18"/>
              </w:rPr>
              <w:t>Eliminado por arquitectura: no existe ninguna clave (LLM offline; la única API en vivo es pública y gratuita). No hay nada que filtrar ni costo que un tercero pueda disparar.</w:t>
            </w:r>
          </w:p>
        </w:tc>
      </w:tr>
      <w:tr>
        <w:tc>
          <w:tcPr>
            <w:tcW w:type="dxa" w:w="3168"/>
            <w:shd w:val="clear" w:color="auto" w:fill="EEF2FF"/>
          </w:tcPr>
          <w:p>
            <w:r>
              <w:rPr>
                <w:sz w:val="18"/>
              </w:rPr>
              <w:t>Uso indebido de hipótesis médicas como consejo clínico</w:t>
            </w:r>
          </w:p>
        </w:tc>
        <w:tc>
          <w:tcPr>
            <w:tcW w:type="dxa" w:w="1872"/>
            <w:shd w:val="clear" w:color="auto" w:fill="EEF2FF"/>
          </w:tcPr>
          <w:p>
            <w:r>
              <w:rPr>
                <w:sz w:val="18"/>
              </w:rPr>
              <w:t>Privacidad / uso responsable de IA</w:t>
            </w:r>
          </w:p>
        </w:tc>
        <w:tc>
          <w:tcPr>
            <w:tcW w:type="dxa" w:w="4464"/>
            <w:shd w:val="clear" w:color="auto" w:fill="EEF2FF"/>
          </w:tcPr>
          <w:p>
            <w:r>
              <w:rPr>
                <w:sz w:val="18"/>
              </w:rPr>
              <w:t>Aviso permanente en la app; el sistema nunca recomienda acciones clínicas; el flujo exige juicio humano y el escéptico muestra siempre los argumentos en contra.</w:t>
            </w:r>
          </w:p>
        </w:tc>
      </w:tr>
      <w:tr>
        <w:tc>
          <w:tcPr>
            <w:tcW w:type="dxa" w:w="3168"/>
          </w:tcPr>
          <w:p>
            <w:r>
              <w:rPr>
                <w:sz w:val="18"/>
              </w:rPr>
              <w:t>Dependencias y datos de terceros</w:t>
            </w:r>
          </w:p>
        </w:tc>
        <w:tc>
          <w:tcPr>
            <w:tcW w:type="dxa" w:w="1872"/>
          </w:tcPr>
          <w:p>
            <w:r>
              <w:rPr>
                <w:sz w:val="18"/>
              </w:rPr>
              <w:t>Cadena de suministro</w:t>
            </w:r>
          </w:p>
        </w:tc>
        <w:tc>
          <w:tcPr>
            <w:tcW w:type="dxa" w:w="4464"/>
          </w:tcPr>
          <w:p>
            <w:r>
              <w:rPr>
                <w:sz w:val="18"/>
              </w:rPr>
              <w:t>Solo dos dependencias directas (requests, streamlit); datos públicos de PubMed sin información personal; base y código versionados con historial auditable.</w:t>
            </w:r>
          </w:p>
        </w:tc>
      </w:tr>
    </w:tbl>
    <w:p>
      <w:pPr>
        <w:spacing w:after="40"/>
      </w:pPr>
    </w:p>
    <w:p>
      <w:pPr>
        <w:spacing w:before="120" w:after="40"/>
      </w:pPr>
      <w:r>
        <w:rPr>
          <w:b/>
          <w:color w:val="4338CA"/>
          <w:sz w:val="24"/>
        </w:rPr>
        <w:t>Sección 7 · IAs usadas en el co-work de desarrollo</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color="auto" w:fill="312E81"/>
          </w:tcPr>
          <w:p>
            <w:r>
              <w:rPr>
                <w:b/>
                <w:color w:val="FFFFFF"/>
                <w:sz w:val="18"/>
              </w:rPr>
              <w:t>Herramienta IA</w:t>
            </w:r>
          </w:p>
        </w:tc>
        <w:tc>
          <w:tcPr>
            <w:tcW w:type="dxa" w:w="3312"/>
            <w:shd w:val="clear" w:color="auto" w:fill="312E81"/>
          </w:tcPr>
          <w:p>
            <w:r>
              <w:rPr>
                <w:b/>
                <w:color w:val="FFFFFF"/>
                <w:sz w:val="18"/>
              </w:rPr>
              <w:t>Para qué se usó</w:t>
            </w:r>
          </w:p>
        </w:tc>
        <w:tc>
          <w:tcPr>
            <w:tcW w:type="dxa" w:w="4176"/>
            <w:shd w:val="clear" w:color="auto" w:fill="312E81"/>
          </w:tcPr>
          <w:p>
            <w:r>
              <w:rPr>
                <w:b/>
                <w:color w:val="FFFFFF"/>
                <w:sz w:val="18"/>
              </w:rPr>
              <w:t>Aportó bien / mal / sorprendió</w:t>
            </w:r>
          </w:p>
        </w:tc>
      </w:tr>
      <w:tr>
        <w:tc>
          <w:tcPr>
            <w:tcW w:type="dxa" w:w="2016"/>
          </w:tcPr>
          <w:p>
            <w:r>
              <w:rPr>
                <w:sz w:val="18"/>
              </w:rPr>
              <w:t>Claude Code (Anthropic)</w:t>
            </w:r>
          </w:p>
        </w:tc>
        <w:tc>
          <w:tcPr>
            <w:tcW w:type="dxa" w:w="3312"/>
          </w:tcPr>
          <w:p>
            <w:r>
              <w:rPr>
                <w:sz w:val="18"/>
              </w:rPr>
              <w:t>Análisis de factibilidad con verificación de fuentes, escritura de la mayor parte del código, depuración, diagramas (generados por código), redacción del informe</w:t>
            </w:r>
          </w:p>
        </w:tc>
        <w:tc>
          <w:tcPr>
            <w:tcW w:type="dxa" w:w="4176"/>
          </w:tcPr>
          <w:p>
            <w:r>
              <w:rPr>
                <w:sz w:val="18"/>
              </w:rPr>
              <w:t>Bien en general. Sorprendió: detectó la contaminación del extractor inspeccionando los datos, algo que ningún plan había previsto. Mal: la primera versión del prompt de extracción dejaba entidades en español, y confió en el filtro de fechas de la API (dejó pasar 31 papers de 2014); ambos se corrigieron contra los datos.</w:t>
            </w:r>
          </w:p>
        </w:tc>
      </w:tr>
      <w:tr>
        <w:tc>
          <w:tcPr>
            <w:tcW w:type="dxa" w:w="2016"/>
            <w:shd w:val="clear" w:color="auto" w:fill="EEF2FF"/>
          </w:tcPr>
          <w:p>
            <w:r>
              <w:rPr>
                <w:sz w:val="18"/>
              </w:rPr>
              <w:t>Qwen2.5-14B local (motor de los agentes)</w:t>
            </w:r>
          </w:p>
        </w:tc>
        <w:tc>
          <w:tcPr>
            <w:tcW w:type="dxa" w:w="3312"/>
            <w:shd w:val="clear" w:color="auto" w:fill="EEF2FF"/>
          </w:tcPr>
          <w:p>
            <w:r>
              <w:rPr>
                <w:sz w:val="18"/>
              </w:rPr>
              <w:t>Extracción de relaciones, traducción de entidades y agente escéptico dentro del propio sistema</w:t>
            </w:r>
          </w:p>
        </w:tc>
        <w:tc>
          <w:tcPr>
            <w:tcW w:type="dxa" w:w="4176"/>
            <w:shd w:val="clear" w:color="auto" w:fill="EEF2FF"/>
          </w:tcPr>
          <w:p>
            <w:r>
              <w:rPr>
                <w:sz w:val="18"/>
              </w:rPr>
              <w:t>Bien: ~2.000 abstracts en una hora a costo $0. Mal: alucinó relaciones (17% descartado por verificación). Sorprendió (para mal): llegó a citar frases reales del paper atribuyéndoles entidades que el texto nunca menciona — obligó a una segunda capa de verificación.</w:t>
            </w:r>
          </w:p>
        </w:tc>
      </w:tr>
      <w:tr>
        <w:tc>
          <w:tcPr>
            <w:tcW w:type="dxa" w:w="2016"/>
          </w:tcPr>
          <w:p>
            <w:r>
              <w:rPr>
                <w:sz w:val="18"/>
              </w:rPr>
              <w:t>Ollama</w:t>
            </w:r>
          </w:p>
        </w:tc>
        <w:tc>
          <w:tcPr>
            <w:tcW w:type="dxa" w:w="3312"/>
          </w:tcPr>
          <w:p>
            <w:r>
              <w:rPr>
                <w:sz w:val="18"/>
              </w:rPr>
              <w:t>Demo de la Parte 2: servir el mismo modelo local importado del GGUF</w:t>
            </w:r>
          </w:p>
        </w:tc>
        <w:tc>
          <w:tcPr>
            <w:tcW w:type="dxa" w:w="4176"/>
          </w:tcPr>
          <w:p>
            <w:r>
              <w:rPr>
                <w:sz w:val="18"/>
              </w:rPr>
              <w:t>Bien, con fricción instructiva: al importar el GGUF crudo perdió la plantilla de chat y el modelo divagaba; se resolvió declarándola en el Modelfile.</w:t>
            </w:r>
          </w:p>
        </w:tc>
      </w:tr>
    </w:tbl>
    <w:p>
      <w:pPr>
        <w:spacing w:after="40"/>
      </w:pPr>
    </w:p>
    <w:p>
      <w:r>
        <w:rPr>
          <w:i w:val="0"/>
        </w:rPr>
        <w:t>Reflexión: sin el co-work con IA, este proyecto no se terminaba en el plazo — el pipeline completo (corpus, extracción, grafo, hipótesis, app y deploy) se construyó y depuró en dos días de trabajo, algo que a mano habría tomado semanas; y la extracción misma de 11.182 relaciones es directamente imposible sin un LLM. Lo que la IA hizo mal también quedó documentado: el extractor local inventó relaciones usando conocimiento de su pre-entrenamiento (posterior al corte temporal del experimento), y hubo que diseñar una capa de verificación de evidencia para contenerlo. La lección del co-work fue esa: la IA multiplica la velocidad, pero la validación contra los datos reales la tiene que imponer el humano. El registro completo, escrito durante el desarrollo, está en el DEVLOG.md del repositorio.</w:t>
      </w:r>
    </w:p>
    <w:p>
      <w:r>
        <w:br w:type="page"/>
      </w:r>
    </w:p>
    <w:p>
      <w:pPr>
        <w:spacing w:before="240" w:after="120"/>
        <w:pBdr>
          <w:bottom w:val="single" w:sz="6" w:space="2" w:color="4338CA"/>
        </w:pBdr>
      </w:pPr>
      <w:r>
        <w:rPr>
          <w:b/>
          <w:color w:val="312E81"/>
          <w:sz w:val="30"/>
        </w:rPr>
        <w:t>PARTE 2 — IA local en el proyecto</w:t>
      </w:r>
    </w:p>
    <w:p>
      <w:r>
        <w:rPr>
          <w:i w:val="0"/>
        </w:rPr>
        <w:t>En NEXO la IA local no es una hipótesis: es el motor real del sistema. Las cuatro preguntas se responden desde esa experiencia, con los números medidos en este proyecto.</w:t>
      </w:r>
    </w:p>
    <w:p>
      <w:pPr>
        <w:spacing w:before="120" w:after="40"/>
      </w:pPr>
      <w:r>
        <w:rPr>
          <w:b/>
          <w:color w:val="4338CA"/>
          <w:sz w:val="24"/>
        </w:rPr>
        <w:t>1. ¿Qué papel juega un LLM/SLM local en el proyecto?</w:t>
      </w:r>
    </w:p>
    <w:p>
      <w:r>
        <w:rPr>
          <w:i w:val="0"/>
        </w:rPr>
        <w:t>Es el agente principal del pipeline, no un componente de soporte: un Qwen2.5-14B-Instruct cuantizado (9 GB), servido con llama.cpp sobre la GPU del equipo (RTX 5070 Ti), cumple tres roles — extractor de relaciones, traductor de entidades y agente escéptico. Reemplaza por completo a la API externa que se habría usado en su lugar: las ~2.000 llamadas de extracción más las pasadas del escéptico habrían costado dinero y enviado todo el corpus a un tercero. Además habilitó algo que antes no se podía: iterar el prompt sin mirar el costo (se re-procesó el corpus completo dos veces tras descubrir fallas, gratis).</w:t>
      </w:r>
    </w:p>
    <w:p>
      <w:pPr>
        <w:spacing w:before="120" w:after="40"/>
      </w:pPr>
      <w:r>
        <w:rPr>
          <w:b/>
          <w:color w:val="4338CA"/>
          <w:sz w:val="24"/>
        </w:rPr>
        <w:t>2. ¿Qué le aporta al usuario de la aplicación?</w:t>
      </w:r>
    </w:p>
    <w:p>
      <w:r>
        <w:rPr>
          <w:i w:val="0"/>
        </w:rPr>
        <w:t>Lo que el usuario ve —una app gratuita, publicada y que no puede quedarse sin crédito— existe porque el procesamiento pesado ya ocurrió offline a costo cero: no hay claves que expirar ni cuota que agotar, así que la app no degrada con el uso. Y hay un aporte de privacidad estructural: si el corpus fuera sensible (documentos internos de un laboratorio, historias clínicas), el mismo pipeline funcionaría sin que un solo texto salga de la organización — con una API en la nube eso sería un impedimento legal directo. No cambia lo que el usuario puede pedirle a la app (que es de exploración), pero cambia lo que la organización puede permitirse procesar.</w:t>
      </w:r>
    </w:p>
    <w:p>
      <w:pPr>
        <w:spacing w:before="120" w:after="40"/>
      </w:pPr>
      <w:r>
        <w:rPr>
          <w:b/>
          <w:color w:val="4338CA"/>
          <w:sz w:val="24"/>
        </w:rPr>
        <w:t>3. ¿Qué me aporta como profesional?</w:t>
      </w:r>
    </w:p>
    <w:p>
      <w:r>
        <w:rPr>
          <w:i w:val="0"/>
        </w:rPr>
        <w:t>Tres cosas concretas. Primero, acceso a datos que de otro modo no se pueden tocar: con un modelo local puedo analizar logs, historiales o documentos que por privacidad o cumplimiento no pueden salir de la organización — la clase de análisis que hoy simplemente no se hace por no poder usar una API externa. Segundo, información operativa que solo da operar el modelo propio: en este proyecto medí velocidad real (1,9 s por abstract con 4 pedidos paralelos), tasa de error real (17% de relaciones no verificables) y VRAM real (13 GB) — números que con una API son opacos y que acá permiten dimensionar cualquier proyecto futuro. Tercero, un cambio en el día a día: tener un modelo competente corriendo offline convierte tareas de procesamiento de texto (clasificar, extraer, resumir lotes grandes) en algo que se lanza sin pedir presupuesto ni permiso, como quien corre un script.</w:t>
      </w:r>
    </w:p>
    <w:p>
      <w:pPr>
        <w:spacing w:before="120" w:after="40"/>
      </w:pPr>
      <w:r>
        <w:rPr>
          <w:b/>
          <w:color w:val="4338CA"/>
          <w:sz w:val="24"/>
        </w:rPr>
        <w:t>4. ¿Qué limitaciones concretas tiene versus una API en la nube?</w:t>
      </w:r>
    </w:p>
    <w:p>
      <w:r>
        <w:rPr>
          <w:i w:val="0"/>
        </w:rPr>
        <w:t>Hardware: exige una GPU con VRAM suficiente (el primer intento, con un build de CPU, habría tardado 20-30 horas en lugar de una; y el modelo de 14B ocupa 13 GB de los 16 disponibles — un modelo mayor ya no entra). Calidad para el caso de uso: un modelo frontera comete menos errores de extracción; el local exigió dos iteraciones de prompt y dos capas de filtrado que descartaron el 17% de su salida — el costo que no se paga en dólares se paga en ingeniería de validación. Mantenimiento: la operación es propia — compilar llama.cpp con CUDA, resolver conflictos de puertos, declarar la plantilla de chat en Ollama — y actualizar de modelo implica descargar, importar y re-validar; con una API todo eso lo hace el proveedor a cambio de costo por token, dependencia y exposición de datos.</w:t>
      </w:r>
    </w:p>
    <w:p>
      <w:pPr>
        <w:spacing w:before="120" w:after="40"/>
      </w:pPr>
      <w:r>
        <w:rPr>
          <w:b/>
          <w:color w:val="4338CA"/>
          <w:sz w:val="24"/>
        </w:rPr>
        <w:t>Entregable opcional — Ollama corriendo el modelo</w:t>
      </w:r>
    </w:p>
    <w:p>
      <w:pPr>
        <w:spacing w:before="120"/>
        <w:jc w:val="center"/>
      </w:pPr>
      <w:r>
        <w:drawing>
          <wp:inline xmlns:a="http://schemas.openxmlformats.org/drawingml/2006/main" xmlns:pic="http://schemas.openxmlformats.org/drawingml/2006/picture">
            <wp:extent cx="5760720" cy="3686861"/>
            <wp:docPr id="7" name="Picture 7"/>
            <wp:cNvGraphicFramePr>
              <a:graphicFrameLocks noChangeAspect="1"/>
            </wp:cNvGraphicFramePr>
            <a:graphic>
              <a:graphicData uri="http://schemas.openxmlformats.org/drawingml/2006/picture">
                <pic:pic>
                  <pic:nvPicPr>
                    <pic:cNvPr id="0" name="captura_terminal_ollama.png"/>
                    <pic:cNvPicPr/>
                  </pic:nvPicPr>
                  <pic:blipFill>
                    <a:blip r:embed="rId15"/>
                    <a:stretch>
                      <a:fillRect/>
                    </a:stretch>
                  </pic:blipFill>
                  <pic:spPr>
                    <a:xfrm>
                      <a:off x="0" y="0"/>
                      <a:ext cx="5760720" cy="3686861"/>
                    </a:xfrm>
                    <a:prstGeom prst="rect"/>
                  </pic:spPr>
                </pic:pic>
              </a:graphicData>
            </a:graphic>
          </wp:inline>
        </w:drawing>
      </w:r>
    </w:p>
    <w:p>
      <w:pPr>
        <w:jc w:val="center"/>
      </w:pPr>
      <w:r>
        <w:rPr>
          <w:i/>
          <w:color w:val="555555"/>
          <w:sz w:val="18"/>
        </w:rPr>
        <w:t>Captura de la terminal: Ollama sirviendo el modelo (importado del GGUF local sin re-descarga) y respondiendo 100% en GPU.</w:t>
      </w:r>
    </w:p>
    <w:p>
      <w:r>
        <w:rPr>
          <w:i w:val="0"/>
        </w:rPr>
        <w:t>Qué se le preguntó y qué respondió: se le pidió que, según el patrón A-C-B de NEXO, planteara la hipótesis correspondiente a «un fármaco que aumenta la natriuresis» frente a «una enfermedad que cursa con retención de sodio». Respondió la hipótesis correcta (el fármaco podría reducir la carga hídrica y mejorar el cuadro) y agregó por su cuenta la salvedad correcta: verificar mejora clínica real y desequilibrios electrolíticos antes de tomarla en serio.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