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Manual de Usuario y Guía de Configuración - YakaGym</w:t>
      </w:r>
    </w:p>
    <w:p>
      <w:r>
        <w:t xml:space="preserve">Este manual proporciona una guía detallada para la instalación, configuración y operación del sistema de gestión YakaGym, con especial énfasis en el nuevo módulo de tesorería basado en </w:t>
      </w:r>
      <w:r>
        <w:rPr>
          <w:b/>
          <w:bCs/>
        </w:rPr>
        <w:t xml:space="preserve">Partida Doble Inmutable</w:t>
      </w:r>
      <w:r>
        <w:t xml:space="preserve">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1. Introducción y Conceptos Fundamentales</w:t>
      </w:r>
    </w:p>
    <w:p>
      <w:r>
        <w:t xml:space="preserve">YakaGym utiliza un modelo contable avanzado para garantizar la transparencia y seguridad de los fondos.</w:t>
      </w:r>
    </w:p>
    <w:p>
      <w:pPr>
        <w:pStyle w:val="Heading3"/>
      </w:pPr>
      <w:r>
        <w:t xml:space="preserve">Inmutabilidad y Partida Doble</w:t>
      </w:r>
    </w:p>
    <w:p>
      <w:pPr>
        <w:ind w:left="720"/>
      </w:pPr>
      <w:r>
        <w:t xml:space="preserve">• </w:t>
      </w:r>
      <w:r>
        <w:t xml:space="preserve">  </w:t>
      </w:r>
      <w:r>
        <w:rPr>
          <w:b/>
          <w:bCs/>
        </w:rPr>
        <w:t xml:space="preserve">Inmutabilidad</w:t>
      </w:r>
      <w:r>
        <w:t xml:space="preserve">: Una vez confirmado un movimiento (venta, pago o transferencia), no puede ser editado ni eliminado. Cualquier corrección se realiza mediante un nuevo movimiento de ajuste.</w:t>
      </w:r>
    </w:p>
    <w:p>
      <w:pPr>
        <w:ind w:left="720"/>
      </w:pPr>
      <w:r>
        <w:t xml:space="preserve">• </w:t>
      </w:r>
      <w:r>
        <w:t xml:space="preserve">  </w:t>
      </w:r>
      <w:r>
        <w:rPr>
          <w:b/>
          <w:bCs/>
        </w:rPr>
        <w:t xml:space="preserve">Partida Doble</w:t>
      </w:r>
      <w:r>
        <w:t xml:space="preserve">: Cada transacción afecta a dos cuentas (un origen y un destino), asegurando que el dinero siempre esté rastreado.</w:t>
      </w:r>
    </w:p>
    <w:p>
      <w:pPr>
        <w:pStyle w:val="Heading3"/>
      </w:pPr>
      <w:r>
        <w:t xml:space="preserve">Tipos de Cuentas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Tesorería Principal</w:t>
      </w:r>
      <w:r>
        <w:t xml:space="preserve">: La "bóveda" central del gimnasio. Solo debe existir una cuenta principal de este tipo.</w:t>
      </w:r>
    </w:p>
    <w:p>
      <w:pPr>
        <w:ind w:left="720"/>
      </w:pPr>
      <w:r>
        <w:t xml:space="preserve">2. </w:t>
      </w:r>
      <w:r>
        <w:t xml:space="preserve"> </w:t>
      </w:r>
      <w:r>
        <w:rPr>
          <w:b/>
          <w:bCs/>
        </w:rPr>
        <w:t xml:space="preserve">Cuentas Bancarias</w:t>
      </w:r>
      <w:r>
        <w:t xml:space="preserve">: Representan saldos en bancos o billeteras digitales (QR, Transferencias).</w:t>
      </w:r>
    </w:p>
    <w:p>
      <w:pPr>
        <w:ind w:left="720"/>
      </w:pPr>
      <w:r>
        <w:t xml:space="preserve">3. </w:t>
      </w:r>
      <w:r>
        <w:t xml:space="preserve"> </w:t>
      </w:r>
      <w:r>
        <w:rPr>
          <w:b/>
          <w:bCs/>
        </w:rPr>
        <w:t xml:space="preserve">Cuentas Internas (Cajas)</w:t>
      </w:r>
      <w:r>
        <w:t xml:space="preserve">: Efectivo físico en poder de un cajero específico.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2. Guía de Instalación Técnica</w:t>
      </w:r>
    </w:p>
    <w:p>
      <w:r>
        <w:t xml:space="preserve">Siga estos pasos para poner en marcha el sistema en un entorno local o servidor.</w:t>
      </w:r>
    </w:p>
    <w:p>
      <w:pPr>
        <w:pStyle w:val="Heading3"/>
      </w:pPr>
      <w:r>
        <w:t xml:space="preserve">Requisitos Previos</w:t>
      </w:r>
    </w:p>
    <w:p>
      <w:pPr>
        <w:ind w:left="720"/>
      </w:pPr>
      <w:r>
        <w:t xml:space="preserve">• </w:t>
      </w:r>
      <w:r>
        <w:t xml:space="preserve">Python 3.10 o superior.</w:t>
      </w:r>
    </w:p>
    <w:p>
      <w:pPr>
        <w:ind w:left="720"/>
      </w:pPr>
      <w:r>
        <w:t xml:space="preserve">• </w:t>
      </w:r>
      <w:r>
        <w:t xml:space="preserve">PostgreSQL (Recomendado) o SQLite para desarrollo.</w:t>
      </w:r>
    </w:p>
    <w:p>
      <w:pPr>
        <w:pStyle w:val="Heading3"/>
      </w:pPr>
      <w:r>
        <w:t xml:space="preserve">Pasos de Instalación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Clonar el repositorio</w:t>
      </w:r>
      <w:r>
        <w:t xml:space="preserve">:</w:t>
      </w:r>
    </w:p>
    <w:p>
      <w:r>
        <w:t xml:space="preserve">    ``</w:t>
      </w:r>
      <w:r>
        <w:rPr>
          <w:rFonts w:ascii="Consolas" w:cs="Consolas" w:eastAsia="Consolas" w:hAnsi="Consolas"/>
        </w:rPr>
        <w:t xml:space="preserve">bash     git clone https://github.com/tu-usuario/proyecto-yakagym.git     cd proyecto-yakagym     </w:t>
      </w:r>
      <w:r>
        <w:t xml:space="preserve">``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Crear y activar un entorno virtual</w:t>
      </w:r>
      <w:r>
        <w:t xml:space="preserve">:</w:t>
      </w:r>
    </w:p>
    <w:p>
      <w:r>
        <w:t xml:space="preserve">    ``</w:t>
      </w:r>
      <w:r>
        <w:rPr>
          <w:rFonts w:ascii="Consolas" w:cs="Consolas" w:eastAsia="Consolas" w:hAnsi="Consolas"/>
        </w:rPr>
        <w:t xml:space="preserve">bash     python -m venv .venv     source .venv/bin/activate  # En Windows: .venv\Scripts\activate     </w:t>
      </w:r>
      <w:r>
        <w:t xml:space="preserve">``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Instalar dependencias</w:t>
      </w:r>
      <w:r>
        <w:t xml:space="preserve">:</w:t>
      </w:r>
    </w:p>
    <w:p>
      <w:r>
        <w:t xml:space="preserve">    ``</w:t>
      </w:r>
      <w:r>
        <w:rPr>
          <w:rFonts w:ascii="Consolas" w:cs="Consolas" w:eastAsia="Consolas" w:hAnsi="Consolas"/>
        </w:rPr>
        <w:t xml:space="preserve">bash     pip install -r requirements.txt     </w:t>
      </w:r>
      <w:r>
        <w:t xml:space="preserve">``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Configurar variables de entorno</w:t>
      </w:r>
      <w:r>
        <w:t xml:space="preserve">:</w:t>
      </w:r>
    </w:p>
    <w:p>
      <w:r>
        <w:t xml:space="preserve">    Cree un archivo </w:t>
      </w:r>
      <w:r>
        <w:rPr>
          <w:rFonts w:ascii="Consolas" w:cs="Consolas" w:eastAsia="Consolas" w:hAnsi="Consolas"/>
        </w:rPr>
        <w:t xml:space="preserve">.env</w:t>
      </w:r>
      <w:r>
        <w:t xml:space="preserve"> en la raíz del proyecto con los datos de su base de datos (si usa PostgreSQL).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Ejecutar migraciones</w:t>
      </w:r>
      <w:r>
        <w:t xml:space="preserve">:</w:t>
      </w:r>
    </w:p>
    <w:p>
      <w:r>
        <w:t xml:space="preserve">    ``</w:t>
      </w:r>
      <w:r>
        <w:rPr>
          <w:rFonts w:ascii="Consolas" w:cs="Consolas" w:eastAsia="Consolas" w:hAnsi="Consolas"/>
        </w:rPr>
        <w:t xml:space="preserve">bash     python manage.py migrate     </w:t>
      </w:r>
      <w:r>
        <w:t xml:space="preserve">``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Crear superusuario (Administrador Inicial)</w:t>
      </w:r>
      <w:r>
        <w:t xml:space="preserve">:</w:t>
      </w:r>
    </w:p>
    <w:p>
      <w:r>
        <w:t xml:space="preserve">    ``</w:t>
      </w:r>
      <w:r>
        <w:rPr>
          <w:rFonts w:ascii="Consolas" w:cs="Consolas" w:eastAsia="Consolas" w:hAnsi="Consolas"/>
        </w:rPr>
        <w:t xml:space="preserve">bash     python manage.py createsuperuser     </w:t>
      </w:r>
      <w:r>
        <w:t xml:space="preserve">``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Iniciar el servidor</w:t>
      </w:r>
      <w:r>
        <w:t xml:space="preserve">:</w:t>
      </w:r>
    </w:p>
    <w:p>
      <w:r>
        <w:t xml:space="preserve">    ``</w:t>
      </w:r>
      <w:r>
        <w:rPr>
          <w:rFonts w:ascii="Consolas" w:cs="Consolas" w:eastAsia="Consolas" w:hAnsi="Consolas"/>
        </w:rPr>
        <w:t xml:space="preserve">bash     python manage.py runserver     </w:t>
      </w:r>
      <w:r>
        <w:t xml:space="preserve">``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3. Configuración Inicial (Administración)</w:t>
      </w:r>
    </w:p>
    <w:p>
      <w:r>
        <w:t xml:space="preserve">Una vez instalado, el Administrador debe configurar los cimientos del sistema desde el panel </w:t>
      </w:r>
      <w:r>
        <w:rPr>
          <w:rFonts w:ascii="Consolas" w:cs="Consolas" w:eastAsia="Consolas" w:hAnsi="Consolas"/>
        </w:rPr>
        <w:t xml:space="preserve">/admin</w:t>
      </w:r>
      <w:r>
        <w:t xml:space="preserve">.</w:t>
      </w:r>
    </w:p>
    <w:p>
      <w:pPr>
        <w:pStyle w:val="Heading3"/>
      </w:pPr>
      <w:r>
        <w:t xml:space="preserve">3.1. Configuración de Usuarios y Roles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Administradores</w:t>
      </w:r>
      <w:r>
        <w:t xml:space="preserve">: Usuarios con acceso total al panel de administración.</w:t>
      </w:r>
    </w:p>
    <w:p>
      <w:pPr>
        <w:ind w:left="720"/>
      </w:pPr>
      <w:r>
        <w:t xml:space="preserve">2. </w:t>
      </w:r>
      <w:r>
        <w:t xml:space="preserve"> </w:t>
      </w:r>
      <w:r>
        <w:rPr>
          <w:b/>
          <w:bCs/>
        </w:rPr>
        <w:t xml:space="preserve">Cajeros</w:t>
      </w:r>
      <w:r>
        <w:t xml:space="preserve">: Usuarios que operarán las cajas. Deben tener el estado </w:t>
      </w:r>
      <w:r>
        <w:rPr>
          <w:rFonts w:ascii="Consolas" w:cs="Consolas" w:eastAsia="Consolas" w:hAnsi="Consolas"/>
        </w:rPr>
        <w:t xml:space="preserve">Personal</w:t>
      </w:r>
      <w:r>
        <w:t xml:space="preserve"> (staff) activo.</w:t>
      </w:r>
    </w:p>
    <w:p>
      <w:pPr>
        <w:pStyle w:val="Heading3"/>
      </w:pPr>
      <w:r>
        <w:t xml:space="preserve">3.2. Configuración de Bancos</w:t>
      </w:r>
    </w:p>
    <w:p>
      <w:r>
        <w:t xml:space="preserve">Registre las entidades bancarias o plataformas de pago que utilizará el gimnasio.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Ejemplo</w:t>
      </w:r>
      <w:r>
        <w:t xml:space="preserve">:</w:t>
      </w:r>
    </w:p>
    <w:p>
      <w:r>
        <w:t xml:space="preserve">    - Código: </w:t>
      </w:r>
      <w:r>
        <w:rPr>
          <w:rFonts w:ascii="Consolas" w:cs="Consolas" w:eastAsia="Consolas" w:hAnsi="Consolas"/>
        </w:rPr>
        <w:t xml:space="preserve">BNF</w:t>
      </w:r>
      <w:r>
        <w:t xml:space="preserve">, Nombre: </w:t>
      </w:r>
      <w:r>
        <w:rPr>
          <w:rFonts w:ascii="Consolas" w:cs="Consolas" w:eastAsia="Consolas" w:hAnsi="Consolas"/>
        </w:rPr>
        <w:t xml:space="preserve">Banco Nacional de Fomento</w:t>
      </w:r>
      <w:r>
        <w:t xml:space="preserve">     - Código: </w:t>
      </w:r>
      <w:r>
        <w:rPr>
          <w:rFonts w:ascii="Consolas" w:cs="Consolas" w:eastAsia="Consolas" w:hAnsi="Consolas"/>
        </w:rPr>
        <w:t xml:space="preserve">TIGO</w:t>
      </w:r>
      <w:r>
        <w:t xml:space="preserve">, Nombre: </w:t>
      </w:r>
      <w:r>
        <w:rPr>
          <w:rFonts w:ascii="Consolas" w:cs="Consolas" w:eastAsia="Consolas" w:hAnsi="Consolas"/>
        </w:rPr>
        <w:t xml:space="preserve">Tigo Money</w:t>
      </w:r>
    </w:p>
    <w:p>
      <w:r>
        <w:rPr>
          <w:i/>
          <w:iCs/>
        </w:rPr>
        <w:t xml:space="preserve">[Image: Captura de pantalla: Listado de Bancos en Admin]</w:t>
      </w:r>
    </w:p>
    <w:p>
      <w:pPr>
        <w:pStyle w:val="Heading3"/>
      </w:pPr>
      <w:r>
        <w:t xml:space="preserve">3.3. Configuración de Cuentas (Crítico)</w:t>
      </w:r>
    </w:p>
    <w:p>
      <w:r>
        <w:t xml:space="preserve">Es obligatorio configurar los tres tipos de cuentas para que el sistema funcione: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5f5f5"/>
          </w:tcPr>
          <w:p>
            <w:r>
              <w:t xml:space="preserve">Nombre Cuenta</w:t>
            </w:r>
          </w:p>
        </w:tc>
        <w:tc>
          <w:tcPr>
            <w:shd w:fill="f5f5f5"/>
          </w:tcPr>
          <w:p>
            <w:r>
              <w:t xml:space="preserve">Tipo</w:t>
            </w:r>
          </w:p>
        </w:tc>
        <w:tc>
          <w:tcPr>
            <w:shd w:fill="f5f5f5"/>
          </w:tcPr>
          <w:p>
            <w:r>
              <w:t xml:space="preserve">Responsable</w:t>
            </w:r>
          </w:p>
        </w:tc>
        <w:tc>
          <w:tcPr>
            <w:shd w:fill="f5f5f5"/>
          </w:tcPr>
          <w:p>
            <w:r>
              <w:t xml:space="preserve">¿Es Principal?</w:t>
            </w:r>
          </w:p>
        </w:tc>
        <w:tc>
          <w:tcPr>
            <w:shd w:fill="f5f5f5"/>
          </w:tcPr>
          <w:p>
            <w:r>
              <w:t xml:space="preserve">Propósito</w:t>
            </w:r>
          </w:p>
        </w:tc>
      </w:tr>
      <w:tr>
        <w:tc>
          <w:p>
            <w:r>
              <w:rPr>
                <w:b/>
                <w:bCs/>
              </w:rPr>
              <w:t xml:space="preserve">Bóveda Central</w:t>
            </w:r>
          </w:p>
        </w:tc>
        <w:tc>
          <w:p>
            <w:r>
              <w:t xml:space="preserve">Tesorería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Sí</w:t>
            </w:r>
          </w:p>
        </w:tc>
        <w:tc>
          <w:p>
            <w:r>
              <w:t xml:space="preserve">De aquí sale el fondo inicial de las cajas.</w:t>
            </w:r>
          </w:p>
        </w:tc>
      </w:tr>
      <w:tr>
        <w:tc>
          <w:p>
            <w:r>
              <w:rPr>
                <w:b/>
                <w:bCs/>
              </w:rPr>
              <w:t xml:space="preserve">Cuenta Corriente</w:t>
            </w:r>
          </w:p>
        </w:tc>
        <w:tc>
          <w:p>
            <w:r>
              <w:t xml:space="preserve">Bancaria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Para recibir transferencias y QR.</w:t>
            </w:r>
          </w:p>
        </w:tc>
      </w:tr>
      <w:tr>
        <w:tc>
          <w:p>
            <w:r>
              <w:rPr>
                <w:b/>
                <w:bCs/>
              </w:rPr>
              <w:t xml:space="preserve">Caja Juan Pérez</w:t>
            </w:r>
          </w:p>
        </w:tc>
        <w:tc>
          <w:p>
            <w:r>
              <w:t xml:space="preserve">Interna</w:t>
            </w:r>
          </w:p>
        </w:tc>
        <w:tc>
          <w:p>
            <w:r>
              <w:t xml:space="preserve">Juan Pérez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Efectivo físico manejado por el cajero Juan.</w:t>
            </w:r>
          </w:p>
        </w:tc>
      </w:tr>
    </w:tbl>
    <w:p>
      <w:pPr>
        <w:pStyle w:val="Heading3"/>
      </w:pPr>
      <w:r>
        <w:t xml:space="preserve">3.4. Configuración de Métodos de Pago</w:t>
      </w:r>
    </w:p>
    <w:p>
      <w:r>
        <w:t xml:space="preserve">Debe definir a qué cuenta bancaria irá el dinero de cada método de pago al liquidar la caja.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QR</w:t>
      </w:r>
      <w:r>
        <w:t xml:space="preserve"> -&gt; Cuenta Bancaria BNB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Transferencia</w:t>
      </w:r>
      <w:r>
        <w:t xml:space="preserve"> -&gt; Cuenta Bancaria BNB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Efectivo</w:t>
      </w:r>
      <w:r>
        <w:t xml:space="preserve"> -&gt; (Se queda en la cuenta interna hasta ser transferido)</w:t>
      </w:r>
    </w:p>
    <w:p>
      <w:r>
        <w:rPr>
          <w:i/>
          <w:iCs/>
        </w:rPr>
        <w:t xml:space="preserve">[Image: Captura de pantalla: Configuración de Métodos de Pago]</w:t>
      </w:r>
    </w:p>
    <w:p>
      <w:pPr>
        <w:pStyle w:val="Heading3"/>
      </w:pPr>
      <w:r>
        <w:t xml:space="preserve">3.5. Configuración de Disciplinas y Precios</w:t>
      </w:r>
    </w:p>
    <w:p>
      <w:r>
        <w:t xml:space="preserve">Defina las actividades que ofrece el gimnasio y sus respectivos costos según el periodo.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Ejemplo</w:t>
      </w:r>
      <w:r>
        <w:t xml:space="preserve">:</w:t>
      </w:r>
    </w:p>
    <w:p>
      <w:r>
        <w:t xml:space="preserve">    - Nombre: </w:t>
      </w:r>
      <w:r>
        <w:rPr>
          <w:rFonts w:ascii="Consolas" w:cs="Consolas" w:eastAsia="Consolas" w:hAnsi="Consolas"/>
        </w:rPr>
        <w:t xml:space="preserve">GIMNASIO + CARDIO</w:t>
      </w:r>
      <w:r>
        <w:t xml:space="preserve">     - Precio Diario: </w:t>
      </w:r>
      <w:r>
        <w:rPr>
          <w:rFonts w:ascii="Consolas" w:cs="Consolas" w:eastAsia="Consolas" w:hAnsi="Consolas"/>
        </w:rPr>
        <w:t xml:space="preserve">15.000</w:t>
      </w:r>
      <w:r>
        <w:t xml:space="preserve">     - Precio Semanal: </w:t>
      </w:r>
      <w:r>
        <w:rPr>
          <w:rFonts w:ascii="Consolas" w:cs="Consolas" w:eastAsia="Consolas" w:hAnsi="Consolas"/>
        </w:rPr>
        <w:t xml:space="preserve">50.000</w:t>
      </w:r>
      <w:r>
        <w:t xml:space="preserve">     - Precio Quincenal: </w:t>
      </w:r>
      <w:r>
        <w:rPr>
          <w:rFonts w:ascii="Consolas" w:cs="Consolas" w:eastAsia="Consolas" w:hAnsi="Consolas"/>
        </w:rPr>
        <w:t xml:space="preserve">90.000</w:t>
      </w:r>
      <w:r>
        <w:t xml:space="preserve">     - Precio Mensual: </w:t>
      </w:r>
      <w:r>
        <w:rPr>
          <w:rFonts w:ascii="Consolas" w:cs="Consolas" w:eastAsia="Consolas" w:hAnsi="Consolas"/>
        </w:rPr>
        <w:t xml:space="preserve">160.000</w:t>
      </w:r>
    </w:p>
    <w:p>
      <w:r>
        <w:rPr>
          <w:i/>
          <w:iCs/>
        </w:rPr>
        <w:t xml:space="preserve">[Image: Captura de pantalla: Configuración de Disciplinas]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4. Operación Diaria de Caja (Cajeros)</w:t>
      </w:r>
    </w:p>
    <w:p>
      <w:r>
        <w:t xml:space="preserve">Este es el flujo que deben seguir los cajeros en cada turno.</w:t>
      </w:r>
    </w:p>
    <w:p>
      <w:pPr>
        <w:pStyle w:val="Heading3"/>
      </w:pPr>
      <w:r>
        <w:t xml:space="preserve">4.1. Apertura de Caja</w:t>
      </w:r>
    </w:p>
    <w:p>
      <w:r>
        <w:t xml:space="preserve">Al iniciar el turno, el cajero debe abrir su caja:</w:t>
      </w:r>
    </w:p>
    <w:p>
      <w:pPr>
        <w:ind w:left="720"/>
      </w:pPr>
      <w:r>
        <w:t xml:space="preserve">1. </w:t>
      </w:r>
      <w:r>
        <w:t xml:space="preserve"> Vaya a </w:t>
      </w:r>
      <w:r>
        <w:rPr>
          <w:b/>
          <w:bCs/>
        </w:rPr>
        <w:t xml:space="preserve">Tesorería &gt; Cajas &gt; Añadir</w:t>
      </w:r>
      <w:r>
        <w:t xml:space="preserve">.</w:t>
      </w:r>
    </w:p>
    <w:p>
      <w:pPr>
        <w:ind w:left="720"/>
      </w:pPr>
      <w:r>
        <w:t xml:space="preserve">2. </w:t>
      </w:r>
      <w:r>
        <w:t xml:space="preserve"> El sistema asignará automáticamente su </w:t>
      </w:r>
      <w:r>
        <w:rPr>
          <w:b/>
          <w:bCs/>
        </w:rPr>
        <w:t xml:space="preserve">Cuenta Interna</w:t>
      </w:r>
      <w:r>
        <w:t xml:space="preserve">.</w:t>
      </w:r>
    </w:p>
    <w:p>
      <w:pPr>
        <w:ind w:left="720"/>
      </w:pPr>
      <w:r>
        <w:t xml:space="preserve">3. </w:t>
      </w:r>
      <w:r>
        <w:t xml:space="preserve"> Ingrese el </w:t>
      </w:r>
      <w:r>
        <w:rPr>
          <w:b/>
          <w:bCs/>
        </w:rPr>
        <w:t xml:space="preserve">Monto Inicial</w:t>
      </w:r>
      <w:r>
        <w:t xml:space="preserve"> (el efectivo que recibe en físico).</w:t>
      </w:r>
    </w:p>
    <w:p>
      <w:r>
        <w:t xml:space="preserve">    - </w:t>
      </w:r>
      <w:r>
        <w:rPr>
          <w:i/>
          <w:iCs/>
        </w:rPr>
        <w:t xml:space="preserve">Nota</w:t>
      </w:r>
      <w:r>
        <w:t xml:space="preserve">: Este monto se restará automáticamente de la </w:t>
      </w:r>
      <w:r>
        <w:rPr>
          <w:b/>
          <w:bCs/>
        </w:rPr>
        <w:t xml:space="preserve">Tesorería Principal</w:t>
      </w:r>
      <w:r>
        <w:t xml:space="preserve">.</w:t>
      </w:r>
    </w:p>
    <w:p>
      <w:pPr>
        <w:pStyle w:val="Heading3"/>
      </w:pPr>
      <w:r>
        <w:t xml:space="preserve">4.2. Registro de Pagos (Membresías)</w:t>
      </w:r>
    </w:p>
    <w:p>
      <w:r>
        <w:t xml:space="preserve">Al vender una membresía:</w:t>
      </w:r>
    </w:p>
    <w:p>
      <w:pPr>
        <w:ind w:left="720"/>
      </w:pPr>
      <w:r>
        <w:t xml:space="preserve">1. </w:t>
      </w:r>
      <w:r>
        <w:t xml:space="preserve"> Seleccione el Miembro y la Disciplina.</w:t>
      </w:r>
    </w:p>
    <w:p>
      <w:pPr>
        <w:ind w:left="720"/>
      </w:pPr>
      <w:r>
        <w:t xml:space="preserve">2. </w:t>
      </w:r>
      <w:r>
        <w:t xml:space="preserve"> Elija el </w:t>
      </w:r>
      <w:r>
        <w:rPr>
          <w:b/>
          <w:bCs/>
        </w:rPr>
        <w:t xml:space="preserve">Método de Pago</w:t>
      </w:r>
      <w:r>
        <w:t xml:space="preserve"> (Efectivo, QR, etc.).</w:t>
      </w:r>
    </w:p>
    <w:p>
      <w:pPr>
        <w:ind w:left="720"/>
      </w:pPr>
      <w:r>
        <w:t xml:space="preserve">3. </w:t>
      </w:r>
      <w:r>
        <w:t xml:space="preserve"> El sistema generará una </w:t>
      </w:r>
      <w:r>
        <w:rPr>
          <w:b/>
          <w:bCs/>
        </w:rPr>
        <w:t xml:space="preserve">Transacción</w:t>
      </w:r>
      <w:r>
        <w:t xml:space="preserve"> inmutable vinculada a su caja actual.</w:t>
      </w:r>
    </w:p>
    <w:p>
      <w:pPr>
        <w:pStyle w:val="Heading3"/>
      </w:pPr>
      <w:r>
        <w:t xml:space="preserve">4.3. Cierre de Caja (Arqueo)</w:t>
      </w:r>
    </w:p>
    <w:p>
      <w:r>
        <w:t xml:space="preserve">Al finalizar el turno:</w:t>
      </w:r>
    </w:p>
    <w:p>
      <w:pPr>
        <w:ind w:left="720"/>
      </w:pPr>
      <w:r>
        <w:t xml:space="preserve">1. </w:t>
      </w:r>
      <w:r>
        <w:t xml:space="preserve"> Entre a su caja abierta y haga clic en </w:t>
      </w:r>
      <w:r>
        <w:rPr>
          <w:b/>
          <w:bCs/>
        </w:rPr>
        <w:t xml:space="preserve">Cerrar Caja</w:t>
      </w:r>
      <w:r>
        <w:t xml:space="preserve">.</w:t>
      </w:r>
    </w:p>
    <w:p>
      <w:pPr>
        <w:ind w:left="720"/>
      </w:pPr>
      <w:r>
        <w:t xml:space="preserve">2. </w:t>
      </w:r>
      <w:r>
        <w:t xml:space="preserve"> </w:t>
      </w:r>
      <w:r>
        <w:rPr>
          <w:b/>
          <w:bCs/>
        </w:rPr>
        <w:t xml:space="preserve">Monto Final Real</w:t>
      </w:r>
      <w:r>
        <w:t xml:space="preserve">: Cuente físicamente el efectivo en su poder e ingrese el total.</w:t>
      </w:r>
    </w:p>
    <w:p>
      <w:pPr>
        <w:ind w:left="720"/>
      </w:pPr>
      <w:r>
        <w:t xml:space="preserve">3. </w:t>
      </w:r>
      <w:r>
        <w:t xml:space="preserve"> El sistema calculará el </w:t>
      </w:r>
      <w:r>
        <w:rPr>
          <w:b/>
          <w:bCs/>
        </w:rPr>
        <w:t xml:space="preserve">Monto Teórico</w:t>
      </w:r>
      <w:r>
        <w:t xml:space="preserve"> (lo que debería haber) y mostrará la </w:t>
      </w:r>
      <w:r>
        <w:rPr>
          <w:b/>
          <w:bCs/>
        </w:rPr>
        <w:t xml:space="preserve">Diferencia</w:t>
      </w:r>
      <w:r>
        <w:t xml:space="preserve"> (sobrante o faltante).</w:t>
      </w:r>
    </w:p>
    <w:p>
      <w:pPr>
        <w:pStyle w:val="Heading3"/>
      </w:pPr>
      <w:r>
        <w:t xml:space="preserve">4.4. Contabilización (Liquidación)</w:t>
      </w:r>
    </w:p>
    <w:p>
      <w:r>
        <w:t xml:space="preserve">Una vez cerrada la caja, el administrador (o el cajero si tiene permiso) debe </w:t>
      </w:r>
      <w:r>
        <w:rPr>
          <w:b/>
          <w:bCs/>
        </w:rPr>
        <w:t xml:space="preserve">Contabilizar</w:t>
      </w:r>
      <w:r>
        <w:t xml:space="preserve">:</w:t>
      </w:r>
    </w:p>
    <w:p>
      <w:pPr>
        <w:ind w:left="720"/>
      </w:pPr>
      <w:r>
        <w:t xml:space="preserve">• </w:t>
      </w:r>
      <w:r>
        <w:t xml:space="preserve">Esto genera solicitudes de transferencia automáticas para mover el dinero de los métodos digitales (QR, Tarjeta) a las cuentas bancarias configuradas en el paso 3.4.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5. Gestión de Tesorería y Fondos</w:t>
      </w:r>
    </w:p>
    <w:p>
      <w:pPr>
        <w:pStyle w:val="Heading3"/>
      </w:pPr>
      <w:r>
        <w:t xml:space="preserve">Transferencias entre Cuentas</w:t>
      </w:r>
    </w:p>
    <w:p>
      <w:r>
        <w:t xml:space="preserve">Para mover dinero entre la Bóveda y el Banco, o entre Cajas:</w:t>
      </w:r>
    </w:p>
    <w:p>
      <w:pPr>
        <w:ind w:left="720"/>
      </w:pPr>
      <w:r>
        <w:t xml:space="preserve">1. </w:t>
      </w:r>
      <w:r>
        <w:t xml:space="preserve"> Cree una </w:t>
      </w:r>
      <w:r>
        <w:rPr>
          <w:b/>
          <w:bCs/>
        </w:rPr>
        <w:t xml:space="preserve">Transferencia</w:t>
      </w:r>
      <w:r>
        <w:t xml:space="preserve"> indicando Origen, Destino y Monto.</w:t>
      </w:r>
    </w:p>
    <w:p>
      <w:pPr>
        <w:ind w:left="720"/>
      </w:pPr>
      <w:r>
        <w:t xml:space="preserve">2. </w:t>
      </w:r>
      <w:r>
        <w:t xml:space="preserve"> La transferencia queda en estado </w:t>
      </w:r>
      <w:r>
        <w:rPr>
          <w:b/>
          <w:bCs/>
        </w:rPr>
        <w:t xml:space="preserve">Pendiente</w:t>
      </w:r>
      <w:r>
        <w:t xml:space="preserve">.</w:t>
      </w:r>
    </w:p>
    <w:p>
      <w:pPr>
        <w:ind w:left="720"/>
      </w:pPr>
      <w:r>
        <w:t xml:space="preserve">3. </w:t>
      </w:r>
      <w:r>
        <w:t xml:space="preserve"> Un Administrador debe </w:t>
      </w:r>
      <w:r>
        <w:rPr>
          <w:b/>
          <w:bCs/>
        </w:rPr>
        <w:t xml:space="preserve">Autorizar</w:t>
      </w:r>
      <w:r>
        <w:t xml:space="preserve"> la transferencia para que el dinero se mueva contablemente.</w:t>
      </w:r>
    </w:p>
    <w:p>
      <w:pPr>
        <w:pStyle w:val="Heading3"/>
      </w:pPr>
      <w:r>
        <w:t xml:space="preserve">Reportes de Auditoría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Reporte de Saldos Globales</w:t>
      </w:r>
      <w:r>
        <w:t xml:space="preserve">: Muestra cuánto dinero hay en cada cuenta en tiempo real.</w:t>
      </w:r>
    </w:p>
    <w:p>
      <w:pPr>
        <w:ind w:left="720"/>
      </w:pPr>
      <w:r>
        <w:t xml:space="preserve">• </w:t>
      </w:r>
      <w:r>
        <w:rPr>
          <w:b/>
          <w:bCs/>
        </w:rPr>
        <w:t xml:space="preserve">Extracto de Movimientos</w:t>
      </w:r>
      <w:r>
        <w:t xml:space="preserve">: Historial detallado de cada entrada y salida de una cuenta específica.</w:t>
      </w:r>
    </w:p>
    <w:p>
      <w:pPr>
        <w:pBdr>
          <w:bottom w:val="single" w:color="cccccc" w:sz="6"/>
        </w:pBdr>
      </w:pPr>
      <w:r/>
    </w:p>
    <w:p>
      <w:pPr>
        <w:pStyle w:val="Heading2"/>
      </w:pPr>
      <w:r>
        <w:t xml:space="preserve">6. Buenas Prácticas y Seguridad</w:t>
      </w:r>
    </w:p>
    <w:p>
      <w:pPr>
        <w:ind w:left="720"/>
      </w:pPr>
      <w:r>
        <w:t xml:space="preserve">1. </w:t>
      </w:r>
      <w:r>
        <w:t xml:space="preserve"> </w:t>
      </w:r>
      <w:r>
        <w:rPr>
          <w:b/>
          <w:bCs/>
        </w:rPr>
        <w:t xml:space="preserve">Cierres Diarios</w:t>
      </w:r>
      <w:r>
        <w:t xml:space="preserve">: No deje cajas abiertas por más de 24 horas.</w:t>
      </w:r>
    </w:p>
    <w:p>
      <w:pPr>
        <w:ind w:left="720"/>
      </w:pPr>
      <w:r>
        <w:t xml:space="preserve">2. </w:t>
      </w:r>
      <w:r>
        <w:t xml:space="preserve"> </w:t>
      </w:r>
      <w:r>
        <w:rPr>
          <w:b/>
          <w:bCs/>
        </w:rPr>
        <w:t xml:space="preserve">Verificación de QR</w:t>
      </w:r>
      <w:r>
        <w:t xml:space="preserve">: Siempre verifique en la app de su banco que el dinero ingresó antes de confirmar la transacción en YakaGym.</w:t>
      </w:r>
    </w:p>
    <w:p>
      <w:pPr>
        <w:ind w:left="720"/>
      </w:pPr>
      <w:r>
        <w:t xml:space="preserve">3. </w:t>
      </w:r>
      <w:r>
        <w:t xml:space="preserve"> </w:t>
      </w:r>
      <w:r>
        <w:rPr>
          <w:b/>
          <w:bCs/>
        </w:rPr>
        <w:t xml:space="preserve">Uso de Referencias</w:t>
      </w:r>
      <w:r>
        <w:t xml:space="preserve">: Ingrese siempre el número de comprobante en pagos digitales para facilitar auditorías futuras.</w:t>
      </w:r>
    </w:p>
    <w:p>
      <w:pPr>
        <w:pBdr>
          <w:bottom w:val="single" w:color="cccccc" w:sz="6"/>
        </w:pBdr>
      </w:pPr>
      <w:r/>
    </w:p>
    <w:p>
      <w:r>
        <w:rPr>
          <w:i/>
          <w:iCs/>
        </w:rPr>
        <w:t xml:space="preserve">Manual generado para YakaGym v2.0 - Junio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2026-06-09T23:29:43.457Z</dcterms:created>
  <dcterms:modified xsi:type="dcterms:W3CDTF">2026-06-09T23:29:43.457Z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