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199AC" w14:textId="77777777" w:rsidR="00C45D27" w:rsidRPr="00F13C10" w:rsidRDefault="00C45D27" w:rsidP="00C45D27">
      <w:pPr>
        <w:pStyle w:val="Overskrift3"/>
      </w:pPr>
      <w:bookmarkStart w:id="0" w:name="_Toc167431733"/>
      <w:r w:rsidRPr="00F13C10">
        <w:t xml:space="preserve">Projekt </w:t>
      </w:r>
      <w:proofErr w:type="spellStart"/>
      <w:r w:rsidRPr="00F13C10">
        <w:t>constraints</w:t>
      </w:r>
      <w:proofErr w:type="spellEnd"/>
      <w:r w:rsidRPr="00F13C10">
        <w:t xml:space="preserve"> i relation til projektledelse</w:t>
      </w:r>
      <w:bookmarkEnd w:id="0"/>
    </w:p>
    <w:p w14:paraId="56C6C8CC" w14:textId="77777777" w:rsidR="008E4453" w:rsidRDefault="00C45D27" w:rsidP="008E4453">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t xml:space="preserve">I relation til projektledelse er det vigtigt at indtænke de fire forskellige projekt </w:t>
      </w:r>
      <w:proofErr w:type="spellStart"/>
      <w:r>
        <w:rPr>
          <w:rFonts w:ascii="Arial" w:hAnsi="Arial" w:cs="Arial"/>
          <w:color w:val="000000"/>
          <w:sz w:val="22"/>
          <w:szCs w:val="22"/>
        </w:rPr>
        <w:t>constraints</w:t>
      </w:r>
      <w:proofErr w:type="spellEnd"/>
      <w:r>
        <w:rPr>
          <w:rFonts w:ascii="Arial" w:hAnsi="Arial" w:cs="Arial"/>
          <w:color w:val="000000"/>
          <w:sz w:val="22"/>
          <w:szCs w:val="22"/>
        </w:rPr>
        <w:t xml:space="preserve">: </w:t>
      </w:r>
    </w:p>
    <w:p w14:paraId="7903D07C" w14:textId="4391807A" w:rsidR="008E4453" w:rsidRDefault="0011364A" w:rsidP="008E445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K</w:t>
      </w:r>
      <w:r w:rsidR="00C45D27">
        <w:rPr>
          <w:rFonts w:ascii="Arial" w:hAnsi="Arial" w:cs="Arial"/>
          <w:color w:val="000000"/>
          <w:sz w:val="22"/>
          <w:szCs w:val="22"/>
        </w:rPr>
        <w:t>valitet (</w:t>
      </w:r>
      <w:proofErr w:type="spellStart"/>
      <w:r w:rsidR="00C45D27">
        <w:rPr>
          <w:rFonts w:ascii="Arial" w:hAnsi="Arial" w:cs="Arial"/>
          <w:color w:val="000000"/>
          <w:sz w:val="22"/>
          <w:szCs w:val="22"/>
        </w:rPr>
        <w:t>Quality</w:t>
      </w:r>
      <w:proofErr w:type="spellEnd"/>
      <w:r w:rsidR="00C45D27">
        <w:rPr>
          <w:rFonts w:ascii="Arial" w:hAnsi="Arial" w:cs="Arial"/>
          <w:color w:val="000000"/>
          <w:sz w:val="22"/>
          <w:szCs w:val="22"/>
        </w:rPr>
        <w:t>)</w:t>
      </w:r>
    </w:p>
    <w:p w14:paraId="188B3F1C" w14:textId="61EC3C39" w:rsidR="008E4453" w:rsidRDefault="0011364A" w:rsidP="008E445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T</w:t>
      </w:r>
      <w:r w:rsidR="00C45D27">
        <w:rPr>
          <w:rFonts w:ascii="Arial" w:hAnsi="Arial" w:cs="Arial"/>
          <w:color w:val="000000"/>
          <w:sz w:val="22"/>
          <w:szCs w:val="22"/>
        </w:rPr>
        <w:t>id (Time)</w:t>
      </w:r>
    </w:p>
    <w:p w14:paraId="49372444" w14:textId="329F41D2" w:rsidR="008E4453" w:rsidRDefault="0011364A" w:rsidP="008E445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Ø</w:t>
      </w:r>
      <w:r w:rsidR="00C45D27">
        <w:rPr>
          <w:rFonts w:ascii="Arial" w:hAnsi="Arial" w:cs="Arial"/>
          <w:color w:val="000000"/>
          <w:sz w:val="22"/>
          <w:szCs w:val="22"/>
        </w:rPr>
        <w:t>konomi (</w:t>
      </w:r>
      <w:proofErr w:type="spellStart"/>
      <w:r w:rsidR="00C45D27">
        <w:rPr>
          <w:rFonts w:ascii="Arial" w:hAnsi="Arial" w:cs="Arial"/>
          <w:color w:val="000000"/>
          <w:sz w:val="22"/>
          <w:szCs w:val="22"/>
        </w:rPr>
        <w:t>Economy</w:t>
      </w:r>
      <w:proofErr w:type="spellEnd"/>
      <w:r w:rsidR="00C45D27">
        <w:rPr>
          <w:rFonts w:ascii="Arial" w:hAnsi="Arial" w:cs="Arial"/>
          <w:color w:val="000000"/>
          <w:sz w:val="22"/>
          <w:szCs w:val="22"/>
        </w:rPr>
        <w:t>)</w:t>
      </w:r>
    </w:p>
    <w:p w14:paraId="48210BC5" w14:textId="5AE0CA64" w:rsidR="00C45D27" w:rsidRDefault="0011364A" w:rsidP="008E445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M</w:t>
      </w:r>
      <w:r w:rsidR="00C45D27">
        <w:rPr>
          <w:rFonts w:ascii="Arial" w:hAnsi="Arial" w:cs="Arial"/>
          <w:color w:val="000000"/>
          <w:sz w:val="22"/>
          <w:szCs w:val="22"/>
        </w:rPr>
        <w:t>ål (</w:t>
      </w:r>
      <w:proofErr w:type="spellStart"/>
      <w:r w:rsidR="00C45D27">
        <w:rPr>
          <w:rFonts w:ascii="Arial" w:hAnsi="Arial" w:cs="Arial"/>
          <w:color w:val="000000"/>
          <w:sz w:val="22"/>
          <w:szCs w:val="22"/>
        </w:rPr>
        <w:t>Goals</w:t>
      </w:r>
      <w:proofErr w:type="spellEnd"/>
      <w:r w:rsidR="00C45D27">
        <w:rPr>
          <w:rFonts w:ascii="Arial" w:hAnsi="Arial" w:cs="Arial"/>
          <w:color w:val="000000"/>
          <w:sz w:val="22"/>
          <w:szCs w:val="22"/>
        </w:rPr>
        <w:t>)</w:t>
      </w:r>
    </w:p>
    <w:p w14:paraId="7C0AD3B5" w14:textId="77777777" w:rsidR="008E4453" w:rsidRDefault="008E4453" w:rsidP="00C45D27">
      <w:pPr>
        <w:pStyle w:val="NormalWeb"/>
        <w:spacing w:before="0" w:beforeAutospacing="0" w:after="0" w:afterAutospacing="0"/>
        <w:rPr>
          <w:rFonts w:ascii="Arial" w:hAnsi="Arial" w:cs="Arial"/>
          <w:color w:val="000000"/>
          <w:sz w:val="22"/>
          <w:szCs w:val="22"/>
        </w:rPr>
      </w:pPr>
    </w:p>
    <w:p w14:paraId="536FEDE2" w14:textId="77777777" w:rsidR="00C57053" w:rsidRDefault="0011364A" w:rsidP="00C5705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idet alle fire aspekter influerer hinanden. Derfor bør der være nogle overvejelser og forventnings-afstemninger med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stakeholder forud for projektets start – hvad vægtes højest? Hvad er fastlåst? </w:t>
      </w:r>
    </w:p>
    <w:p w14:paraId="42B6F304" w14:textId="55345363" w:rsidR="0016662A" w:rsidRDefault="0011364A" w:rsidP="00C5705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Og hvad er målet?</w:t>
      </w:r>
      <w:r w:rsidR="0016662A">
        <w:rPr>
          <w:rFonts w:ascii="Arial" w:hAnsi="Arial" w:cs="Arial"/>
          <w:color w:val="000000"/>
          <w:sz w:val="22"/>
          <w:szCs w:val="22"/>
        </w:rPr>
        <w:br/>
      </w:r>
    </w:p>
    <w:p w14:paraId="5A425949" w14:textId="05C75463" w:rsidR="00292F9B" w:rsidRDefault="0016662A" w:rsidP="00C57053">
      <w:pPr>
        <w:pStyle w:val="NormalWeb"/>
        <w:spacing w:before="0" w:beforeAutospacing="0" w:after="240" w:afterAutospacing="0"/>
        <w:jc w:val="both"/>
        <w:rPr>
          <w:rFonts w:ascii="Arial" w:hAnsi="Arial" w:cs="Arial"/>
          <w:color w:val="000000"/>
          <w:sz w:val="22"/>
          <w:szCs w:val="22"/>
        </w:rPr>
      </w:pPr>
      <w:r>
        <w:rPr>
          <w:rFonts w:ascii="Arial" w:hAnsi="Arial" w:cs="Arial"/>
          <w:color w:val="000000"/>
          <w:sz w:val="22"/>
          <w:szCs w:val="22"/>
        </w:rPr>
        <w:t>I vores projekt er det tidsmæssi</w:t>
      </w:r>
      <w:r w:rsidR="000C3C88">
        <w:rPr>
          <w:rFonts w:ascii="Arial" w:hAnsi="Arial" w:cs="Arial"/>
          <w:color w:val="000000"/>
          <w:sz w:val="22"/>
          <w:szCs w:val="22"/>
        </w:rPr>
        <w:t>ge aspekt fastlåst, idet projektperioden ikke er til forhandling. Det er noget, der kan komme til at have indflydelse på kvaliteten af det færdige system</w:t>
      </w:r>
      <w:r w:rsidR="00292F9B">
        <w:rPr>
          <w:rFonts w:ascii="Arial" w:hAnsi="Arial" w:cs="Arial"/>
          <w:color w:val="000000"/>
          <w:sz w:val="22"/>
          <w:szCs w:val="22"/>
        </w:rPr>
        <w:t>. Hvis ikke alle kravsspecifikationer er opfyldt til projektets deadline, er målet ikke nået. Derfor kan det være nødvendigt at slække på kvaliteten</w:t>
      </w:r>
      <w:r w:rsidR="000868AB">
        <w:rPr>
          <w:rFonts w:ascii="Arial" w:hAnsi="Arial" w:cs="Arial"/>
          <w:color w:val="000000"/>
          <w:sz w:val="22"/>
          <w:szCs w:val="22"/>
        </w:rPr>
        <w:t>, for at nå målet</w:t>
      </w:r>
      <w:r w:rsidR="00292F9B">
        <w:rPr>
          <w:rFonts w:ascii="Arial" w:hAnsi="Arial" w:cs="Arial"/>
          <w:color w:val="000000"/>
          <w:sz w:val="22"/>
          <w:szCs w:val="22"/>
        </w:rPr>
        <w:t xml:space="preserve">. </w:t>
      </w:r>
    </w:p>
    <w:p w14:paraId="28001A98" w14:textId="2081AB69" w:rsidR="00292F9B" w:rsidRDefault="00292F9B" w:rsidP="00C57053">
      <w:pPr>
        <w:pStyle w:val="NormalWeb"/>
        <w:spacing w:before="0" w:beforeAutospacing="0" w:after="240" w:afterAutospacing="0"/>
        <w:jc w:val="both"/>
        <w:rPr>
          <w:rFonts w:ascii="Arial" w:hAnsi="Arial" w:cs="Arial"/>
          <w:color w:val="000000"/>
          <w:sz w:val="22"/>
          <w:szCs w:val="22"/>
        </w:rPr>
      </w:pPr>
      <w:r>
        <w:rPr>
          <w:rFonts w:ascii="Arial" w:hAnsi="Arial" w:cs="Arial"/>
          <w:color w:val="000000"/>
          <w:sz w:val="22"/>
          <w:szCs w:val="22"/>
        </w:rPr>
        <w:t>Hvad angår økonomistyringen, er det ikke noget</w:t>
      </w:r>
      <w:r w:rsidR="00C57053">
        <w:rPr>
          <w:rFonts w:ascii="Arial" w:hAnsi="Arial" w:cs="Arial"/>
          <w:color w:val="000000"/>
          <w:sz w:val="22"/>
          <w:szCs w:val="22"/>
        </w:rPr>
        <w:t>,</w:t>
      </w:r>
      <w:r>
        <w:rPr>
          <w:rFonts w:ascii="Arial" w:hAnsi="Arial" w:cs="Arial"/>
          <w:color w:val="000000"/>
          <w:sz w:val="22"/>
          <w:szCs w:val="22"/>
        </w:rPr>
        <w:t xml:space="preserve"> vi som projektgruppe har nogen indflydelse på </w:t>
      </w:r>
      <w:r w:rsidR="00C57053">
        <w:rPr>
          <w:rFonts w:ascii="Arial" w:hAnsi="Arial" w:cs="Arial"/>
          <w:color w:val="000000"/>
          <w:sz w:val="22"/>
          <w:szCs w:val="22"/>
        </w:rPr>
        <w:t>og vi tænker derfor ikke særlig meget over det</w:t>
      </w:r>
      <w:r>
        <w:rPr>
          <w:rFonts w:ascii="Arial" w:hAnsi="Arial" w:cs="Arial"/>
          <w:color w:val="000000"/>
          <w:sz w:val="22"/>
          <w:szCs w:val="22"/>
        </w:rPr>
        <w:t>. Key stakeholder har stillet lokaler og personale til rådighed gennem hele processen</w:t>
      </w:r>
      <w:r w:rsidR="00C57053">
        <w:rPr>
          <w:rFonts w:ascii="Arial" w:hAnsi="Arial" w:cs="Arial"/>
          <w:color w:val="000000"/>
          <w:sz w:val="22"/>
          <w:szCs w:val="22"/>
        </w:rPr>
        <w:t xml:space="preserve">, og kravspecifikationerne er låst (kravsspecifikationerne i casen skal være opfyldt). </w:t>
      </w:r>
      <w:r w:rsidR="000868AB">
        <w:rPr>
          <w:rFonts w:ascii="Arial" w:hAnsi="Arial" w:cs="Arial"/>
          <w:color w:val="000000"/>
          <w:sz w:val="22"/>
          <w:szCs w:val="22"/>
        </w:rPr>
        <w:t xml:space="preserve">Vores egne timer skal ikke finansieres, og tæller derfor ikke som en del af det økonomiske regnskab. </w:t>
      </w:r>
    </w:p>
    <w:p w14:paraId="3FE167D4" w14:textId="544F20DB" w:rsidR="00C57053" w:rsidRDefault="00C57053" w:rsidP="00292F9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Projektgruppens ambitioner for det færdige produkt er at levere et system af høj kvalitet. Vi er opmærksomme på, at tiden kan volde os problemer, og tænker derfor meget i genbrug af kode, komponenter og gode </w:t>
      </w:r>
      <w:proofErr w:type="spellStart"/>
      <w:r>
        <w:rPr>
          <w:rFonts w:ascii="Arial" w:hAnsi="Arial" w:cs="Arial"/>
          <w:color w:val="000000"/>
          <w:sz w:val="22"/>
          <w:szCs w:val="22"/>
        </w:rPr>
        <w:t>designpatterns</w:t>
      </w:r>
      <w:proofErr w:type="spellEnd"/>
      <w:r>
        <w:rPr>
          <w:rFonts w:ascii="Arial" w:hAnsi="Arial" w:cs="Arial"/>
          <w:color w:val="000000"/>
          <w:sz w:val="22"/>
          <w:szCs w:val="22"/>
        </w:rPr>
        <w:t>.</w:t>
      </w:r>
      <w:r w:rsidR="000868AB">
        <w:rPr>
          <w:rFonts w:ascii="Arial" w:hAnsi="Arial" w:cs="Arial"/>
          <w:color w:val="000000"/>
          <w:sz w:val="22"/>
          <w:szCs w:val="22"/>
        </w:rPr>
        <w:t xml:space="preserve"> Afgrænsninger ift. projektet er også indtænkt som en faktor, der kan give mere tid til vores tilvalg, og derved være med til at højne kvaliteten af det færdige produkt. </w:t>
      </w:r>
    </w:p>
    <w:p w14:paraId="1AD4A5CE" w14:textId="77777777" w:rsidR="00C57053" w:rsidRDefault="00C57053" w:rsidP="00292F9B">
      <w:pPr>
        <w:pStyle w:val="NormalWeb"/>
        <w:spacing w:before="0" w:beforeAutospacing="0" w:after="0" w:afterAutospacing="0"/>
        <w:jc w:val="both"/>
        <w:rPr>
          <w:rFonts w:ascii="Arial" w:hAnsi="Arial" w:cs="Arial"/>
          <w:color w:val="000000"/>
          <w:sz w:val="22"/>
          <w:szCs w:val="22"/>
        </w:rPr>
      </w:pPr>
    </w:p>
    <w:p w14:paraId="7042132B" w14:textId="67298873" w:rsidR="006E5B69" w:rsidRDefault="006E5B69">
      <w:pPr>
        <w:rPr>
          <w:rFonts w:ascii="Arial" w:eastAsia="Times New Roman" w:hAnsi="Arial" w:cs="Arial"/>
          <w:color w:val="000000"/>
          <w:kern w:val="0"/>
          <w:lang w:eastAsia="da-DK"/>
          <w14:ligatures w14:val="none"/>
        </w:rPr>
      </w:pPr>
      <w:r>
        <w:rPr>
          <w:rFonts w:ascii="Arial" w:hAnsi="Arial" w:cs="Arial"/>
          <w:color w:val="000000"/>
        </w:rPr>
        <w:br w:type="page"/>
      </w:r>
    </w:p>
    <w:p w14:paraId="6C5AC6BF" w14:textId="77777777" w:rsidR="006E5B69" w:rsidRPr="00F13C10" w:rsidRDefault="006E5B69" w:rsidP="006E5B69">
      <w:pPr>
        <w:pStyle w:val="Overskrift3"/>
      </w:pPr>
      <w:bookmarkStart w:id="1" w:name="_Toc167437952"/>
      <w:r w:rsidRPr="00F13C10">
        <w:lastRenderedPageBreak/>
        <w:t>Organisatoriske aspekter i relation til IT-projekter.</w:t>
      </w:r>
      <w:bookmarkEnd w:id="1"/>
    </w:p>
    <w:p w14:paraId="4699CFB3" w14:textId="77777777" w:rsidR="006E5B69" w:rsidRDefault="006E5B69" w:rsidP="006E5B6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 relation til IT-projekter i en organisation er der flere centrale punkter at tage højde for. </w:t>
      </w:r>
      <w:r>
        <w:rPr>
          <w:rFonts w:ascii="Arial" w:hAnsi="Arial" w:cs="Arial"/>
          <w:color w:val="000000"/>
          <w:sz w:val="22"/>
          <w:szCs w:val="22"/>
        </w:rPr>
        <w:t xml:space="preserve">I det </w:t>
      </w:r>
    </w:p>
    <w:p w14:paraId="71877CCD" w14:textId="5AC4AFD1" w:rsidR="006E5B69" w:rsidRDefault="006E5B69" w:rsidP="006E5B69">
      <w:pPr>
        <w:pStyle w:val="NormalWeb"/>
        <w:spacing w:before="0" w:beforeAutospacing="0" w:after="0" w:afterAutospacing="0"/>
      </w:pPr>
      <w:r>
        <w:rPr>
          <w:rFonts w:ascii="Arial" w:hAnsi="Arial" w:cs="Arial"/>
          <w:color w:val="000000"/>
          <w:sz w:val="22"/>
          <w:szCs w:val="22"/>
        </w:rPr>
        <w:t xml:space="preserve">følgende vil vi tage udgangspunkt i risikostyring og forandringsledelse. </w:t>
      </w:r>
      <w:r>
        <w:rPr>
          <w:rFonts w:ascii="Arial" w:hAnsi="Arial" w:cs="Arial"/>
          <w:color w:val="000000"/>
          <w:sz w:val="22"/>
          <w:szCs w:val="22"/>
        </w:rPr>
        <w:br/>
      </w:r>
    </w:p>
    <w:p w14:paraId="75CBC891" w14:textId="77777777" w:rsidR="006E5B69" w:rsidRDefault="006E5B69" w:rsidP="006E5B69">
      <w:pPr>
        <w:pStyle w:val="NormalWeb"/>
        <w:numPr>
          <w:ilvl w:val="0"/>
          <w:numId w:val="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Risikostyring</w:t>
      </w:r>
    </w:p>
    <w:p w14:paraId="25DA6BDF" w14:textId="77777777" w:rsidR="006E5B69" w:rsidRDefault="006E5B69" w:rsidP="006E5B69">
      <w:pPr>
        <w:pStyle w:val="NormalWeb"/>
        <w:spacing w:before="0" w:beforeAutospacing="0" w:after="0" w:afterAutospacing="0"/>
        <w:textAlignment w:val="baseline"/>
        <w:rPr>
          <w:rFonts w:ascii="Arial" w:hAnsi="Arial" w:cs="Arial"/>
          <w:b/>
          <w:bCs/>
          <w:color w:val="000000"/>
          <w:sz w:val="22"/>
          <w:szCs w:val="22"/>
        </w:rPr>
      </w:pPr>
    </w:p>
    <w:p w14:paraId="476913F7" w14:textId="77777777" w:rsidR="006E5B69" w:rsidRDefault="006E5B69" w:rsidP="006E5B6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Risikostyring i en virksomhed består af 4 søjler. </w:t>
      </w:r>
    </w:p>
    <w:p w14:paraId="252FCF49" w14:textId="77777777" w:rsidR="006E5B69" w:rsidRDefault="006E5B69" w:rsidP="006E5B69">
      <w:pPr>
        <w:pStyle w:val="NormalWeb"/>
        <w:keepNext/>
        <w:spacing w:before="0" w:beforeAutospacing="0" w:after="0" w:afterAutospacing="0"/>
        <w:ind w:left="720"/>
        <w:jc w:val="center"/>
        <w:textAlignment w:val="baseline"/>
      </w:pPr>
      <w:r>
        <w:rPr>
          <w:noProof/>
        </w:rPr>
        <w:drawing>
          <wp:inline distT="0" distB="0" distL="0" distR="0" wp14:anchorId="2376C5F3" wp14:editId="1E94CCBA">
            <wp:extent cx="3963809" cy="3408696"/>
            <wp:effectExtent l="0" t="0" r="0" b="1270"/>
            <wp:docPr id="359347555" name="Billede 13" descr="Risikosty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sikosty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2717" cy="3416357"/>
                    </a:xfrm>
                    <a:prstGeom prst="rect">
                      <a:avLst/>
                    </a:prstGeom>
                    <a:noFill/>
                    <a:ln>
                      <a:noFill/>
                    </a:ln>
                  </pic:spPr>
                </pic:pic>
              </a:graphicData>
            </a:graphic>
          </wp:inline>
        </w:drawing>
      </w:r>
    </w:p>
    <w:p w14:paraId="362FF438" w14:textId="308C6EF2" w:rsidR="006E5B69" w:rsidRPr="00F31C84" w:rsidRDefault="006E5B69" w:rsidP="006E5B69">
      <w:pPr>
        <w:pStyle w:val="Billedtekst"/>
        <w:jc w:val="center"/>
        <w:rPr>
          <w:rFonts w:ascii="Arial" w:hAnsi="Arial" w:cs="Arial"/>
          <w:color w:val="000000"/>
          <w:sz w:val="22"/>
          <w:szCs w:val="22"/>
        </w:rPr>
      </w:pPr>
      <w:bookmarkStart w:id="2" w:name="_Toc167437739"/>
      <w:r>
        <w:t xml:space="preserve">Billede </w:t>
      </w:r>
      <w:r>
        <w:fldChar w:fldCharType="begin"/>
      </w:r>
      <w:r>
        <w:instrText xml:space="preserve"> SEQ Billede \* ARABIC </w:instrText>
      </w:r>
      <w:r>
        <w:fldChar w:fldCharType="separate"/>
      </w:r>
      <w:r w:rsidR="000745BA">
        <w:rPr>
          <w:noProof/>
        </w:rPr>
        <w:t>1</w:t>
      </w:r>
      <w:r>
        <w:fldChar w:fldCharType="end"/>
      </w:r>
      <w:r>
        <w:t>: Risikostyrings 4 søjler</w:t>
      </w:r>
      <w:r>
        <w:rPr>
          <w:rStyle w:val="Fodnotehenvisning"/>
        </w:rPr>
        <w:footnoteReference w:id="1"/>
      </w:r>
      <w:r>
        <w:t>.</w:t>
      </w:r>
      <w:bookmarkEnd w:id="2"/>
    </w:p>
    <w:p w14:paraId="68B8D3DF" w14:textId="77777777" w:rsidR="006E5B69" w:rsidRDefault="006E5B69" w:rsidP="006E5B69">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b/>
      </w:r>
    </w:p>
    <w:p w14:paraId="7EF612B1" w14:textId="25FA6A3D" w:rsidR="00130FCE" w:rsidRDefault="006E5B69" w:rsidP="000745B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Først identificeres eventuelle risici. Dernæst vurderes de fundne risici ud fra sandsynlighed og konsekvens. Så håndteres </w:t>
      </w:r>
      <w:r w:rsidR="00130FCE">
        <w:rPr>
          <w:rFonts w:ascii="Arial" w:hAnsi="Arial" w:cs="Arial"/>
          <w:color w:val="000000"/>
          <w:sz w:val="22"/>
          <w:szCs w:val="22"/>
        </w:rPr>
        <w:t>de fundne risici ved at finde de bedst mulige strategier, til effektivt at håndtere disse risici og reducere risikoen for at de sker.</w:t>
      </w:r>
      <w:r w:rsidR="00386F78">
        <w:rPr>
          <w:rFonts w:ascii="Arial" w:hAnsi="Arial" w:cs="Arial"/>
          <w:color w:val="000000"/>
          <w:sz w:val="22"/>
          <w:szCs w:val="22"/>
        </w:rPr>
        <w:t xml:space="preserve"> Herfra undersøges der løbende,</w:t>
      </w:r>
      <w:r w:rsidR="000745BA">
        <w:rPr>
          <w:rFonts w:ascii="Arial" w:hAnsi="Arial" w:cs="Arial"/>
          <w:color w:val="000000"/>
          <w:sz w:val="22"/>
          <w:szCs w:val="22"/>
        </w:rPr>
        <w:t xml:space="preserve"> om de fundne risicis konsekvens eller sandsynlighed ændrer sig</w:t>
      </w:r>
      <w:r w:rsidR="00386F78">
        <w:rPr>
          <w:rFonts w:ascii="Arial" w:hAnsi="Arial" w:cs="Arial"/>
          <w:color w:val="000000"/>
          <w:sz w:val="22"/>
          <w:szCs w:val="22"/>
        </w:rPr>
        <w:t xml:space="preserve"> – hvis dette er tilfældet, revurderes ricisiens og dens håndtering.</w:t>
      </w:r>
    </w:p>
    <w:p w14:paraId="1D7F4664" w14:textId="77777777" w:rsidR="00130FCE" w:rsidRDefault="00130FCE" w:rsidP="006E5B69">
      <w:pPr>
        <w:pStyle w:val="NormalWeb"/>
        <w:spacing w:before="0" w:beforeAutospacing="0" w:after="0" w:afterAutospacing="0"/>
        <w:ind w:left="720"/>
        <w:rPr>
          <w:rFonts w:ascii="Arial" w:hAnsi="Arial" w:cs="Arial"/>
          <w:color w:val="000000"/>
          <w:sz w:val="22"/>
          <w:szCs w:val="22"/>
        </w:rPr>
      </w:pPr>
    </w:p>
    <w:p w14:paraId="7382D5A8" w14:textId="67B5BB77" w:rsidR="006E5B69" w:rsidRPr="00130FCE" w:rsidRDefault="006E5B69" w:rsidP="00130FCE">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At identificere risici og</w:t>
      </w:r>
      <w:r w:rsidR="00130FCE">
        <w:rPr>
          <w:rFonts w:ascii="Arial" w:hAnsi="Arial" w:cs="Arial"/>
          <w:color w:val="000000"/>
          <w:sz w:val="22"/>
          <w:szCs w:val="22"/>
        </w:rPr>
        <w:t xml:space="preserve"> </w:t>
      </w:r>
      <w:r>
        <w:rPr>
          <w:rFonts w:ascii="Arial" w:hAnsi="Arial" w:cs="Arial"/>
          <w:color w:val="000000"/>
          <w:sz w:val="22"/>
          <w:szCs w:val="22"/>
        </w:rPr>
        <w:t>rangere</w:t>
      </w:r>
      <w:r w:rsidR="00130FCE">
        <w:rPr>
          <w:rFonts w:ascii="Arial" w:hAnsi="Arial" w:cs="Arial"/>
          <w:color w:val="000000"/>
          <w:sz w:val="22"/>
          <w:szCs w:val="22"/>
        </w:rPr>
        <w:t xml:space="preserve"> disse </w:t>
      </w:r>
      <w:r>
        <w:rPr>
          <w:rFonts w:ascii="Arial" w:hAnsi="Arial" w:cs="Arial"/>
          <w:color w:val="000000"/>
          <w:sz w:val="22"/>
          <w:szCs w:val="22"/>
        </w:rPr>
        <w:t>efter</w:t>
      </w:r>
      <w:r w:rsidR="00130FCE">
        <w:rPr>
          <w:rFonts w:ascii="Arial" w:hAnsi="Arial" w:cs="Arial"/>
          <w:color w:val="000000"/>
          <w:sz w:val="22"/>
          <w:szCs w:val="22"/>
        </w:rPr>
        <w:t xml:space="preserve"> deres </w:t>
      </w:r>
      <w:r w:rsidR="00FC10DB">
        <w:rPr>
          <w:rFonts w:ascii="Arial" w:hAnsi="Arial" w:cs="Arial"/>
          <w:color w:val="000000"/>
          <w:sz w:val="22"/>
          <w:szCs w:val="22"/>
        </w:rPr>
        <w:t>konsekvens</w:t>
      </w:r>
      <w:r w:rsidR="00130FCE">
        <w:rPr>
          <w:rFonts w:ascii="Arial" w:hAnsi="Arial" w:cs="Arial"/>
          <w:color w:val="000000"/>
          <w:sz w:val="22"/>
          <w:szCs w:val="22"/>
        </w:rPr>
        <w:t xml:space="preserve"> og sandsynlighed, kan gøres som matematisk formel:</w:t>
      </w:r>
      <w:r>
        <w:rPr>
          <w:rFonts w:ascii="Arial" w:hAnsi="Arial" w:cs="Arial"/>
          <w:color w:val="000000"/>
          <w:sz w:val="22"/>
          <w:szCs w:val="22"/>
        </w:rPr>
        <w:t> </w:t>
      </w:r>
    </w:p>
    <w:p w14:paraId="7D4B87C9" w14:textId="77777777" w:rsidR="006E5B69" w:rsidRDefault="006E5B69" w:rsidP="006E5B69">
      <w:pPr>
        <w:pStyle w:val="NormalWeb"/>
        <w:spacing w:before="0" w:beforeAutospacing="0" w:after="0" w:afterAutospacing="0"/>
      </w:pPr>
    </w:p>
    <w:p w14:paraId="55A530AA" w14:textId="77777777" w:rsidR="006E5B69" w:rsidRDefault="006E5B69" w:rsidP="006E5B69">
      <w:pPr>
        <w:pStyle w:val="NormalWeb"/>
        <w:spacing w:before="0" w:beforeAutospacing="0" w:after="0" w:afterAutospacing="0"/>
      </w:pPr>
      <m:oMathPara>
        <m:oMath>
          <m:r>
            <w:rPr>
              <w:rFonts w:ascii="Cambria Math" w:hAnsi="Cambria Math" w:cs="Arial"/>
              <w:color w:val="000000"/>
              <w:sz w:val="22"/>
              <w:szCs w:val="22"/>
            </w:rPr>
            <m:t>Risik</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a</m:t>
              </m:r>
            </m:sub>
          </m:sSub>
          <m:r>
            <w:rPr>
              <w:rFonts w:ascii="Cambria Math" w:hAnsi="Cambria Math" w:cs="Arial"/>
              <w:color w:val="000000"/>
              <w:sz w:val="22"/>
              <w:szCs w:val="22"/>
            </w:rPr>
            <m:t xml:space="preserve"> = Konsekvens * sandsynlighed </m:t>
          </m:r>
        </m:oMath>
      </m:oMathPara>
    </w:p>
    <w:p w14:paraId="3D48D355" w14:textId="77777777" w:rsidR="006E5B69" w:rsidRPr="00AC1402" w:rsidRDefault="006E5B69" w:rsidP="006E5B69">
      <w:pPr>
        <w:pStyle w:val="NormalWeb"/>
        <w:spacing w:before="0" w:beforeAutospacing="0" w:after="0" w:afterAutospacing="0"/>
        <w:ind w:left="720"/>
        <w:rPr>
          <w:rFonts w:ascii="Arial" w:hAnsi="Arial" w:cs="Arial"/>
          <w:color w:val="000000"/>
          <w:sz w:val="22"/>
          <w:szCs w:val="22"/>
        </w:rPr>
      </w:pPr>
      <m:oMathPara>
        <m:oMath>
          <m:r>
            <w:rPr>
              <w:rFonts w:ascii="Cambria Math" w:hAnsi="Cambria Math" w:cs="Arial"/>
              <w:color w:val="000000"/>
              <w:sz w:val="22"/>
              <w:szCs w:val="22"/>
            </w:rPr>
            <m:t>Risik</m:t>
          </m:r>
          <m:sSub>
            <m:sSubPr>
              <m:ctrlPr>
                <w:rPr>
                  <w:rFonts w:ascii="Cambria Math" w:hAnsi="Cambria Math" w:cs="Arial"/>
                  <w:i/>
                  <w:color w:val="000000"/>
                  <w:sz w:val="22"/>
                  <w:szCs w:val="22"/>
                  <w:vertAlign w:val="subscript"/>
                </w:rPr>
              </m:ctrlPr>
            </m:sSubPr>
            <m:e>
              <m:r>
                <w:rPr>
                  <w:rFonts w:ascii="Cambria Math" w:hAnsi="Cambria Math" w:cs="Arial"/>
                  <w:color w:val="000000"/>
                  <w:sz w:val="22"/>
                  <w:szCs w:val="22"/>
                </w:rPr>
                <m:t>o</m:t>
              </m:r>
              <m:ctrlPr>
                <w:rPr>
                  <w:rFonts w:ascii="Cambria Math" w:hAnsi="Cambria Math" w:cs="Arial"/>
                  <w:i/>
                  <w:color w:val="000000"/>
                  <w:sz w:val="22"/>
                  <w:szCs w:val="22"/>
                </w:rPr>
              </m:ctrlPr>
            </m:e>
            <m:sub>
              <m:r>
                <w:rPr>
                  <w:rFonts w:ascii="Cambria Math" w:hAnsi="Cambria Math" w:cs="Arial"/>
                  <w:color w:val="000000"/>
                  <w:sz w:val="22"/>
                  <w:szCs w:val="22"/>
                </w:rPr>
                <m:t>b</m:t>
              </m:r>
            </m:sub>
          </m:sSub>
          <m:r>
            <w:rPr>
              <w:rFonts w:ascii="Cambria Math" w:hAnsi="Cambria Math" w:cs="Arial"/>
              <w:color w:val="000000"/>
              <w:sz w:val="22"/>
              <w:szCs w:val="22"/>
            </w:rPr>
            <m:t xml:space="preserve"> = konsekvens pr tid * tidsenhed * sandsynlighed </m:t>
          </m:r>
        </m:oMath>
      </m:oMathPara>
    </w:p>
    <w:p w14:paraId="2DE03B19" w14:textId="77777777" w:rsidR="006E5B69" w:rsidRDefault="006E5B69" w:rsidP="006E5B69">
      <w:pPr>
        <w:pStyle w:val="NormalWeb"/>
        <w:spacing w:before="0" w:beforeAutospacing="0" w:after="0" w:afterAutospacing="0"/>
        <w:ind w:left="720"/>
        <w:rPr>
          <w:rFonts w:ascii="Arial" w:hAnsi="Arial" w:cs="Arial"/>
          <w:color w:val="000000"/>
          <w:sz w:val="22"/>
          <w:szCs w:val="22"/>
        </w:rPr>
      </w:pPr>
    </w:p>
    <w:p w14:paraId="2C00978A" w14:textId="77777777" w:rsidR="00130FCE" w:rsidRDefault="00130FCE" w:rsidP="006E5B69">
      <w:pPr>
        <w:pStyle w:val="NormalWeb"/>
        <w:spacing w:before="0" w:beforeAutospacing="0" w:after="0" w:afterAutospacing="0"/>
        <w:ind w:left="720"/>
        <w:rPr>
          <w:rFonts w:ascii="Arial" w:hAnsi="Arial" w:cs="Arial"/>
          <w:color w:val="000000"/>
          <w:sz w:val="22"/>
          <w:szCs w:val="22"/>
        </w:rPr>
      </w:pPr>
    </w:p>
    <w:p w14:paraId="5215F9D6" w14:textId="77777777" w:rsidR="000745BA" w:rsidRDefault="00130FCE" w:rsidP="006E5B69">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Dette visualiseres ofte i en matrix</w:t>
      </w:r>
      <w:r w:rsidR="000745BA">
        <w:rPr>
          <w:rFonts w:ascii="Arial" w:hAnsi="Arial" w:cs="Arial"/>
          <w:color w:val="000000"/>
          <w:sz w:val="22"/>
          <w:szCs w:val="22"/>
        </w:rPr>
        <w:t>, baseret på udregningen af formel ”</w:t>
      </w:r>
      <w:proofErr w:type="spellStart"/>
      <w:r w:rsidR="000745BA">
        <w:rPr>
          <w:rFonts w:ascii="Arial" w:hAnsi="Arial" w:cs="Arial"/>
          <w:color w:val="000000"/>
          <w:sz w:val="22"/>
          <w:szCs w:val="22"/>
        </w:rPr>
        <w:t>Risiko</w:t>
      </w:r>
      <w:r w:rsidR="000745BA">
        <w:rPr>
          <w:rFonts w:ascii="Arial" w:hAnsi="Arial" w:cs="Arial"/>
          <w:color w:val="000000"/>
          <w:sz w:val="22"/>
          <w:szCs w:val="22"/>
          <w:vertAlign w:val="subscript"/>
        </w:rPr>
        <w:t>a</w:t>
      </w:r>
      <w:proofErr w:type="spellEnd"/>
      <w:r w:rsidR="000745BA">
        <w:rPr>
          <w:rFonts w:ascii="Arial" w:hAnsi="Arial" w:cs="Arial"/>
          <w:color w:val="000000"/>
          <w:sz w:val="22"/>
          <w:szCs w:val="22"/>
        </w:rPr>
        <w:t>”:</w:t>
      </w:r>
    </w:p>
    <w:p w14:paraId="18356843" w14:textId="77777777" w:rsidR="000745BA" w:rsidRDefault="000745BA" w:rsidP="006E5B69">
      <w:pPr>
        <w:pStyle w:val="NormalWeb"/>
        <w:spacing w:before="0" w:beforeAutospacing="0" w:after="0" w:afterAutospacing="0"/>
        <w:ind w:left="720"/>
        <w:rPr>
          <w:rFonts w:ascii="Arial" w:hAnsi="Arial" w:cs="Arial"/>
          <w:color w:val="000000"/>
          <w:sz w:val="22"/>
          <w:szCs w:val="22"/>
        </w:rPr>
      </w:pPr>
    </w:p>
    <w:p w14:paraId="5A5E92A8" w14:textId="77777777" w:rsidR="000745BA" w:rsidRDefault="000745BA" w:rsidP="006E5B69">
      <w:pPr>
        <w:pStyle w:val="NormalWeb"/>
        <w:spacing w:before="0" w:beforeAutospacing="0" w:after="0" w:afterAutospacing="0"/>
        <w:ind w:left="720"/>
        <w:rPr>
          <w:rFonts w:ascii="Arial" w:hAnsi="Arial" w:cs="Arial"/>
          <w:color w:val="000000"/>
          <w:sz w:val="22"/>
          <w:szCs w:val="22"/>
        </w:rPr>
      </w:pPr>
    </w:p>
    <w:p w14:paraId="5232F7FA" w14:textId="77777777" w:rsidR="000745BA" w:rsidRDefault="000745BA" w:rsidP="000745BA">
      <w:pPr>
        <w:pStyle w:val="NormalWeb"/>
        <w:keepNext/>
        <w:spacing w:before="0" w:beforeAutospacing="0" w:after="0" w:afterAutospacing="0"/>
        <w:ind w:left="720"/>
        <w:jc w:val="center"/>
      </w:pPr>
      <w:r w:rsidRPr="000745BA">
        <w:rPr>
          <w:rFonts w:ascii="Arial" w:hAnsi="Arial" w:cs="Arial"/>
          <w:color w:val="000000"/>
          <w:sz w:val="22"/>
          <w:szCs w:val="22"/>
        </w:rPr>
        <w:lastRenderedPageBreak/>
        <w:drawing>
          <wp:inline distT="0" distB="0" distL="0" distR="0" wp14:anchorId="7D8A4DFE" wp14:editId="0AA4A64E">
            <wp:extent cx="4606637" cy="2216807"/>
            <wp:effectExtent l="0" t="0" r="3810" b="0"/>
            <wp:docPr id="411944937" name="Billede 1" descr="Et billede, der indeholder tekst, skærmbillede, linje/rækk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44937" name="Billede 1" descr="Et billede, der indeholder tekst, skærmbillede, linje/række, Font/skrifttype&#10;&#10;Automatisk genereret beskrivelse"/>
                    <pic:cNvPicPr/>
                  </pic:nvPicPr>
                  <pic:blipFill>
                    <a:blip r:embed="rId8"/>
                    <a:stretch>
                      <a:fillRect/>
                    </a:stretch>
                  </pic:blipFill>
                  <pic:spPr>
                    <a:xfrm>
                      <a:off x="0" y="0"/>
                      <a:ext cx="4616703" cy="2221651"/>
                    </a:xfrm>
                    <a:prstGeom prst="rect">
                      <a:avLst/>
                    </a:prstGeom>
                  </pic:spPr>
                </pic:pic>
              </a:graphicData>
            </a:graphic>
          </wp:inline>
        </w:drawing>
      </w:r>
    </w:p>
    <w:p w14:paraId="5317D3B9" w14:textId="7D75137B" w:rsidR="000745BA" w:rsidRDefault="00386F78" w:rsidP="000745BA">
      <w:pPr>
        <w:pStyle w:val="Billedtekst"/>
        <w:jc w:val="center"/>
        <w:rPr>
          <w:rFonts w:ascii="Arial" w:hAnsi="Arial" w:cs="Arial"/>
          <w:color w:val="000000"/>
          <w:sz w:val="22"/>
          <w:szCs w:val="22"/>
        </w:rPr>
      </w:pPr>
      <w:r>
        <w:t xml:space="preserve">  </w:t>
      </w:r>
      <w:r w:rsidR="000745BA">
        <w:t xml:space="preserve">Billede </w:t>
      </w:r>
      <w:r w:rsidR="000745BA">
        <w:fldChar w:fldCharType="begin"/>
      </w:r>
      <w:r w:rsidR="000745BA">
        <w:instrText xml:space="preserve"> SEQ Billede \* ARABIC </w:instrText>
      </w:r>
      <w:r w:rsidR="000745BA">
        <w:fldChar w:fldCharType="separate"/>
      </w:r>
      <w:r w:rsidR="000745BA">
        <w:rPr>
          <w:noProof/>
        </w:rPr>
        <w:t>2</w:t>
      </w:r>
      <w:r w:rsidR="000745BA">
        <w:fldChar w:fldCharType="end"/>
      </w:r>
      <w:r w:rsidR="000745BA">
        <w:t xml:space="preserve">: Risiko </w:t>
      </w:r>
      <w:proofErr w:type="spellStart"/>
      <w:r w:rsidR="000745BA">
        <w:t>map</w:t>
      </w:r>
      <w:proofErr w:type="spellEnd"/>
      <w:r w:rsidR="000745BA">
        <w:t xml:space="preserve"> der inddeler fundne risici i fire risikogrupper ud fra deres konsekvens og sandsynlighed </w:t>
      </w:r>
    </w:p>
    <w:p w14:paraId="448E5B63" w14:textId="77777777" w:rsidR="00130FCE" w:rsidRDefault="00130FCE" w:rsidP="00386F78">
      <w:pPr>
        <w:pStyle w:val="NormalWeb"/>
        <w:spacing w:before="0" w:beforeAutospacing="0" w:after="0" w:afterAutospacing="0"/>
        <w:rPr>
          <w:rFonts w:ascii="Arial" w:hAnsi="Arial" w:cs="Arial"/>
          <w:color w:val="000000"/>
          <w:sz w:val="22"/>
          <w:szCs w:val="22"/>
        </w:rPr>
      </w:pPr>
    </w:p>
    <w:p w14:paraId="0E47F20C" w14:textId="5EF33A8D" w:rsidR="006E5B69" w:rsidRDefault="006E5B69" w:rsidP="006E5B69">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I relation til </w:t>
      </w:r>
      <w:r w:rsidR="00386F78">
        <w:rPr>
          <w:rFonts w:ascii="Arial" w:hAnsi="Arial" w:cs="Arial"/>
          <w:color w:val="000000"/>
          <w:sz w:val="22"/>
          <w:szCs w:val="22"/>
        </w:rPr>
        <w:t xml:space="preserve">vores </w:t>
      </w:r>
      <w:r>
        <w:rPr>
          <w:rFonts w:ascii="Arial" w:hAnsi="Arial" w:cs="Arial"/>
          <w:color w:val="000000"/>
          <w:sz w:val="22"/>
          <w:szCs w:val="22"/>
        </w:rPr>
        <w:t>system er der flere forskellige risici</w:t>
      </w:r>
      <w:r w:rsidR="00386F78">
        <w:rPr>
          <w:rFonts w:ascii="Arial" w:hAnsi="Arial" w:cs="Arial"/>
          <w:color w:val="000000"/>
          <w:sz w:val="22"/>
          <w:szCs w:val="22"/>
        </w:rPr>
        <w:t>,</w:t>
      </w:r>
      <w:r>
        <w:rPr>
          <w:rFonts w:ascii="Arial" w:hAnsi="Arial" w:cs="Arial"/>
          <w:color w:val="000000"/>
          <w:sz w:val="22"/>
          <w:szCs w:val="22"/>
        </w:rPr>
        <w:t xml:space="preserve"> som skal tages i betrækning. Følgende er fundet</w:t>
      </w:r>
      <w:r w:rsidR="00386F78">
        <w:rPr>
          <w:rFonts w:ascii="Arial" w:hAnsi="Arial" w:cs="Arial"/>
          <w:color w:val="000000"/>
          <w:sz w:val="22"/>
          <w:szCs w:val="22"/>
        </w:rPr>
        <w:t>:</w:t>
      </w:r>
    </w:p>
    <w:p w14:paraId="383E4814" w14:textId="77777777" w:rsidR="006E5B69" w:rsidRDefault="006E5B69" w:rsidP="00386F78">
      <w:pPr>
        <w:pStyle w:val="NormalWeb"/>
        <w:spacing w:before="0" w:beforeAutospacing="0" w:after="0" w:afterAutospacing="0"/>
        <w:rPr>
          <w:rFonts w:ascii="Arial" w:hAnsi="Arial" w:cs="Arial"/>
          <w:color w:val="000000"/>
          <w:sz w:val="22"/>
          <w:szCs w:val="22"/>
        </w:rPr>
      </w:pPr>
    </w:p>
    <w:tbl>
      <w:tblPr>
        <w:tblStyle w:val="Listetabel4-farve1"/>
        <w:tblW w:w="0" w:type="auto"/>
        <w:tblInd w:w="704" w:type="dxa"/>
        <w:tblLook w:val="04A0" w:firstRow="1" w:lastRow="0" w:firstColumn="1" w:lastColumn="0" w:noHBand="0" w:noVBand="1"/>
      </w:tblPr>
      <w:tblGrid>
        <w:gridCol w:w="1416"/>
        <w:gridCol w:w="3120"/>
        <w:gridCol w:w="2422"/>
        <w:gridCol w:w="1966"/>
      </w:tblGrid>
      <w:tr w:rsidR="006E5B69" w14:paraId="0A23DD29" w14:textId="77777777" w:rsidTr="00254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485FF292" w14:textId="77777777" w:rsidR="006E5B69" w:rsidRDefault="006E5B69" w:rsidP="00254AE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Risiko</w:t>
            </w:r>
          </w:p>
        </w:tc>
        <w:tc>
          <w:tcPr>
            <w:tcW w:w="3120" w:type="dxa"/>
          </w:tcPr>
          <w:p w14:paraId="23E99392" w14:textId="77777777" w:rsidR="006E5B69" w:rsidRDefault="006E5B69" w:rsidP="00254AEE">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Sandsynlighed (1 – 10)</w:t>
            </w:r>
          </w:p>
        </w:tc>
        <w:tc>
          <w:tcPr>
            <w:tcW w:w="2422" w:type="dxa"/>
          </w:tcPr>
          <w:p w14:paraId="52CF1B49" w14:textId="77777777" w:rsidR="006E5B69" w:rsidRDefault="006E5B69" w:rsidP="00254AEE">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Konsekvens (1 – 10)</w:t>
            </w:r>
          </w:p>
        </w:tc>
        <w:tc>
          <w:tcPr>
            <w:tcW w:w="1966" w:type="dxa"/>
          </w:tcPr>
          <w:p w14:paraId="6E5691CA" w14:textId="77777777" w:rsidR="006E5B69" w:rsidRDefault="006E5B69" w:rsidP="00254AEE">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Risiko(a)</w:t>
            </w:r>
          </w:p>
        </w:tc>
      </w:tr>
      <w:tr w:rsidR="006E5B69" w14:paraId="431FCA00" w14:textId="77777777" w:rsidTr="00254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CE81B3B" w14:textId="77777777" w:rsidR="006E5B69" w:rsidRPr="00652F6C" w:rsidRDefault="006E5B69" w:rsidP="00254AEE">
            <w:pPr>
              <w:pStyle w:val="NormalWeb"/>
              <w:spacing w:before="0" w:beforeAutospacing="0" w:after="0" w:afterAutospacing="0"/>
              <w:rPr>
                <w:rFonts w:ascii="Arial" w:hAnsi="Arial" w:cs="Arial"/>
                <w:b w:val="0"/>
                <w:color w:val="000000"/>
                <w:sz w:val="22"/>
                <w:szCs w:val="22"/>
              </w:rPr>
            </w:pPr>
            <w:r w:rsidRPr="00652F6C">
              <w:rPr>
                <w:rFonts w:ascii="Arial" w:hAnsi="Arial" w:cs="Arial"/>
                <w:b w:val="0"/>
                <w:color w:val="000000"/>
                <w:sz w:val="22"/>
                <w:szCs w:val="22"/>
              </w:rPr>
              <w:t>Brand</w:t>
            </w:r>
          </w:p>
        </w:tc>
        <w:tc>
          <w:tcPr>
            <w:tcW w:w="3120" w:type="dxa"/>
          </w:tcPr>
          <w:p w14:paraId="0F6955CB" w14:textId="77777777" w:rsidR="006E5B69" w:rsidRDefault="006E5B69" w:rsidP="00254AE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w:t>
            </w:r>
          </w:p>
        </w:tc>
        <w:tc>
          <w:tcPr>
            <w:tcW w:w="2422" w:type="dxa"/>
          </w:tcPr>
          <w:p w14:paraId="570CF86E" w14:textId="77777777" w:rsidR="006E5B69" w:rsidRDefault="006E5B69" w:rsidP="00254AE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8</w:t>
            </w:r>
          </w:p>
        </w:tc>
        <w:tc>
          <w:tcPr>
            <w:tcW w:w="1966" w:type="dxa"/>
          </w:tcPr>
          <w:p w14:paraId="27A369D5" w14:textId="77777777" w:rsidR="006E5B69" w:rsidRDefault="006E5B69" w:rsidP="00254AE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m:oMathPara>
              <m:oMath>
                <m:r>
                  <w:rPr>
                    <w:rFonts w:ascii="Cambria Math" w:hAnsi="Cambria Math" w:cs="Arial"/>
                    <w:color w:val="000000"/>
                    <w:sz w:val="22"/>
                    <w:szCs w:val="22"/>
                  </w:rPr>
                  <m:t>2∙8=16</m:t>
                </m:r>
              </m:oMath>
            </m:oMathPara>
          </w:p>
        </w:tc>
      </w:tr>
      <w:tr w:rsidR="006E5B69" w14:paraId="40348914" w14:textId="77777777" w:rsidTr="00254AEE">
        <w:tc>
          <w:tcPr>
            <w:cnfStyle w:val="001000000000" w:firstRow="0" w:lastRow="0" w:firstColumn="1" w:lastColumn="0" w:oddVBand="0" w:evenVBand="0" w:oddHBand="0" w:evenHBand="0" w:firstRowFirstColumn="0" w:firstRowLastColumn="0" w:lastRowFirstColumn="0" w:lastRowLastColumn="0"/>
            <w:tcW w:w="1416" w:type="dxa"/>
          </w:tcPr>
          <w:p w14:paraId="35952FA0" w14:textId="77777777" w:rsidR="006E5B69" w:rsidRPr="00652F6C" w:rsidRDefault="006E5B69" w:rsidP="00254AEE">
            <w:pPr>
              <w:pStyle w:val="NormalWeb"/>
              <w:spacing w:before="0"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Tyveri</w:t>
            </w:r>
          </w:p>
        </w:tc>
        <w:tc>
          <w:tcPr>
            <w:tcW w:w="3120" w:type="dxa"/>
          </w:tcPr>
          <w:p w14:paraId="3750EDDC" w14:textId="77777777" w:rsidR="006E5B69" w:rsidRDefault="006E5B69" w:rsidP="00254AE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3</w:t>
            </w:r>
          </w:p>
        </w:tc>
        <w:tc>
          <w:tcPr>
            <w:tcW w:w="2422" w:type="dxa"/>
          </w:tcPr>
          <w:p w14:paraId="36C1D781" w14:textId="77777777" w:rsidR="006E5B69" w:rsidRDefault="006E5B69" w:rsidP="00254AE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8</w:t>
            </w:r>
          </w:p>
        </w:tc>
        <w:tc>
          <w:tcPr>
            <w:tcW w:w="1966" w:type="dxa"/>
          </w:tcPr>
          <w:p w14:paraId="45754DC0" w14:textId="77777777" w:rsidR="006E5B69" w:rsidRDefault="006E5B69" w:rsidP="00254AE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m:oMathPara>
              <m:oMath>
                <m:r>
                  <w:rPr>
                    <w:rFonts w:ascii="Cambria Math" w:hAnsi="Cambria Math" w:cs="Arial"/>
                    <w:color w:val="000000"/>
                    <w:sz w:val="22"/>
                    <w:szCs w:val="22"/>
                  </w:rPr>
                  <m:t>3∙8=24</m:t>
                </m:r>
              </m:oMath>
            </m:oMathPara>
          </w:p>
        </w:tc>
      </w:tr>
      <w:tr w:rsidR="006E5B69" w14:paraId="710E0329" w14:textId="77777777" w:rsidTr="00254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3A7BA54C" w14:textId="77777777" w:rsidR="006E5B69" w:rsidRDefault="006E5B69" w:rsidP="00254AEE">
            <w:pPr>
              <w:pStyle w:val="NormalWeb"/>
              <w:spacing w:before="0"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Brugerfejl</w:t>
            </w:r>
          </w:p>
        </w:tc>
        <w:tc>
          <w:tcPr>
            <w:tcW w:w="3120" w:type="dxa"/>
          </w:tcPr>
          <w:p w14:paraId="34813711" w14:textId="77777777" w:rsidR="006E5B69" w:rsidRDefault="006E5B69" w:rsidP="00254AE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5</w:t>
            </w:r>
          </w:p>
        </w:tc>
        <w:tc>
          <w:tcPr>
            <w:tcW w:w="2422" w:type="dxa"/>
          </w:tcPr>
          <w:p w14:paraId="5C2A5493" w14:textId="77777777" w:rsidR="006E5B69" w:rsidRDefault="006E5B69" w:rsidP="00254AE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3</w:t>
            </w:r>
          </w:p>
        </w:tc>
        <w:tc>
          <w:tcPr>
            <w:tcW w:w="1966" w:type="dxa"/>
          </w:tcPr>
          <w:p w14:paraId="5EFB7D97" w14:textId="77777777" w:rsidR="006E5B69" w:rsidRDefault="006E5B69" w:rsidP="00254AE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m:oMathPara>
              <m:oMath>
                <m:r>
                  <w:rPr>
                    <w:rFonts w:ascii="Cambria Math" w:hAnsi="Cambria Math" w:cs="Arial"/>
                    <w:color w:val="000000"/>
                    <w:sz w:val="22"/>
                    <w:szCs w:val="22"/>
                  </w:rPr>
                  <m:t>5∙3=15</m:t>
                </m:r>
              </m:oMath>
            </m:oMathPara>
          </w:p>
        </w:tc>
      </w:tr>
      <w:tr w:rsidR="006E5B69" w14:paraId="7DC8DDE7" w14:textId="77777777" w:rsidTr="00254AEE">
        <w:tc>
          <w:tcPr>
            <w:cnfStyle w:val="001000000000" w:firstRow="0" w:lastRow="0" w:firstColumn="1" w:lastColumn="0" w:oddVBand="0" w:evenVBand="0" w:oddHBand="0" w:evenHBand="0" w:firstRowFirstColumn="0" w:firstRowLastColumn="0" w:lastRowFirstColumn="0" w:lastRowLastColumn="0"/>
            <w:tcW w:w="1416" w:type="dxa"/>
          </w:tcPr>
          <w:p w14:paraId="419C3F05" w14:textId="77777777" w:rsidR="006E5B69" w:rsidRDefault="006E5B69" w:rsidP="00254AEE">
            <w:pPr>
              <w:pStyle w:val="NormalWeb"/>
              <w:spacing w:before="0"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Uautoriseret adgang</w:t>
            </w:r>
          </w:p>
        </w:tc>
        <w:tc>
          <w:tcPr>
            <w:tcW w:w="3120" w:type="dxa"/>
          </w:tcPr>
          <w:p w14:paraId="222A77DD" w14:textId="77777777" w:rsidR="006E5B69" w:rsidRDefault="006E5B69" w:rsidP="00254AE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4</w:t>
            </w:r>
          </w:p>
        </w:tc>
        <w:tc>
          <w:tcPr>
            <w:tcW w:w="2422" w:type="dxa"/>
          </w:tcPr>
          <w:p w14:paraId="524512FB" w14:textId="77777777" w:rsidR="006E5B69" w:rsidRDefault="006E5B69" w:rsidP="00254AE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5</w:t>
            </w:r>
          </w:p>
        </w:tc>
        <w:tc>
          <w:tcPr>
            <w:tcW w:w="1966" w:type="dxa"/>
          </w:tcPr>
          <w:p w14:paraId="3EF5FBC7" w14:textId="77777777" w:rsidR="006E5B69" w:rsidRDefault="006E5B69" w:rsidP="00254AE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m:oMathPara>
              <m:oMath>
                <m:r>
                  <w:rPr>
                    <w:rFonts w:ascii="Cambria Math" w:hAnsi="Cambria Math" w:cs="Arial"/>
                    <w:color w:val="000000"/>
                    <w:sz w:val="22"/>
                    <w:szCs w:val="22"/>
                  </w:rPr>
                  <m:t>4∙5=20</m:t>
                </m:r>
              </m:oMath>
            </m:oMathPara>
          </w:p>
        </w:tc>
      </w:tr>
      <w:tr w:rsidR="006E5B69" w14:paraId="5E7186F6" w14:textId="77777777" w:rsidTr="00254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DF5D43E" w14:textId="77777777" w:rsidR="006E5B69" w:rsidRDefault="006E5B69" w:rsidP="00254AEE">
            <w:pPr>
              <w:pStyle w:val="NormalWeb"/>
              <w:spacing w:before="0"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Vandskade</w:t>
            </w:r>
          </w:p>
        </w:tc>
        <w:tc>
          <w:tcPr>
            <w:tcW w:w="3120" w:type="dxa"/>
          </w:tcPr>
          <w:p w14:paraId="7ADC0298" w14:textId="77777777" w:rsidR="006E5B69" w:rsidRDefault="006E5B69" w:rsidP="00254AE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1</w:t>
            </w:r>
          </w:p>
        </w:tc>
        <w:tc>
          <w:tcPr>
            <w:tcW w:w="2422" w:type="dxa"/>
          </w:tcPr>
          <w:p w14:paraId="655C8AA3" w14:textId="77777777" w:rsidR="006E5B69" w:rsidRDefault="006E5B69" w:rsidP="00254AE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8</w:t>
            </w:r>
          </w:p>
        </w:tc>
        <w:tc>
          <w:tcPr>
            <w:tcW w:w="1966" w:type="dxa"/>
          </w:tcPr>
          <w:p w14:paraId="2A3F6E27" w14:textId="77777777" w:rsidR="006E5B69" w:rsidRDefault="006E5B69" w:rsidP="00254AE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m:oMathPara>
              <m:oMath>
                <m:r>
                  <w:rPr>
                    <w:rFonts w:ascii="Cambria Math" w:hAnsi="Cambria Math" w:cs="Arial"/>
                    <w:color w:val="000000"/>
                    <w:sz w:val="22"/>
                    <w:szCs w:val="22"/>
                  </w:rPr>
                  <m:t>1∙8=8</m:t>
                </m:r>
              </m:oMath>
            </m:oMathPara>
          </w:p>
        </w:tc>
      </w:tr>
    </w:tbl>
    <w:p w14:paraId="44537F6E" w14:textId="77777777" w:rsidR="006E5B69" w:rsidRPr="00386F78" w:rsidRDefault="006E5B69" w:rsidP="006E5B69">
      <w:pPr>
        <w:pStyle w:val="NormalWeb"/>
        <w:spacing w:before="0" w:beforeAutospacing="0" w:after="0" w:afterAutospacing="0"/>
        <w:ind w:left="720"/>
        <w:rPr>
          <w:rFonts w:ascii="Arial" w:hAnsi="Arial" w:cs="Arial"/>
          <w:i/>
          <w:iCs/>
          <w:color w:val="000000"/>
          <w:sz w:val="22"/>
          <w:szCs w:val="22"/>
        </w:rPr>
      </w:pPr>
    </w:p>
    <w:p w14:paraId="6EF686C4" w14:textId="2FA9059C" w:rsidR="00386F78" w:rsidRPr="00386F78" w:rsidRDefault="00386F78" w:rsidP="00386F78">
      <w:pPr>
        <w:pStyle w:val="NormalWeb"/>
        <w:spacing w:before="0" w:beforeAutospacing="0" w:after="0" w:afterAutospacing="0"/>
        <w:ind w:left="720"/>
        <w:jc w:val="both"/>
        <w:rPr>
          <w:rFonts w:ascii="Arial" w:hAnsi="Arial" w:cs="Arial"/>
          <w:i/>
          <w:iCs/>
          <w:color w:val="000000"/>
          <w:sz w:val="20"/>
          <w:szCs w:val="20"/>
        </w:rPr>
      </w:pPr>
      <w:r w:rsidRPr="00386F78">
        <w:rPr>
          <w:rFonts w:ascii="Arial" w:hAnsi="Arial" w:cs="Arial"/>
          <w:i/>
          <w:iCs/>
          <w:color w:val="000000"/>
          <w:sz w:val="20"/>
          <w:szCs w:val="20"/>
        </w:rPr>
        <w:t xml:space="preserve">Her opgøres sandsynlighed fra 1 til 10, hvor 10 er det mest sandsynlige. Ligeledes inddeles </w:t>
      </w:r>
      <w:r w:rsidRPr="00386F78">
        <w:rPr>
          <w:rFonts w:ascii="Arial" w:hAnsi="Arial" w:cs="Arial"/>
          <w:i/>
          <w:iCs/>
          <w:color w:val="000000"/>
          <w:sz w:val="20"/>
          <w:szCs w:val="20"/>
        </w:rPr>
        <w:t>k</w:t>
      </w:r>
      <w:r w:rsidRPr="00386F78">
        <w:rPr>
          <w:rFonts w:ascii="Arial" w:hAnsi="Arial" w:cs="Arial"/>
          <w:i/>
          <w:iCs/>
          <w:color w:val="000000"/>
          <w:sz w:val="20"/>
          <w:szCs w:val="20"/>
        </w:rPr>
        <w:t>onsekvens fra 1 til 10</w:t>
      </w:r>
      <w:r w:rsidRPr="00386F78">
        <w:rPr>
          <w:rFonts w:ascii="Arial" w:hAnsi="Arial" w:cs="Arial"/>
          <w:i/>
          <w:iCs/>
          <w:color w:val="000000"/>
          <w:sz w:val="20"/>
          <w:szCs w:val="20"/>
        </w:rPr>
        <w:t>,</w:t>
      </w:r>
      <w:r w:rsidRPr="00386F78">
        <w:rPr>
          <w:rFonts w:ascii="Arial" w:hAnsi="Arial" w:cs="Arial"/>
          <w:i/>
          <w:iCs/>
          <w:color w:val="000000"/>
          <w:sz w:val="20"/>
          <w:szCs w:val="20"/>
        </w:rPr>
        <w:t xml:space="preserve"> hvor 10 </w:t>
      </w:r>
      <w:r w:rsidRPr="00386F78">
        <w:rPr>
          <w:rFonts w:ascii="Arial" w:hAnsi="Arial" w:cs="Arial"/>
          <w:i/>
          <w:iCs/>
          <w:color w:val="000000"/>
          <w:sz w:val="20"/>
          <w:szCs w:val="20"/>
        </w:rPr>
        <w:t>har</w:t>
      </w:r>
      <w:r w:rsidRPr="00386F78">
        <w:rPr>
          <w:rFonts w:ascii="Arial" w:hAnsi="Arial" w:cs="Arial"/>
          <w:i/>
          <w:iCs/>
          <w:color w:val="000000"/>
          <w:sz w:val="20"/>
          <w:szCs w:val="20"/>
        </w:rPr>
        <w:t xml:space="preserve"> størst konsekvens.</w:t>
      </w:r>
    </w:p>
    <w:p w14:paraId="0D145821" w14:textId="77777777" w:rsidR="00386F78" w:rsidRDefault="00386F78" w:rsidP="006E5B69">
      <w:pPr>
        <w:pStyle w:val="NormalWeb"/>
        <w:spacing w:before="0" w:beforeAutospacing="0" w:after="0" w:afterAutospacing="0"/>
        <w:ind w:left="720"/>
        <w:rPr>
          <w:rFonts w:ascii="Arial" w:hAnsi="Arial" w:cs="Arial"/>
          <w:color w:val="000000"/>
          <w:sz w:val="22"/>
          <w:szCs w:val="22"/>
        </w:rPr>
      </w:pPr>
    </w:p>
    <w:p w14:paraId="032CF66E" w14:textId="77777777" w:rsidR="00386F78" w:rsidRDefault="00386F78" w:rsidP="006E5B69">
      <w:pPr>
        <w:pStyle w:val="NormalWeb"/>
        <w:spacing w:before="0" w:beforeAutospacing="0" w:after="0" w:afterAutospacing="0"/>
        <w:ind w:left="720"/>
        <w:rPr>
          <w:rFonts w:ascii="Arial" w:hAnsi="Arial" w:cs="Arial"/>
          <w:color w:val="000000"/>
          <w:sz w:val="22"/>
          <w:szCs w:val="22"/>
        </w:rPr>
      </w:pPr>
    </w:p>
    <w:p w14:paraId="65805B4B" w14:textId="77777777" w:rsidR="00A15A35" w:rsidRDefault="006E5B69" w:rsidP="00386F78">
      <w:pPr>
        <w:pStyle w:val="NormalWeb"/>
        <w:spacing w:before="0" w:beforeAutospacing="0" w:after="0" w:afterAutospacing="0"/>
        <w:ind w:left="720"/>
        <w:jc w:val="both"/>
        <w:rPr>
          <w:rFonts w:ascii="Arial" w:hAnsi="Arial" w:cs="Arial"/>
          <w:color w:val="000000"/>
          <w:sz w:val="22"/>
          <w:szCs w:val="22"/>
        </w:rPr>
      </w:pPr>
      <w:r>
        <w:rPr>
          <w:rFonts w:ascii="Arial" w:hAnsi="Arial" w:cs="Arial"/>
          <w:color w:val="000000"/>
          <w:sz w:val="22"/>
          <w:szCs w:val="22"/>
        </w:rPr>
        <w:t>Ud fra overstående identificeres to risici med en høj risikoværdi</w:t>
      </w:r>
      <w:r w:rsidR="00386F78">
        <w:rPr>
          <w:rFonts w:ascii="Arial" w:hAnsi="Arial" w:cs="Arial"/>
          <w:color w:val="000000"/>
          <w:sz w:val="22"/>
          <w:szCs w:val="22"/>
        </w:rPr>
        <w:t xml:space="preserve">. Det er </w:t>
      </w:r>
      <w:r>
        <w:rPr>
          <w:rFonts w:ascii="Arial" w:hAnsi="Arial" w:cs="Arial"/>
          <w:color w:val="000000"/>
          <w:sz w:val="22"/>
          <w:szCs w:val="22"/>
        </w:rPr>
        <w:t>hhv. Tyveri</w:t>
      </w:r>
      <w:r w:rsidR="00386F78">
        <w:rPr>
          <w:rFonts w:ascii="Arial" w:hAnsi="Arial" w:cs="Arial"/>
          <w:color w:val="000000"/>
          <w:sz w:val="22"/>
          <w:szCs w:val="22"/>
        </w:rPr>
        <w:t xml:space="preserve"> (risikoværdi på 24)</w:t>
      </w:r>
      <w:r>
        <w:rPr>
          <w:rFonts w:ascii="Arial" w:hAnsi="Arial" w:cs="Arial"/>
          <w:color w:val="000000"/>
          <w:sz w:val="22"/>
          <w:szCs w:val="22"/>
        </w:rPr>
        <w:t xml:space="preserve"> og Uautoriseret adgang</w:t>
      </w:r>
      <w:r w:rsidR="00386F78">
        <w:rPr>
          <w:rFonts w:ascii="Arial" w:hAnsi="Arial" w:cs="Arial"/>
          <w:color w:val="000000"/>
          <w:sz w:val="22"/>
          <w:szCs w:val="22"/>
        </w:rPr>
        <w:t xml:space="preserve"> (risikoværdi på 20)</w:t>
      </w:r>
      <w:r>
        <w:rPr>
          <w:rFonts w:ascii="Arial" w:hAnsi="Arial" w:cs="Arial"/>
          <w:color w:val="000000"/>
          <w:sz w:val="22"/>
          <w:szCs w:val="22"/>
        </w:rPr>
        <w:t>.</w:t>
      </w:r>
      <w:r w:rsidR="00386F78">
        <w:rPr>
          <w:rFonts w:ascii="Arial" w:hAnsi="Arial" w:cs="Arial"/>
          <w:color w:val="000000"/>
          <w:sz w:val="22"/>
          <w:szCs w:val="22"/>
        </w:rPr>
        <w:t xml:space="preserve"> </w:t>
      </w:r>
      <w:r>
        <w:rPr>
          <w:rFonts w:ascii="Arial" w:hAnsi="Arial" w:cs="Arial"/>
          <w:color w:val="000000"/>
          <w:sz w:val="22"/>
          <w:szCs w:val="22"/>
        </w:rPr>
        <w:t xml:space="preserve">For at imødegå disse kan flere værktøjer tages i brug. </w:t>
      </w:r>
    </w:p>
    <w:p w14:paraId="22ED9918" w14:textId="77777777" w:rsidR="00A15A35" w:rsidRDefault="00A15A35" w:rsidP="00386F78">
      <w:pPr>
        <w:pStyle w:val="NormalWeb"/>
        <w:spacing w:before="0" w:beforeAutospacing="0" w:after="0" w:afterAutospacing="0"/>
        <w:ind w:left="720"/>
        <w:jc w:val="both"/>
        <w:rPr>
          <w:rFonts w:ascii="Arial" w:hAnsi="Arial" w:cs="Arial"/>
          <w:color w:val="000000"/>
          <w:sz w:val="22"/>
          <w:szCs w:val="22"/>
        </w:rPr>
      </w:pPr>
    </w:p>
    <w:p w14:paraId="5CD6EA38" w14:textId="44E55A3C" w:rsidR="006E5B69" w:rsidRDefault="006E5B69" w:rsidP="00386F78">
      <w:pPr>
        <w:pStyle w:val="NormalWeb"/>
        <w:spacing w:before="0" w:beforeAutospacing="0" w:after="0" w:afterAutospacing="0"/>
        <w:ind w:left="720"/>
        <w:jc w:val="both"/>
        <w:rPr>
          <w:rFonts w:ascii="Arial" w:hAnsi="Arial" w:cs="Arial"/>
          <w:color w:val="000000"/>
          <w:sz w:val="22"/>
          <w:szCs w:val="22"/>
        </w:rPr>
      </w:pPr>
      <w:r>
        <w:rPr>
          <w:rFonts w:ascii="Arial" w:hAnsi="Arial" w:cs="Arial"/>
          <w:color w:val="000000"/>
          <w:sz w:val="22"/>
          <w:szCs w:val="22"/>
        </w:rPr>
        <w:t xml:space="preserve">I forhold til tyveri kan systemet designes til at sænke konsekvensen ved ofte at tage backup, som gemmes på en anden lokation. Derved sænkes konsekvensen. </w:t>
      </w:r>
    </w:p>
    <w:p w14:paraId="3BE4449B" w14:textId="77777777" w:rsidR="006E5B69" w:rsidRDefault="006E5B69" w:rsidP="00386F78">
      <w:pPr>
        <w:pStyle w:val="NormalWeb"/>
        <w:spacing w:before="0" w:beforeAutospacing="0" w:after="0" w:afterAutospacing="0"/>
        <w:ind w:left="720"/>
        <w:jc w:val="both"/>
        <w:rPr>
          <w:rFonts w:ascii="Arial" w:hAnsi="Arial" w:cs="Arial"/>
          <w:color w:val="000000"/>
          <w:sz w:val="22"/>
          <w:szCs w:val="22"/>
        </w:rPr>
      </w:pPr>
    </w:p>
    <w:p w14:paraId="311AB07C" w14:textId="2A3D3504" w:rsidR="006E5B69" w:rsidRDefault="006E5B69" w:rsidP="00386F78">
      <w:pPr>
        <w:pStyle w:val="NormalWeb"/>
        <w:spacing w:before="0" w:beforeAutospacing="0" w:after="0" w:afterAutospacing="0"/>
        <w:ind w:left="720"/>
        <w:jc w:val="both"/>
        <w:rPr>
          <w:rFonts w:ascii="Arial" w:hAnsi="Arial" w:cs="Arial"/>
          <w:color w:val="000000"/>
          <w:sz w:val="22"/>
          <w:szCs w:val="22"/>
        </w:rPr>
      </w:pPr>
      <w:r>
        <w:rPr>
          <w:rFonts w:ascii="Arial" w:hAnsi="Arial" w:cs="Arial"/>
          <w:color w:val="000000"/>
          <w:sz w:val="22"/>
          <w:szCs w:val="22"/>
        </w:rPr>
        <w:t>I forhold til uautoriseret adgang til systemet menes der</w:t>
      </w:r>
      <w:r w:rsidR="00A15A35">
        <w:rPr>
          <w:rFonts w:ascii="Arial" w:hAnsi="Arial" w:cs="Arial"/>
          <w:color w:val="000000"/>
          <w:sz w:val="22"/>
          <w:szCs w:val="22"/>
        </w:rPr>
        <w:t>,</w:t>
      </w:r>
      <w:r>
        <w:rPr>
          <w:rFonts w:ascii="Arial" w:hAnsi="Arial" w:cs="Arial"/>
          <w:color w:val="000000"/>
          <w:sz w:val="22"/>
          <w:szCs w:val="22"/>
        </w:rPr>
        <w:t xml:space="preserve"> at en </w:t>
      </w:r>
      <w:r w:rsidR="00A15A35">
        <w:rPr>
          <w:rFonts w:ascii="Arial" w:hAnsi="Arial" w:cs="Arial"/>
          <w:color w:val="000000"/>
          <w:sz w:val="22"/>
          <w:szCs w:val="22"/>
        </w:rPr>
        <w:t xml:space="preserve">person, der ikke er tilknyttet skolen, kan få adgang til systemet og booking af lokaler. Dette kan imødegås på flere måder. Vi har blandt andet designet systemet til, at man skal have en aktiv e-mail tilhørende institutionen for at kunne booke et lokale. Derudover kunne man også indtænke, at der bliver sendt en bekræftelsesmail til mailadressen, der anvendes til bookingen. Herved tages der højde for, at en brugers e-mail kan misbruges af en anden person. Det udelukker ikke sandsynligheden for at det sker, men ejeren af den misbrugtes e-mail bliver gjort opmærksom på det, og kan handle på det. </w:t>
      </w:r>
    </w:p>
    <w:p w14:paraId="67F140D6" w14:textId="77777777" w:rsidR="006E5B69" w:rsidRDefault="006E5B69" w:rsidP="00386F78">
      <w:pPr>
        <w:pStyle w:val="NormalWeb"/>
        <w:spacing w:before="0" w:beforeAutospacing="0" w:after="0" w:afterAutospacing="0"/>
        <w:ind w:left="720"/>
        <w:jc w:val="both"/>
        <w:rPr>
          <w:rFonts w:ascii="Arial" w:hAnsi="Arial" w:cs="Arial"/>
          <w:color w:val="000000"/>
          <w:sz w:val="22"/>
          <w:szCs w:val="22"/>
        </w:rPr>
      </w:pPr>
    </w:p>
    <w:p w14:paraId="0670EA67" w14:textId="77777777" w:rsidR="00C57053" w:rsidRDefault="00C57053" w:rsidP="00292F9B">
      <w:pPr>
        <w:pStyle w:val="NormalWeb"/>
        <w:spacing w:before="0" w:beforeAutospacing="0" w:after="0" w:afterAutospacing="0"/>
        <w:jc w:val="both"/>
        <w:rPr>
          <w:rFonts w:ascii="Arial" w:hAnsi="Arial" w:cs="Arial"/>
          <w:color w:val="000000"/>
          <w:sz w:val="22"/>
          <w:szCs w:val="22"/>
        </w:rPr>
      </w:pPr>
    </w:p>
    <w:p w14:paraId="04126431" w14:textId="77777777" w:rsidR="003621E4" w:rsidRDefault="003621E4"/>
    <w:sectPr w:rsidR="003621E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91774" w14:textId="77777777" w:rsidR="00E632F2" w:rsidRDefault="00E632F2" w:rsidP="006E5B69">
      <w:pPr>
        <w:spacing w:after="0" w:line="240" w:lineRule="auto"/>
      </w:pPr>
      <w:r>
        <w:separator/>
      </w:r>
    </w:p>
  </w:endnote>
  <w:endnote w:type="continuationSeparator" w:id="0">
    <w:p w14:paraId="75E87394" w14:textId="77777777" w:rsidR="00E632F2" w:rsidRDefault="00E632F2" w:rsidP="006E5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5DA89" w14:textId="77777777" w:rsidR="00E632F2" w:rsidRDefault="00E632F2" w:rsidP="006E5B69">
      <w:pPr>
        <w:spacing w:after="0" w:line="240" w:lineRule="auto"/>
      </w:pPr>
      <w:r>
        <w:separator/>
      </w:r>
    </w:p>
  </w:footnote>
  <w:footnote w:type="continuationSeparator" w:id="0">
    <w:p w14:paraId="151BDA87" w14:textId="77777777" w:rsidR="00E632F2" w:rsidRDefault="00E632F2" w:rsidP="006E5B69">
      <w:pPr>
        <w:spacing w:after="0" w:line="240" w:lineRule="auto"/>
      </w:pPr>
      <w:r>
        <w:continuationSeparator/>
      </w:r>
    </w:p>
  </w:footnote>
  <w:footnote w:id="1">
    <w:p w14:paraId="4D7EC00E" w14:textId="77777777" w:rsidR="006E5B69" w:rsidRDefault="006E5B69" w:rsidP="006E5B69">
      <w:pPr>
        <w:pStyle w:val="Fodnotetekst"/>
      </w:pPr>
      <w:r>
        <w:rPr>
          <w:rStyle w:val="Fodnotehenvisning"/>
        </w:rPr>
        <w:footnoteRef/>
      </w:r>
      <w:r>
        <w:t xml:space="preserve"> Kilde: </w:t>
      </w:r>
      <w:r w:rsidRPr="000F32FD">
        <w:t>https://oes.dk/it-og-oekonomistyring/risikostyring/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C2258"/>
    <w:multiLevelType w:val="multilevel"/>
    <w:tmpl w:val="6C76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5689B"/>
    <w:multiLevelType w:val="multilevel"/>
    <w:tmpl w:val="7C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8233A"/>
    <w:multiLevelType w:val="hybridMultilevel"/>
    <w:tmpl w:val="70AE5A48"/>
    <w:lvl w:ilvl="0" w:tplc="0F7202EC">
      <w:start w:val="3"/>
      <w:numFmt w:val="bullet"/>
      <w:lvlText w:val=""/>
      <w:lvlJc w:val="left"/>
      <w:pPr>
        <w:ind w:left="720" w:hanging="360"/>
      </w:pPr>
      <w:rPr>
        <w:rFonts w:ascii="Symbol" w:eastAsia="Times New Roman"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5027401">
    <w:abstractNumId w:val="0"/>
  </w:num>
  <w:num w:numId="2" w16cid:durableId="1257641714">
    <w:abstractNumId w:val="2"/>
  </w:num>
  <w:num w:numId="3" w16cid:durableId="139280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27"/>
    <w:rsid w:val="000745BA"/>
    <w:rsid w:val="000868AB"/>
    <w:rsid w:val="000C3C88"/>
    <w:rsid w:val="0011364A"/>
    <w:rsid w:val="00130FCE"/>
    <w:rsid w:val="0016662A"/>
    <w:rsid w:val="00292F9B"/>
    <w:rsid w:val="003621E4"/>
    <w:rsid w:val="00386F78"/>
    <w:rsid w:val="003E3A1A"/>
    <w:rsid w:val="004979FD"/>
    <w:rsid w:val="005F0BC4"/>
    <w:rsid w:val="006E5B69"/>
    <w:rsid w:val="007049A4"/>
    <w:rsid w:val="008E4453"/>
    <w:rsid w:val="00A15A35"/>
    <w:rsid w:val="00C45D27"/>
    <w:rsid w:val="00C57053"/>
    <w:rsid w:val="00E632F2"/>
    <w:rsid w:val="00F74C42"/>
    <w:rsid w:val="00FC10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EBDE"/>
  <w15:chartTrackingRefBased/>
  <w15:docId w15:val="{71DB3D69-4F6A-4FD7-923F-DB0759DB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27"/>
  </w:style>
  <w:style w:type="paragraph" w:styleId="Overskrift1">
    <w:name w:val="heading 1"/>
    <w:basedOn w:val="Normal"/>
    <w:next w:val="Normal"/>
    <w:link w:val="Overskrift1Tegn"/>
    <w:uiPriority w:val="9"/>
    <w:qFormat/>
    <w:rsid w:val="00C45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45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C45D2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45D2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45D2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45D2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45D2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45D2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45D2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45D2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C45D2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C45D2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45D2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45D2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45D2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45D2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45D2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45D27"/>
    <w:rPr>
      <w:rFonts w:eastAsiaTheme="majorEastAsia" w:cstheme="majorBidi"/>
      <w:color w:val="272727" w:themeColor="text1" w:themeTint="D8"/>
    </w:rPr>
  </w:style>
  <w:style w:type="paragraph" w:styleId="Titel">
    <w:name w:val="Title"/>
    <w:basedOn w:val="Normal"/>
    <w:next w:val="Normal"/>
    <w:link w:val="TitelTegn"/>
    <w:uiPriority w:val="10"/>
    <w:qFormat/>
    <w:rsid w:val="00C45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45D2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45D2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45D2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45D2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45D27"/>
    <w:rPr>
      <w:i/>
      <w:iCs/>
      <w:color w:val="404040" w:themeColor="text1" w:themeTint="BF"/>
    </w:rPr>
  </w:style>
  <w:style w:type="paragraph" w:styleId="Listeafsnit">
    <w:name w:val="List Paragraph"/>
    <w:basedOn w:val="Normal"/>
    <w:uiPriority w:val="34"/>
    <w:qFormat/>
    <w:rsid w:val="00C45D27"/>
    <w:pPr>
      <w:ind w:left="720"/>
      <w:contextualSpacing/>
    </w:pPr>
  </w:style>
  <w:style w:type="character" w:styleId="Kraftigfremhvning">
    <w:name w:val="Intense Emphasis"/>
    <w:basedOn w:val="Standardskrifttypeiafsnit"/>
    <w:uiPriority w:val="21"/>
    <w:qFormat/>
    <w:rsid w:val="00C45D27"/>
    <w:rPr>
      <w:i/>
      <w:iCs/>
      <w:color w:val="0F4761" w:themeColor="accent1" w:themeShade="BF"/>
    </w:rPr>
  </w:style>
  <w:style w:type="paragraph" w:styleId="Strktcitat">
    <w:name w:val="Intense Quote"/>
    <w:basedOn w:val="Normal"/>
    <w:next w:val="Normal"/>
    <w:link w:val="StrktcitatTegn"/>
    <w:uiPriority w:val="30"/>
    <w:qFormat/>
    <w:rsid w:val="00C45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45D27"/>
    <w:rPr>
      <w:i/>
      <w:iCs/>
      <w:color w:val="0F4761" w:themeColor="accent1" w:themeShade="BF"/>
    </w:rPr>
  </w:style>
  <w:style w:type="character" w:styleId="Kraftighenvisning">
    <w:name w:val="Intense Reference"/>
    <w:basedOn w:val="Standardskrifttypeiafsnit"/>
    <w:uiPriority w:val="32"/>
    <w:qFormat/>
    <w:rsid w:val="00C45D27"/>
    <w:rPr>
      <w:b/>
      <w:bCs/>
      <w:smallCaps/>
      <w:color w:val="0F4761" w:themeColor="accent1" w:themeShade="BF"/>
      <w:spacing w:val="5"/>
    </w:rPr>
  </w:style>
  <w:style w:type="paragraph" w:styleId="NormalWeb">
    <w:name w:val="Normal (Web)"/>
    <w:basedOn w:val="Normal"/>
    <w:uiPriority w:val="99"/>
    <w:unhideWhenUsed/>
    <w:rsid w:val="00C45D27"/>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genafstand">
    <w:name w:val="No Spacing"/>
    <w:link w:val="IngenafstandTegn"/>
    <w:uiPriority w:val="1"/>
    <w:qFormat/>
    <w:rsid w:val="006E5B69"/>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6E5B69"/>
    <w:rPr>
      <w:rFonts w:eastAsiaTheme="minorEastAsia"/>
      <w:kern w:val="0"/>
      <w:lang w:eastAsia="da-DK"/>
      <w14:ligatures w14:val="none"/>
    </w:rPr>
  </w:style>
  <w:style w:type="paragraph" w:styleId="Billedtekst">
    <w:name w:val="caption"/>
    <w:basedOn w:val="Normal"/>
    <w:next w:val="Normal"/>
    <w:uiPriority w:val="35"/>
    <w:unhideWhenUsed/>
    <w:qFormat/>
    <w:rsid w:val="006E5B69"/>
    <w:pPr>
      <w:spacing w:after="200" w:line="240" w:lineRule="auto"/>
    </w:pPr>
    <w:rPr>
      <w:i/>
      <w:iCs/>
      <w:color w:val="0E2841" w:themeColor="text2"/>
      <w:sz w:val="18"/>
      <w:szCs w:val="18"/>
    </w:rPr>
  </w:style>
  <w:style w:type="paragraph" w:styleId="Fodnotetekst">
    <w:name w:val="footnote text"/>
    <w:basedOn w:val="Normal"/>
    <w:link w:val="FodnotetekstTegn"/>
    <w:uiPriority w:val="99"/>
    <w:semiHidden/>
    <w:unhideWhenUsed/>
    <w:rsid w:val="006E5B6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E5B69"/>
    <w:rPr>
      <w:sz w:val="20"/>
      <w:szCs w:val="20"/>
    </w:rPr>
  </w:style>
  <w:style w:type="character" w:styleId="Fodnotehenvisning">
    <w:name w:val="footnote reference"/>
    <w:basedOn w:val="Standardskrifttypeiafsnit"/>
    <w:uiPriority w:val="99"/>
    <w:semiHidden/>
    <w:unhideWhenUsed/>
    <w:rsid w:val="006E5B69"/>
    <w:rPr>
      <w:vertAlign w:val="superscript"/>
    </w:rPr>
  </w:style>
  <w:style w:type="table" w:styleId="Listetabel4-farve1">
    <w:name w:val="List Table 4 Accent 1"/>
    <w:basedOn w:val="Tabel-Normal"/>
    <w:uiPriority w:val="49"/>
    <w:rsid w:val="006E5B6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614</Words>
  <Characters>3746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Norborg Appel</dc:creator>
  <cp:keywords/>
  <dc:description/>
  <cp:lastModifiedBy>Kamilla Norborg Appel</cp:lastModifiedBy>
  <cp:revision>1</cp:revision>
  <dcterms:created xsi:type="dcterms:W3CDTF">2024-05-24T07:58:00Z</dcterms:created>
  <dcterms:modified xsi:type="dcterms:W3CDTF">2024-05-24T12:21:00Z</dcterms:modified>
</cp:coreProperties>
</file>