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b/>
          <w:bCs/>
          <w:color w:val="1F497D"/>
          <w:sz w:val="64"/>
          <w:szCs w:val="64"/>
        </w:rPr>
        <w:t xml:space="preserve">ROSETTA</w:t>
      </w:r>
    </w:p>
    <w:p>
      <w:pPr>
        <w:spacing w:after="80"/>
        <w:jc w:val="center"/>
      </w:pPr>
      <w:r>
        <w:rPr>
          <w:rFonts w:ascii="Arial" w:cs="Arial" w:eastAsia="Arial" w:hAnsi="Arial"/>
          <w:color w:val="333333"/>
          <w:sz w:val="32"/>
          <w:szCs w:val="32"/>
        </w:rPr>
        <w:t xml:space="preserve">A Physics-Informed Neural Network for Predicting</w:t>
      </w:r>
    </w:p>
    <w:p>
      <w:pPr>
        <w:spacing w:after="80"/>
        <w:jc w:val="center"/>
      </w:pPr>
      <w:r>
        <w:rPr>
          <w:rFonts w:ascii="Arial" w:cs="Arial" w:eastAsia="Arial" w:hAnsi="Arial"/>
          <w:color w:val="333333"/>
          <w:sz w:val="32"/>
          <w:szCs w:val="32"/>
        </w:rPr>
        <w:t xml:space="preserve">Copper Recovery in Bioleaching Column Tests</w:t>
      </w:r>
    </w:p>
    <w:p>
      <w:pPr>
        <w:spacing w:after="320"/>
      </w:pPr>
    </w:p>
    <w:p>
      <w:pPr>
        <w:spacing w:after="60"/>
        <w:jc w:val="center"/>
      </w:pPr>
      <w:r>
        <w:rPr>
          <w:rFonts w:ascii="Arial" w:cs="Arial" w:eastAsia="Arial" w:hAnsi="Arial"/>
          <w:i/>
          <w:iCs/>
          <w:color w:val="777777"/>
          <w:sz w:val="20"/>
          <w:szCs w:val="20"/>
        </w:rPr>
        <w:t xml:space="preserve">Technical Report — Version 12 (v12_data_informed_prefit_caps_20260424)</w:t>
      </w:r>
    </w:p>
    <w:p>
      <w:pPr>
        <w:spacing w:after="60"/>
        <w:jc w:val="center"/>
      </w:pPr>
      <w:r>
        <w:rPr>
          <w:rFonts w:ascii="Arial" w:cs="Arial" w:eastAsia="Arial" w:hAnsi="Arial"/>
          <w:i/>
          <w:iCs/>
          <w:color w:val="777777"/>
          <w:sz w:val="20"/>
          <w:szCs w:val="20"/>
        </w:rPr>
        <w:t xml:space="preserve">Prepared for Metallurgical Conference Presentation</w:t>
      </w:r>
    </w:p>
    <w:p>
      <w:pPr>
        <w:jc w:val="center"/>
      </w:pPr>
      <w:r>
        <w:rPr>
          <w:rFonts w:ascii="Arial" w:cs="Arial" w:eastAsia="Arial" w:hAnsi="Arial"/>
          <w:i/>
          <w:iCs/>
          <w:color w:val="777777"/>
          <w:sz w:val="20"/>
          <w:szCs w:val="20"/>
        </w:rPr>
        <w:t xml:space="preserve">April 2026</w:t>
      </w:r>
    </w:p>
    <w:p>
      <w:pPr>
        <w:spacing w:after="400"/>
      </w:pPr>
    </w:p>
    <w:p>
      <w:pPr>
        <w:pBdr>
          <w:bottom w:val="single" w:color="1F497D" w:sz="6" w:space="1"/>
        </w:pBdr>
        <w:spacing w:after="160"/>
      </w:pPr>
    </w:p>
    <w:p>
      <w:pPr>
        <w:spacing w:after="200"/>
      </w:pPr>
    </w:p>
    <w:p>
      <w:pPr>
        <w:pStyle w:val="Heading1"/>
        <w:spacing w:after="120" w:before="320"/>
      </w:pPr>
      <w:r>
        <w:rPr>
          <w:rFonts w:ascii="Arial" w:cs="Arial" w:eastAsia="Arial" w:hAnsi="Arial"/>
          <w:b/>
          <w:bCs/>
          <w:color w:val="1F497D"/>
          <w:sz w:val="28"/>
          <w:szCs w:val="28"/>
        </w:rPr>
        <w:t xml:space="preserve">Abstract</w:t>
      </w:r>
    </w:p>
    <w:p>
      <w:pPr>
        <w:spacing w:after="120" w:before="0" w:line="276" w:lineRule="auto"/>
        <w:jc w:val="both"/>
      </w:pPr>
      <w:r>
        <w:rPr>
          <w:rFonts w:ascii="Arial" w:cs="Arial" w:eastAsia="Arial" w:hAnsi="Arial"/>
          <w:sz w:val="22"/>
          <w:szCs w:val="22"/>
        </w:rPr>
        <w:t xml:space="preserve">Chalcopyrite (CuFeS₂) is the world's most abundant copper mineral, yet its resistance to hydrometallurgical leaching remains one of the industry's central challenges. Passivation — the progressive accumulation of insoluble surface films — severely limits copper extraction under conventional heap- and column-leach conditions, particularly for primary sulfide ores. A proprietary catalyst technology has demonstrated the ability to depassivate chalcopyrite surfaces and unlock substantially higher recoveries over extended leach cycles. Accurately predicting the recovery trajectory for both control (uncatalyzed) and catalyzed columns — across a wide diversity of ore types, mineralogies, and operating conditions — is critical for project economics and process design.</w:t>
      </w:r>
    </w:p>
    <w:p>
      <w:pPr>
        <w:spacing w:after="120" w:before="0" w:line="276" w:lineRule="auto"/>
        <w:jc w:val="both"/>
      </w:pPr>
      <w:r>
        <w:rPr>
          <w:rFonts w:ascii="Arial" w:cs="Arial" w:eastAsia="Arial" w:hAnsi="Arial"/>
          <w:sz w:val="22"/>
          <w:szCs w:val="22"/>
        </w:rPr>
        <w:t xml:space="preserve">This paper presents Rosetta, a physics-informed ensemble neural network (version 12, logic version v12_data_informed_prefit_caps_20260424) purpose-built to model copper recovery as a function of leach time, ore mineralogy, operational geometry, and cumulative catalyst/lixiviant dosing. The model represents copper recovery kinetics using a two-component bi-exponential equation whose parameters are predicted entirely by the neural network from ore-characterization inputs. The architecture encodes twenty metallurgically-derived latent interaction terms — covering passivation, ferric synergy, acid buffering, diffusion drag, surface refresh, depassivation, and catalyst aging — and enforces physical constraints such as non-decreasing recovery, mineralogy-derived asymptotic caps, and particle-size-dependent kinetic penalties. Version 12 introduces a data-informed pre-fit cap system: for columns with long test durations (≥350 days) and flat tails (≤0.020 %/day terminal slope), the asymptotic cap is anchored to the observed recovery plus a small mineralogy-aware headroom allowance, preventing the model from extrapolating to unrealistically high long-term recoveries for genuinely refractory ores. Per-sample primary-sulfide recovery priors are further dynamically adjusted through two composite oxide-chemistry scores (ferric_ready_primary_score and tall_column_oxidant_deficit_score) that encode the favorability of lixiviant chemistry and column geometry for chalcopyrite attack. An ensemble of 500 independently trained models generates uncertainty bounds alongside the central recovery forecast. Rosetta v12 is trained and validated against a proprietary multi-project column-leach database spanning a broad range of copper porphyry and secondary-sulfide ore types.</w:t>
      </w:r>
    </w:p>
    <w:p>
      <w:pPr>
        <w:spacing w:after="200"/>
      </w:pPr>
    </w:p>
    <w:p>
      <w:r>
        <w:br w:type="page"/>
      </w:r>
    </w:p>
    <w:p>
      <w:pPr>
        <w:pStyle w:val="Heading1"/>
        <w:spacing w:after="120" w:before="320"/>
      </w:pPr>
      <w:r>
        <w:rPr>
          <w:rFonts w:ascii="Arial" w:cs="Arial" w:eastAsia="Arial" w:hAnsi="Arial"/>
          <w:b/>
          <w:bCs/>
          <w:color w:val="1F497D"/>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rial" w:cs="Arial" w:eastAsia="Arial" w:hAnsi="Arial"/>
          <w:b/>
          <w:bCs/>
          <w:color w:val="1F497D"/>
          <w:sz w:val="28"/>
          <w:szCs w:val="28"/>
        </w:rPr>
        <w:t xml:space="preserve">1. Introduction</w:t>
      </w:r>
    </w:p>
    <w:p>
      <w:pPr>
        <w:spacing w:after="120" w:before="0" w:line="276" w:lineRule="auto"/>
        <w:jc w:val="both"/>
      </w:pPr>
      <w:r>
        <w:rPr>
          <w:rFonts w:ascii="Arial" w:cs="Arial" w:eastAsia="Arial" w:hAnsi="Arial"/>
          <w:sz w:val="22"/>
          <w:szCs w:val="22"/>
        </w:rPr>
        <w:t xml:space="preserve">Hydrometallurgical leaching of copper sulfide ores has been practiced commercially for decades, yet chalcopyrite-dominant deposits continue to represent a significant challenge. Chalcopyrite (CuFeS₂) accounts for approximately 70% of the world's copper reserves, but its electrochemical passivation under standard sulfuric acid / ferric sulfate conditions limits copper extractions to 30–50% in control (uncatalyzed) systems, even over multi-year leach cycles. The primary culprit is the formation of passive surface layers — principally a sulfur-rich, iron-deficient polysulfide phase — that blocks further oxidant access to the unreacted mineral surface.</w:t>
      </w:r>
    </w:p>
    <w:p>
      <w:pPr>
        <w:spacing w:after="120" w:before="0" w:line="276" w:lineRule="auto"/>
        <w:jc w:val="both"/>
      </w:pPr>
      <w:r>
        <w:rPr>
          <w:rFonts w:ascii="Arial" w:cs="Arial" w:eastAsia="Arial" w:hAnsi="Arial"/>
          <w:sz w:val="22"/>
          <w:szCs w:val="22"/>
        </w:rPr>
        <w:t xml:space="preserve">Catalyst-enhanced leaching technologies seek to overcome this barrier by introducing iron-coordinating organosulfur molecules that maintain chalcopyrite in an electrochemically active state, effectively preventing or reversing passivation. Column leach tests, conducted under conditions representative of heap operations, are the standard tool for evaluating catalyst performance across different ore samples. The fundamental output of these tests is the copper recovery curve: cumulative copper extraction (%) as a function of leach duration (days).</w:t>
      </w:r>
    </w:p>
    <w:p>
      <w:pPr>
        <w:spacing w:after="120" w:before="0" w:line="276" w:lineRule="auto"/>
        <w:jc w:val="both"/>
      </w:pPr>
      <w:r>
        <w:rPr>
          <w:rFonts w:ascii="Arial" w:cs="Arial" w:eastAsia="Arial" w:hAnsi="Arial"/>
          <w:sz w:val="22"/>
          <w:szCs w:val="22"/>
        </w:rPr>
        <w:t xml:space="preserve">Predicting this curve accurately from ore characterization data and operational parameters is of high commercial value. It enables: (i) project-level economic assessment of catalyst benefit before full-scale heap construction, (ii) process parameter optimization (irrigation rate, catalyst dose, particle-size target), and (iii) robust uncertainty quantification for project risk assessments. Rosetta was developed to address this need using a physics-informed machine learning approach that combines the interpretability of metallurgical kinetics models with the pattern-recognition power of deep neural networks.</w:t>
      </w:r>
    </w:p>
    <w:p>
      <w:pPr>
        <w:pStyle w:val="Heading1"/>
        <w:spacing w:after="120" w:before="320"/>
      </w:pPr>
      <w:r>
        <w:rPr>
          <w:rFonts w:ascii="Arial" w:cs="Arial" w:eastAsia="Arial" w:hAnsi="Arial"/>
          <w:b/>
          <w:bCs/>
          <w:color w:val="1F497D"/>
          <w:sz w:val="28"/>
          <w:szCs w:val="28"/>
        </w:rPr>
        <w:t xml:space="preserve">2. Metallurgical Background</w:t>
      </w:r>
    </w:p>
    <w:p>
      <w:pPr>
        <w:pStyle w:val="Heading2"/>
        <w:spacing w:after="80" w:before="240"/>
      </w:pPr>
      <w:r>
        <w:rPr>
          <w:rFonts w:ascii="Arial" w:cs="Arial" w:eastAsia="Arial" w:hAnsi="Arial"/>
          <w:b/>
          <w:bCs/>
          <w:color w:val="1F497D"/>
          <w:sz w:val="24"/>
          <w:szCs w:val="24"/>
        </w:rPr>
        <w:t xml:space="preserve">2.1 Copper Ore Mineralogy and Leachability</w:t>
      </w:r>
    </w:p>
    <w:p>
      <w:pPr>
        <w:spacing w:after="120" w:before="0" w:line="276" w:lineRule="auto"/>
        <w:jc w:val="both"/>
      </w:pPr>
      <w:r>
        <w:rPr>
          <w:rFonts w:ascii="Arial" w:cs="Arial" w:eastAsia="Arial" w:hAnsi="Arial"/>
          <w:sz w:val="22"/>
          <w:szCs w:val="22"/>
        </w:rPr>
        <w:t xml:space="preserve">Copper deposits contain a spectrum of mineralogical phases that respond very differently to acidic oxidative leaching. For the purposes of recovery modeling, copper minerals are classified into three broad categories based on their leachability:</w:t>
      </w:r>
    </w:p>
    <w:p>
      <w:pPr>
        <w:pStyle w:val="ListParagraph"/>
        <w:numPr>
          <w:ilvl w:val="0"/>
          <w:numId w:val="2"/>
        </w:numPr>
        <w:spacing w:after="40" w:before="40"/>
      </w:pPr>
      <w:r>
        <w:rPr>
          <w:rFonts w:ascii="Arial" w:cs="Arial" w:eastAsia="Arial" w:hAnsi="Arial"/>
          <w:b w:val="false"/>
          <w:bCs w:val="false"/>
          <w:sz w:val="22"/>
          <w:szCs w:val="22"/>
        </w:rPr>
        <w:t xml:space="preserve">Copper oxides and acid-soluble species: include malachite, azurite, chrysocolla, brochantite, and atacamite. These phases dissolve readily in dilute sulfuric acid at ambient temperature with essentially complete extraction achievable (&gt;95% recovery). Acid-soluble copper (“acid-soluble %”) and cyanide-soluble copper (“cyanide-soluble %”) assays are standard proxies for this fraction.</w:t>
      </w:r>
    </w:p>
    <w:p>
      <w:pPr>
        <w:pStyle w:val="ListParagraph"/>
        <w:numPr>
          <w:ilvl w:val="0"/>
          <w:numId w:val="2"/>
        </w:numPr>
        <w:spacing w:after="40" w:before="40"/>
      </w:pPr>
      <w:r>
        <w:rPr>
          <w:rFonts w:ascii="Arial" w:cs="Arial" w:eastAsia="Arial" w:hAnsi="Arial"/>
          <w:b w:val="false"/>
          <w:bCs w:val="false"/>
          <w:sz w:val="22"/>
          <w:szCs w:val="22"/>
        </w:rPr>
        <w:t xml:space="preserve">Secondary copper sulfides: include covellite (CuS), chalcocite (Cu₂S), and digenite. These minerals are electrochemically more reactive than chalcopyrite and can be leached in the presence of ferric iron with 60–80% recovery achievable in heap conditions. They respond well to acid/ferric lixiviant but do not require catalyst depassivation.</w:t>
      </w:r>
    </w:p>
    <w:p>
      <w:pPr>
        <w:pStyle w:val="ListParagraph"/>
        <w:numPr>
          <w:ilvl w:val="0"/>
          <w:numId w:val="2"/>
        </w:numPr>
        <w:spacing w:after="40" w:before="40"/>
      </w:pPr>
      <w:r>
        <w:rPr>
          <w:rFonts w:ascii="Arial" w:cs="Arial" w:eastAsia="Arial" w:hAnsi="Arial"/>
          <w:b w:val="false"/>
          <w:bCs w:val="false"/>
          <w:sz w:val="22"/>
          <w:szCs w:val="22"/>
        </w:rPr>
        <w:t xml:space="preserve">Primary copper sulfides (chalcopyrite, CuFeS₂): the dominant refractory copper mineral. Chalcopyrite leaches slowly under standard conditions and passivates, typically yielding only 25–45% recovery in control columns even over 500–1500-day campaigns. The catalyst primarily targets this fraction.</w:t>
      </w:r>
    </w:p>
    <w:p>
      <w:pPr>
        <w:spacing w:after="80"/>
      </w:pPr>
    </w:p>
    <w:p>
      <w:pPr>
        <w:spacing w:after="120" w:before="0" w:line="276" w:lineRule="auto"/>
        <w:jc w:val="both"/>
      </w:pPr>
      <w:r>
        <w:rPr>
          <w:rFonts w:ascii="Arial" w:cs="Arial" w:eastAsia="Arial" w:hAnsi="Arial"/>
          <w:sz w:val="22"/>
          <w:szCs w:val="22"/>
        </w:rPr>
        <w:t xml:space="preserve">The relative proportions of these three classes, reported as copper-equivalent fractions normalized to total head copper, directly govern the theoretical leachable ceiling for each ore sample. Rosetta encodes this as mineralogy-derived asymptotic recovery caps (Section 5).</w:t>
      </w:r>
    </w:p>
    <w:p>
      <w:pPr>
        <w:spacing w:after="120" w:before="0" w:line="276" w:lineRule="auto"/>
        <w:jc w:val="both"/>
      </w:pPr>
      <w:r>
        <w:rPr>
          <w:rFonts w:ascii="Arial" w:cs="Arial" w:eastAsia="Arial" w:hAnsi="Arial"/>
          <w:sz w:val="22"/>
          <w:szCs w:val="22"/>
        </w:rPr>
        <w:t xml:space="preserve">An additional complicating mineralogical factor is the presence of gangue sulfides (primarily pyrite, FeS₂, but also sphalerite ZnS and galena PbS) and gangue minerals (carbonates, silicates, phosphates, iron oxides). These phases exert significant indirect effects on copper leaching kinetics through their competition for oxidant, acid consumption, and physical pore-plugging mechanisms.</w:t>
      </w:r>
    </w:p>
    <w:p>
      <w:pPr>
        <w:pStyle w:val="Heading2"/>
        <w:spacing w:after="80" w:before="240"/>
      </w:pPr>
      <w:r>
        <w:rPr>
          <w:rFonts w:ascii="Arial" w:cs="Arial" w:eastAsia="Arial" w:hAnsi="Arial"/>
          <w:b/>
          <w:bCs/>
          <w:color w:val="1F497D"/>
          <w:sz w:val="24"/>
          <w:szCs w:val="24"/>
        </w:rPr>
        <w:t xml:space="preserve">2.2 Chalcopyrite Passivation: The Central Leaching Challenge</w:t>
      </w:r>
    </w:p>
    <w:p>
      <w:pPr>
        <w:spacing w:after="120" w:before="0" w:line="276" w:lineRule="auto"/>
        <w:jc w:val="both"/>
      </w:pPr>
      <w:r>
        <w:rPr>
          <w:rFonts w:ascii="Arial" w:cs="Arial" w:eastAsia="Arial" w:hAnsi="Arial"/>
          <w:sz w:val="22"/>
          <w:szCs w:val="22"/>
        </w:rPr>
        <w:t xml:space="preserve">The fundamental barrier to chalcopyrite heap leaching is electrochemical passivation. The standard leaching reaction proceeds via ferric iron as the primary oxidant:</w:t>
      </w:r>
    </w:p>
    <w:p>
      <w:pPr>
        <w:spacing w:after="120" w:before="120"/>
        <w:jc w:val="center"/>
      </w:pPr>
      <w:r>
        <w:rPr>
          <w:rFonts w:ascii="Courier New" w:cs="Courier New" w:eastAsia="Courier New" w:hAnsi="Courier New"/>
          <w:b/>
          <w:bCs/>
          <w:sz w:val="22"/>
          <w:szCs w:val="22"/>
        </w:rPr>
        <w:t xml:space="preserve">CuFeS₂ + 4Fe³⁺  →  Cu²⁺ + 5Fe²⁺ + 2S°</w:t>
      </w:r>
    </w:p>
    <w:p>
      <w:pPr>
        <w:spacing w:after="120" w:before="0" w:line="276" w:lineRule="auto"/>
        <w:jc w:val="both"/>
      </w:pPr>
      <w:r>
        <w:rPr>
          <w:rFonts w:ascii="Arial" w:cs="Arial" w:eastAsia="Arial" w:hAnsi="Arial"/>
          <w:sz w:val="22"/>
          <w:szCs w:val="22"/>
        </w:rPr>
        <w:t xml:space="preserve">However, this reaction does not proceed continuously. After an initial period of surface dissolution, a protective layer forms at the mineral surface. The composition of this passivating film has been debated extensively in the literature; current consensus holds that it is primarily a polysulfide or elemental sulfur layer combined with an iron-deficient sulfide surface (Cu₂S-like). This layer dramatically reduces the rate of Fe³⁺ diffusion to the reactive mineral surface, and the leach rate declines exponentially even in the presence of excess oxidant.</w:t>
      </w:r>
    </w:p>
    <w:p>
      <w:pPr>
        <w:spacing w:after="120" w:before="0" w:line="276" w:lineRule="auto"/>
        <w:jc w:val="both"/>
      </w:pPr>
      <w:r>
        <w:rPr>
          <w:rFonts w:ascii="Arial" w:cs="Arial" w:eastAsia="Arial" w:hAnsi="Arial"/>
          <w:sz w:val="22"/>
          <w:szCs w:val="22"/>
        </w:rPr>
        <w:t xml:space="preserve">The severity of passivation depends on a complex interaction of factors encoded in Rosetta’s latent metallurgical interaction terms (Section 6). Key drivers include: (i) the proportion of chalcopyrite in the ore, (ii) the crystallographic nature of the chalcopyrite (coarse versus fine-grained), (iii) the redox potential (ORP) and Fe²⁺/Fe³⁺ ratio in the pore solution, (iv) particle size (coarser particles have larger diffusion path lengths), and (v) the presence of competing mineral phases that deplete the available ferric iron.</w:t>
      </w:r>
    </w:p>
    <w:p>
      <w:pPr>
        <w:spacing w:after="120" w:before="0" w:line="276" w:lineRule="auto"/>
        <w:jc w:val="both"/>
      </w:pPr>
      <w:r>
        <w:rPr>
          <w:rFonts w:ascii="Arial" w:cs="Arial" w:eastAsia="Arial" w:hAnsi="Arial"/>
          <w:sz w:val="22"/>
          <w:szCs w:val="22"/>
        </w:rPr>
        <w:t xml:space="preserve">Passivation strength is the predominant reason why control recovery curves for primary-sulfide-dominant ores plateau at relatively low recoveries. The bi-exponential model used by Rosetta captures this behavior through its slow component (A₂, b₂), whose kinetic rate constant b₂ decreases with increasing passivation burden.</w:t>
      </w:r>
    </w:p>
    <w:p>
      <w:pPr>
        <w:pStyle w:val="Heading2"/>
        <w:spacing w:after="80" w:before="240"/>
      </w:pPr>
      <w:r>
        <w:rPr>
          <w:rFonts w:ascii="Arial" w:cs="Arial" w:eastAsia="Arial" w:hAnsi="Arial"/>
          <w:b/>
          <w:bCs/>
          <w:color w:val="1F497D"/>
          <w:sz w:val="24"/>
          <w:szCs w:val="24"/>
        </w:rPr>
        <w:t xml:space="preserve">2.3 Catalyst Technology and Depassivation Mechanism</w:t>
      </w:r>
    </w:p>
    <w:p>
      <w:pPr>
        <w:spacing w:after="120" w:before="0" w:line="276" w:lineRule="auto"/>
        <w:jc w:val="both"/>
      </w:pPr>
      <w:r>
        <w:rPr>
          <w:rFonts w:ascii="Arial" w:cs="Arial" w:eastAsia="Arial" w:hAnsi="Arial"/>
          <w:sz w:val="22"/>
          <w:szCs w:val="22"/>
        </w:rPr>
        <w:t xml:space="preserve">The catalyst technology modeled by Rosetta works by coordinating with iron ions at the chalcopyrite surface, maintaining the mineral in an electrochemically active state that prevents or reverses the formation of the passive layer. The precise mechanism involves the catalyst molecule chelating Fe²⁺ at the dissolution interface, facilitating electron transfer and sustaining higher local Fe³⁺ concentrations at the reactive surface. The net effect is:</w:t>
      </w:r>
    </w:p>
    <w:p>
      <w:pPr>
        <w:pStyle w:val="ListParagraph"/>
        <w:numPr>
          <w:ilvl w:val="0"/>
          <w:numId w:val="2"/>
        </w:numPr>
        <w:spacing w:after="40" w:before="40"/>
      </w:pPr>
      <w:r>
        <w:rPr>
          <w:rFonts w:ascii="Arial" w:cs="Arial" w:eastAsia="Arial" w:hAnsi="Arial"/>
          <w:b w:val="false"/>
          <w:bCs w:val="false"/>
          <w:sz w:val="22"/>
          <w:szCs w:val="22"/>
        </w:rPr>
        <w:t xml:space="preserve">Elimination or significant reduction of the passivating surface layer.</w:t>
      </w:r>
    </w:p>
    <w:p>
      <w:pPr>
        <w:pStyle w:val="ListParagraph"/>
        <w:numPr>
          <w:ilvl w:val="0"/>
          <w:numId w:val="2"/>
        </w:numPr>
        <w:spacing w:after="40" w:before="40"/>
      </w:pPr>
      <w:r>
        <w:rPr>
          <w:rFonts w:ascii="Arial" w:cs="Arial" w:eastAsia="Arial" w:hAnsi="Arial"/>
          <w:b w:val="false"/>
          <w:bCs w:val="false"/>
          <w:sz w:val="22"/>
          <w:szCs w:val="22"/>
        </w:rPr>
        <w:t xml:space="preserve">Sustained kinetics in the slow (primary-sulfide) leaching component.</w:t>
      </w:r>
    </w:p>
    <w:p>
      <w:pPr>
        <w:pStyle w:val="ListParagraph"/>
        <w:numPr>
          <w:ilvl w:val="0"/>
          <w:numId w:val="2"/>
        </w:numPr>
        <w:spacing w:after="40" w:before="40"/>
      </w:pPr>
      <w:r>
        <w:rPr>
          <w:rFonts w:ascii="Arial" w:cs="Arial" w:eastAsia="Arial" w:hAnsi="Arial"/>
          <w:b w:val="false"/>
          <w:bCs w:val="false"/>
          <w:sz w:val="22"/>
          <w:szCs w:val="22"/>
        </w:rPr>
        <w:t xml:space="preserve">Higher ultimate (asymptotic) recovery: primary-sulfide recovery in catalyzed systems spans 25–70% (prior range), compared to 10–35% under control conditions. The precise per-sample prior is adjusted from these base ranges by the ferric-ready score and tall-column oxidant deficit score, which encode how conducive the ore geometry and initial lixiviant chemistry are to reaching high recovery.</w:t>
      </w:r>
    </w:p>
    <w:p>
      <w:pPr>
        <w:pStyle w:val="ListParagraph"/>
        <w:numPr>
          <w:ilvl w:val="0"/>
          <w:numId w:val="2"/>
        </w:numPr>
        <w:spacing w:after="40" w:before="40"/>
      </w:pPr>
      <w:r>
        <w:rPr>
          <w:rFonts w:ascii="Arial" w:cs="Arial" w:eastAsia="Arial" w:hAnsi="Arial"/>
          <w:b w:val="false"/>
          <w:bCs w:val="false"/>
          <w:sz w:val="22"/>
          <w:szCs w:val="22"/>
        </w:rPr>
        <w:t xml:space="preserve">Earlier onset of measurable kinetic benefit, particularly when catalyst is introduced at or near the start of leaching.</w:t>
      </w:r>
    </w:p>
    <w:p>
      <w:pPr>
        <w:spacing w:after="80"/>
      </w:pPr>
    </w:p>
    <w:p>
      <w:pPr>
        <w:spacing w:after="120" w:before="0" w:line="276" w:lineRule="auto"/>
        <w:jc w:val="both"/>
      </w:pPr>
      <w:r>
        <w:rPr>
          <w:rFonts w:ascii="Arial" w:cs="Arial" w:eastAsia="Arial" w:hAnsi="Arial"/>
          <w:sz w:val="22"/>
          <w:szCs w:val="22"/>
        </w:rPr>
        <w:t xml:space="preserve">The catalyst is fed continuously with the irrigation solution. Rosetta models the catalyst as a cumulative dosing profile (kg catalyst per tonne of ore, kg/t) tracked through both its cumulative mass addition and its in-column pore-solution concentration, the latter estimated via a Continuously Stirred Tank Reactor (CSTR) residence-time model described in Section 7.</w:t>
      </w:r>
    </w:p>
    <w:p>
      <w:pPr>
        <w:spacing w:after="120" w:before="0" w:line="276" w:lineRule="auto"/>
        <w:jc w:val="both"/>
      </w:pPr>
      <w:r>
        <w:rPr>
          <w:rFonts w:ascii="Arial" w:cs="Arial" w:eastAsia="Arial" w:hAnsi="Arial"/>
          <w:sz w:val="22"/>
          <w:szCs w:val="22"/>
        </w:rPr>
        <w:t xml:space="preserve">A key metallurgical insight encoded in the model is that catalyst benefit is not uniform across ore types. Ores with high gangue sulfide content (e.g., pyrite, sphalerite, galena) consume a disproportionate fraction of the available ferric iron, reducing the effective catalyst “headroom.” Similarly, high-carbonate ores buffer the solution pH, limiting the acid necessary to maintain the required redox conditions. Rosetta quantifies these interactions explicitly through the “primary_catalyst_synergy” and “depassivation_strength” latent terms.</w:t>
      </w:r>
    </w:p>
    <w:p>
      <w:pPr>
        <w:pStyle w:val="Heading2"/>
        <w:spacing w:after="80" w:before="240"/>
      </w:pPr>
      <w:r>
        <w:rPr>
          <w:rFonts w:ascii="Arial" w:cs="Arial" w:eastAsia="Arial" w:hAnsi="Arial"/>
          <w:b/>
          <w:bCs/>
          <w:color w:val="1F497D"/>
          <w:sz w:val="24"/>
          <w:szCs w:val="24"/>
        </w:rPr>
        <w:t xml:space="preserve">2.4 Column Leach Tests as the Reference System</w:t>
      </w:r>
    </w:p>
    <w:p>
      <w:pPr>
        <w:spacing w:after="120" w:before="0" w:line="276" w:lineRule="auto"/>
        <w:jc w:val="both"/>
      </w:pPr>
      <w:r>
        <w:rPr>
          <w:rFonts w:ascii="Arial" w:cs="Arial" w:eastAsia="Arial" w:hAnsi="Arial"/>
          <w:sz w:val="22"/>
          <w:szCs w:val="22"/>
        </w:rPr>
        <w:t xml:space="preserve">All Rosetta training data derives from laboratory and pilot-scale column leach tests operated under conditions representative of heap leaching. Key operational parameters captured in the model include:</w:t>
      </w:r>
    </w:p>
    <w:p>
      <w:pPr>
        <w:pStyle w:val="ListParagraph"/>
        <w:numPr>
          <w:ilvl w:val="0"/>
          <w:numId w:val="2"/>
        </w:numPr>
        <w:spacing w:after="40" w:before="40"/>
      </w:pPr>
      <w:r>
        <w:rPr>
          <w:rFonts w:ascii="Arial" w:cs="Arial" w:eastAsia="Arial" w:hAnsi="Arial"/>
          <w:b w:val="false"/>
          <w:bCs w:val="false"/>
          <w:sz w:val="22"/>
          <w:szCs w:val="22"/>
        </w:rPr>
        <w:t xml:space="preserve">Column geometry: height (m) and inner diameter (m). Column height is particularly important because it determines the hydraulic residence time of the lixiviant in the ore bed, the gradient in redox potential from top to bottom, and the extent of oxidant depletion before solution reaches the bottom of the heap.</w:t>
      </w:r>
    </w:p>
    <w:p>
      <w:pPr>
        <w:pStyle w:val="ListParagraph"/>
        <w:numPr>
          <w:ilvl w:val="0"/>
          <w:numId w:val="2"/>
        </w:numPr>
        <w:spacing w:after="40" w:before="40"/>
      </w:pPr>
      <w:r>
        <w:rPr>
          <w:rFonts w:ascii="Arial" w:cs="Arial" w:eastAsia="Arial" w:hAnsi="Arial"/>
          <w:b w:val="false"/>
          <w:bCs w:val="false"/>
          <w:sz w:val="22"/>
          <w:szCs w:val="22"/>
        </w:rPr>
        <w:t xml:space="preserve">Feed mass (kg): used to compute bulk density and to convert cumulative lixiviant additions from volumetric to mass-normalized units.</w:t>
      </w:r>
    </w:p>
    <w:p>
      <w:pPr>
        <w:pStyle w:val="ListParagraph"/>
        <w:numPr>
          <w:ilvl w:val="0"/>
          <w:numId w:val="2"/>
        </w:numPr>
        <w:spacing w:after="40" w:before="40"/>
      </w:pPr>
      <w:r>
        <w:rPr>
          <w:rFonts w:ascii="Arial" w:cs="Arial" w:eastAsia="Arial" w:hAnsi="Arial"/>
          <w:b w:val="false"/>
          <w:bCs w:val="false"/>
          <w:sz w:val="22"/>
          <w:szCs w:val="22"/>
        </w:rPr>
        <w:t xml:space="preserve">Irrigation rate (L/m²/h): controls the throughput of acid and oxidant, and directly governs the CSTR residence time for catalyst transport.</w:t>
      </w:r>
    </w:p>
    <w:p>
      <w:pPr>
        <w:pStyle w:val="ListParagraph"/>
        <w:numPr>
          <w:ilvl w:val="0"/>
          <w:numId w:val="2"/>
        </w:numPr>
        <w:spacing w:after="40" w:before="40"/>
      </w:pPr>
      <w:r>
        <w:rPr>
          <w:rFonts w:ascii="Arial" w:cs="Arial" w:eastAsia="Arial" w:hAnsi="Arial"/>
          <w:b w:val="false"/>
          <w:bCs w:val="false"/>
          <w:sz w:val="22"/>
          <w:szCs w:val="22"/>
        </w:rPr>
        <w:t xml:space="preserve">Material particle size (P80, inches): a key control on both surface area available for dissolution and on the effective diffusion path length within ore particles.</w:t>
      </w:r>
    </w:p>
    <w:p>
      <w:pPr>
        <w:pStyle w:val="ListParagraph"/>
        <w:numPr>
          <w:ilvl w:val="0"/>
          <w:numId w:val="2"/>
        </w:numPr>
        <w:spacing w:after="40" w:before="40"/>
      </w:pPr>
      <w:r>
        <w:rPr>
          <w:rFonts w:ascii="Arial" w:cs="Arial" w:eastAsia="Arial" w:hAnsi="Arial"/>
          <w:b w:val="false"/>
          <w:bCs w:val="false"/>
          <w:sz w:val="22"/>
          <w:szCs w:val="22"/>
        </w:rPr>
        <w:t xml:space="preserve">Lixiviant chemistry: initial ferric iron concentration (mg/L), pH, and oxidation–reduction potential (ORP, mV vs Ag/AgCl). These initial conditions strongly influence the early kinetics, particularly the fast-leaching (oxide/secondary-sulfide) component.</w:t>
      </w:r>
    </w:p>
    <w:p>
      <w:pPr>
        <w:spacing w:after="80"/>
      </w:pPr>
    </w:p>
    <w:p>
      <w:pPr>
        <w:spacing w:after="120" w:before="0" w:line="276" w:lineRule="auto"/>
        <w:jc w:val="both"/>
      </w:pPr>
      <w:r>
        <w:rPr>
          <w:rFonts w:ascii="Arial" w:cs="Arial" w:eastAsia="Arial" w:hAnsi="Arial"/>
          <w:sz w:val="22"/>
          <w:szCs w:val="22"/>
        </w:rPr>
        <w:t xml:space="preserve">Each leach column is classified as either a Control column (receiving the standard acid/ferric lixiviant without catalyst) or a Catalyzed column. For every ore sample, the model is trained and evaluated on paired control–catalyzed sets, capturing both the baseline recovery trajectory and the incremental catalyst benefit for that specific mineralogy.</w:t>
      </w:r>
    </w:p>
    <w:p>
      <w:pPr>
        <w:pStyle w:val="Heading1"/>
        <w:spacing w:after="120" w:before="320"/>
      </w:pPr>
      <w:r>
        <w:rPr>
          <w:rFonts w:ascii="Arial" w:cs="Arial" w:eastAsia="Arial" w:hAnsi="Arial"/>
          <w:b/>
          <w:bCs/>
          <w:color w:val="1F497D"/>
          <w:sz w:val="28"/>
          <w:szCs w:val="28"/>
        </w:rPr>
        <w:t xml:space="preserve">3. The Recovery Curve Model: Bi-Exponential Kinetics</w:t>
      </w:r>
    </w:p>
    <w:p>
      <w:pPr>
        <w:pStyle w:val="Heading2"/>
        <w:spacing w:after="80" w:before="240"/>
      </w:pPr>
      <w:r>
        <w:rPr>
          <w:rFonts w:ascii="Arial" w:cs="Arial" w:eastAsia="Arial" w:hAnsi="Arial"/>
          <w:b/>
          <w:bCs/>
          <w:color w:val="1F497D"/>
          <w:sz w:val="24"/>
          <w:szCs w:val="24"/>
        </w:rPr>
        <w:t xml:space="preserve">3.1 Mathematical Form</w:t>
      </w:r>
    </w:p>
    <w:p>
      <w:pPr>
        <w:spacing w:after="120" w:before="0" w:line="276" w:lineRule="auto"/>
        <w:jc w:val="both"/>
      </w:pPr>
      <w:r>
        <w:rPr>
          <w:rFonts w:ascii="Arial" w:cs="Arial" w:eastAsia="Arial" w:hAnsi="Arial"/>
          <w:sz w:val="22"/>
          <w:szCs w:val="22"/>
        </w:rPr>
        <w:t xml:space="preserve">Rosetta represents the copper recovery curve R(t) (%) as a function of leach time t (days) using a two-component exponential saturation equation:</w:t>
      </w:r>
    </w:p>
    <w:p>
      <w:pPr>
        <w:spacing w:after="120" w:before="120"/>
        <w:jc w:val="center"/>
      </w:pPr>
      <w:r>
        <w:rPr>
          <w:rFonts w:ascii="Courier New" w:cs="Courier New" w:eastAsia="Courier New" w:hAnsi="Courier New"/>
          <w:b/>
          <w:bCs/>
          <w:sz w:val="22"/>
          <w:szCs w:val="22"/>
        </w:rPr>
        <w:t xml:space="preserve">R(t) = A₁ × (1 − e⁻ᵇ¹ᵗ) + A₂ × (1 − e⁻ᵇ²ᵗ)</w:t>
      </w:r>
    </w:p>
    <w:p>
      <w:pPr>
        <w:spacing w:after="120" w:before="0" w:line="276" w:lineRule="auto"/>
        <w:jc w:val="both"/>
      </w:pPr>
      <w:r>
        <w:rPr>
          <w:rFonts w:ascii="Arial" w:cs="Arial" w:eastAsia="Arial" w:hAnsi="Arial"/>
          <w:sz w:val="22"/>
          <w:szCs w:val="22"/>
        </w:rPr>
        <w:t xml:space="preserve">This bi-exponential form was selected because it naturally captures the two-population kinetic behavior universally observed in copper leaching:</w:t>
      </w:r>
    </w:p>
    <w:p>
      <w:pPr>
        <w:pStyle w:val="ListParagraph"/>
        <w:numPr>
          <w:ilvl w:val="0"/>
          <w:numId w:val="2"/>
        </w:numPr>
        <w:spacing w:after="40" w:before="40"/>
      </w:pPr>
      <w:r>
        <w:rPr>
          <w:rFonts w:ascii="Arial" w:cs="Arial" w:eastAsia="Arial" w:hAnsi="Arial"/>
          <w:b w:val="false"/>
          <w:bCs w:val="false"/>
          <w:sz w:val="22"/>
          <w:szCs w:val="22"/>
        </w:rPr>
        <w:t xml:space="preserve">Fast component (A₁, b₁): represents the rapid dissolution of accessible, reactive copper phases. This predominantly corresponds to copper oxides and secondary sulfides (chalcocite, covellite) as well as fine-grained or exposed chalcopyrite. The amplitude A₁ captures the quantity of this accessible inventory, while the rate constant b₁ (day⁻¹) reflects how quickly it dissolves.</w:t>
      </w:r>
    </w:p>
    <w:p>
      <w:pPr>
        <w:pStyle w:val="ListParagraph"/>
        <w:numPr>
          <w:ilvl w:val="0"/>
          <w:numId w:val="2"/>
        </w:numPr>
        <w:spacing w:after="40" w:before="40"/>
      </w:pPr>
      <w:r>
        <w:rPr>
          <w:rFonts w:ascii="Arial" w:cs="Arial" w:eastAsia="Arial" w:hAnsi="Arial"/>
          <w:b w:val="false"/>
          <w:bCs w:val="false"/>
          <w:sz w:val="22"/>
          <w:szCs w:val="22"/>
        </w:rPr>
        <w:t xml:space="preserve">Slow component (A₂, b₂): represents the long-duration, rate-limited dissolution of encapsulated or passivating copper phases. This is dominated by coarse chalcopyrite grains whose dissolution is constrained by diffusion through a growing product layer. The amplitude A₂ captures the total slow-leachable inventory, while b₂ ≪ b₁ reflects the much slower kinetics.</w:t>
      </w:r>
    </w:p>
    <w:p>
      <w:pPr>
        <w:spacing w:after="80"/>
      </w:pPr>
    </w:p>
    <w:p>
      <w:pPr>
        <w:spacing w:after="120" w:before="0" w:line="276" w:lineRule="auto"/>
        <w:jc w:val="both"/>
      </w:pPr>
      <w:r>
        <w:rPr>
          <w:rFonts w:ascii="Arial" w:cs="Arial" w:eastAsia="Arial" w:hAnsi="Arial"/>
          <w:sz w:val="22"/>
          <w:szCs w:val="22"/>
        </w:rPr>
        <w:t xml:space="preserve">The asymptotic recovery (as t → ∞) is A₁ + A₂, commonly called the leach cap. This ceiling is constrained by the ore mineralogy (Section 5) and the catalyst status of the column. Crucially, the model never allows the predicted recovery to exceed the mineralogy-derived cap, preserving physical realism even during long extrapolations.</w:t>
      </w:r>
    </w:p>
    <w:p>
      <w:pPr>
        <w:pStyle w:val="Heading2"/>
        <w:spacing w:after="80" w:before="240"/>
      </w:pPr>
      <w:r>
        <w:rPr>
          <w:rFonts w:ascii="Arial" w:cs="Arial" w:eastAsia="Arial" w:hAnsi="Arial"/>
          <w:b/>
          <w:bCs/>
          <w:color w:val="1F497D"/>
          <w:sz w:val="24"/>
          <w:szCs w:val="24"/>
        </w:rPr>
        <w:t xml:space="preserve">3.2 Physical Interpretation of Parameters</w:t>
      </w:r>
    </w:p>
    <w:p>
      <w:pPr>
        <w:spacing w:after="120" w:before="0" w:line="276" w:lineRule="auto"/>
        <w:jc w:val="both"/>
      </w:pPr>
      <w:r>
        <w:rPr>
          <w:rFonts w:ascii="Arial" w:cs="Arial" w:eastAsia="Arial" w:hAnsi="Arial"/>
          <w:sz w:val="22"/>
          <w:szCs w:val="22"/>
        </w:rPr>
        <w:t xml:space="preserve">The four parameters of the bi-exponential equation have direct metallurgical interpretations: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3260"/>
      </w:tblGrid>
      <w:tr>
        <w:trPr>
          <w:tblHeader/>
        </w:trPr>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7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Units</w:t>
            </w:r>
          </w:p>
        </w:tc>
        <w:tc>
          <w:tcPr>
            <w:tcW w:type="dxa" w:w="3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Meaning</w:t>
            </w:r>
          </w:p>
        </w:tc>
        <w:tc>
          <w:tcPr>
            <w:tcW w:type="dxa" w:w="32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Influenced By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A₁</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Fast-leachable Cu inventory (oxides, secondary sulfides, exposed chalcopyrite)</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Acid-soluble %, cyanide-soluble %, oxide equivalent, secondary sulfide equivalent</w:t>
            </w:r>
          </w:p>
        </w:tc>
      </w:tr>
      <w:tr>
        <w:tc>
          <w:tcPr>
            <w:tcW w:type="dxa" w:w="1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b₁</w:t>
            </w:r>
          </w:p>
        </w:tc>
        <w:tc>
          <w:tcPr>
            <w:tcW w:type="dxa" w:w="7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day⁻¹</w:t>
            </w:r>
          </w:p>
        </w:tc>
        <w:tc>
          <w:tcPr>
            <w:tcW w:type="dxa" w:w="3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Fast-leach rate constant. Inverse of characteristic dissolution time for accessible phases.</w:t>
            </w:r>
          </w:p>
        </w:tc>
        <w:tc>
          <w:tcPr>
            <w:tcW w:type="dxa" w:w="32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Particle size (P80), ferric availability, initial lixiviant ORP, carbonate burden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A₂</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Slow-leachable Cu inventory (primary chalcopyrite, passivating phases). Strongly increased by catalyst.</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Primary sulfide equivalent, residual chalcopyrite %, catalyst depassivation</w:t>
            </w:r>
          </w:p>
        </w:tc>
      </w:tr>
      <w:tr>
        <w:tc>
          <w:tcPr>
            <w:tcW w:type="dxa" w:w="1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b₂</w:t>
            </w:r>
          </w:p>
        </w:tc>
        <w:tc>
          <w:tcPr>
            <w:tcW w:type="dxa" w:w="7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day⁻¹</w:t>
            </w:r>
          </w:p>
        </w:tc>
        <w:tc>
          <w:tcPr>
            <w:tcW w:type="dxa" w:w="3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Slow-leach rate constant. Governed by diffusion through passive layers and solid-state transport. Catalyst significantly increases this value.</w:t>
            </w:r>
          </w:p>
        </w:tc>
        <w:tc>
          <w:tcPr>
            <w:tcW w:type="dxa" w:w="32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Passivation strength, particle size, column height, gangue sulfide competition</w:t>
            </w:r>
          </w:p>
        </w:tc>
      </w:tr>
    </w:tbl>
    <w:p>
      <w:pPr>
        <w:spacing w:after="160" w:before="60"/>
        <w:jc w:val="center"/>
      </w:pPr>
      <w:r>
        <w:rPr>
          <w:rFonts w:ascii="Arial" w:cs="Arial" w:eastAsia="Arial" w:hAnsi="Arial"/>
          <w:i/>
          <w:iCs/>
          <w:color w:val="555555"/>
          <w:sz w:val="18"/>
          <w:szCs w:val="18"/>
        </w:rPr>
        <w:t xml:space="preserve">Table 1. Physical interpretation of bi-exponential curve parameters.</w:t>
      </w:r>
    </w:p>
    <w:p>
      <w:pPr>
        <w:spacing w:after="120"/>
      </w:pPr>
    </w:p>
    <w:p>
      <w:pPr>
        <w:pStyle w:val="Heading2"/>
        <w:spacing w:after="80" w:before="240"/>
      </w:pPr>
      <w:r>
        <w:rPr>
          <w:rFonts w:ascii="Arial" w:cs="Arial" w:eastAsia="Arial" w:hAnsi="Arial"/>
          <w:b/>
          <w:bCs/>
          <w:color w:val="1F497D"/>
          <w:sz w:val="24"/>
          <w:szCs w:val="24"/>
        </w:rPr>
        <w:t xml:space="preserve">3.3 Catalyst Uplift Parameterization</w:t>
      </w:r>
    </w:p>
    <w:p>
      <w:pPr>
        <w:spacing w:after="120" w:before="0" w:line="276" w:lineRule="auto"/>
        <w:jc w:val="both"/>
      </w:pPr>
      <w:r>
        <w:rPr>
          <w:rFonts w:ascii="Arial" w:cs="Arial" w:eastAsia="Arial" w:hAnsi="Arial"/>
          <w:sz w:val="22"/>
          <w:szCs w:val="22"/>
        </w:rPr>
        <w:t xml:space="preserve">The catalyzed recovery curve uses the same bi-exponential form but with modified parameters relative to the control curve. Rosetta parameterizes catalyst uplift as a constrained delta on the control parameters, enforcing metallurgically sound constraints:</w:t>
      </w:r>
    </w:p>
    <w:p>
      <w:pPr>
        <w:pStyle w:val="ListParagraph"/>
        <w:numPr>
          <w:ilvl w:val="0"/>
          <w:numId w:val="2"/>
        </w:numPr>
        <w:spacing w:after="40" w:before="40"/>
      </w:pPr>
      <w:r>
        <w:rPr>
          <w:rFonts w:ascii="Arial" w:cs="Arial" w:eastAsia="Arial" w:hAnsi="Arial"/>
          <w:b w:val="false"/>
          <w:bCs w:val="false"/>
          <w:sz w:val="22"/>
          <w:szCs w:val="22"/>
        </w:rPr>
        <w:t xml:space="preserve">Total amplitude (A₁ + A₂) in the catalyzed case is always ≥ that of the control. The catalyst unlocks additional recoverable inventory, not less.</w:t>
      </w:r>
    </w:p>
    <w:p>
      <w:pPr>
        <w:pStyle w:val="ListParagraph"/>
        <w:numPr>
          <w:ilvl w:val="0"/>
          <w:numId w:val="2"/>
        </w:numPr>
        <w:spacing w:after="40" w:before="40"/>
      </w:pPr>
      <w:r>
        <w:rPr>
          <w:rFonts w:ascii="Arial" w:cs="Arial" w:eastAsia="Arial" w:hAnsi="Arial"/>
          <w:b w:val="false"/>
          <w:bCs w:val="false"/>
          <w:sz w:val="22"/>
          <w:szCs w:val="22"/>
        </w:rPr>
        <w:t xml:space="preserve">The uplift is primarily directed at the slow component (A₂ increase, b₂ increase), reflecting the primary mechanism of depassivation of chalcopyrite.</w:t>
      </w:r>
    </w:p>
    <w:p>
      <w:pPr>
        <w:pStyle w:val="ListParagraph"/>
        <w:numPr>
          <w:ilvl w:val="0"/>
          <w:numId w:val="2"/>
        </w:numPr>
        <w:spacing w:after="40" w:before="40"/>
      </w:pPr>
      <w:r>
        <w:rPr>
          <w:rFonts w:ascii="Arial" w:cs="Arial" w:eastAsia="Arial" w:hAnsi="Arial"/>
          <w:b w:val="false"/>
          <w:bCs w:val="false"/>
          <w:sz w:val="22"/>
          <w:szCs w:val="22"/>
        </w:rPr>
        <w:t xml:space="preserve">The magnitude of the catalyst uplift is scaled by the “tail_unlock” latent variable, which is largest for ores with high primary-sulfide content, high residual chalcopyrite, and favorable ferric synergy conditions.</w:t>
      </w:r>
    </w:p>
    <w:p>
      <w:pPr>
        <w:pStyle w:val="ListParagraph"/>
        <w:numPr>
          <w:ilvl w:val="0"/>
          <w:numId w:val="2"/>
        </w:numPr>
        <w:spacing w:after="40" w:before="40"/>
      </w:pPr>
      <w:r>
        <w:rPr>
          <w:rFonts w:ascii="Arial" w:cs="Arial" w:eastAsia="Arial" w:hAnsi="Arial"/>
          <w:b w:val="false"/>
          <w:bCs w:val="false"/>
          <w:sz w:val="22"/>
          <w:szCs w:val="22"/>
        </w:rPr>
        <w:t xml:space="preserve">Easy ores (high oxide and secondary sulfide content) receive a reduced catalyst uplift, reflecting their already high baseline recovery and limited residual primary-sulfide inventory.</w:t>
      </w:r>
    </w:p>
    <w:p>
      <w:pPr>
        <w:spacing w:after="80"/>
      </w:pPr>
    </w:p>
    <w:p>
      <w:pPr>
        <w:spacing w:after="120" w:before="0" w:line="276" w:lineRule="auto"/>
        <w:jc w:val="both"/>
      </w:pPr>
      <w:r>
        <w:rPr>
          <w:rFonts w:ascii="Arial" w:cs="Arial" w:eastAsia="Arial" w:hAnsi="Arial"/>
          <w:sz w:val="22"/>
          <w:szCs w:val="22"/>
        </w:rPr>
        <w:t xml:space="preserve">Pre-catalyst periods in catalyzed columns (before catalyst introduction) are treated as control-like, with the model only activating catalyst physics once cumulative catalyst addition shows a detectable rise above zero. This ensures the model correctly predicts the control-equivalent early behavior observed in delayed-addition experiments.</w:t>
      </w:r>
    </w:p>
    <w:p>
      <w:pPr>
        <w:pStyle w:val="Heading1"/>
        <w:spacing w:after="120" w:before="320"/>
      </w:pPr>
      <w:r>
        <w:rPr>
          <w:rFonts w:ascii="Arial" w:cs="Arial" w:eastAsia="Arial" w:hAnsi="Arial"/>
          <w:b/>
          <w:bCs/>
          <w:color w:val="1F497D"/>
          <w:sz w:val="28"/>
          <w:szCs w:val="28"/>
        </w:rPr>
        <w:t xml:space="preserve">4. Input Features and Metallurgical Significance</w:t>
      </w:r>
    </w:p>
    <w:p>
      <w:pPr>
        <w:pStyle w:val="Heading2"/>
        <w:spacing w:after="80" w:before="240"/>
      </w:pPr>
      <w:r>
        <w:rPr>
          <w:rFonts w:ascii="Arial" w:cs="Arial" w:eastAsia="Arial" w:hAnsi="Arial"/>
          <w:b/>
          <w:bCs/>
          <w:color w:val="1F497D"/>
          <w:sz w:val="24"/>
          <w:szCs w:val="24"/>
        </w:rPr>
        <w:t xml:space="preserve">4.1 Dynamic Time-Series Inputs</w:t>
      </w:r>
    </w:p>
    <w:p>
      <w:pPr>
        <w:spacing w:after="120" w:before="0" w:line="276" w:lineRule="auto"/>
        <w:jc w:val="both"/>
      </w:pPr>
      <w:r>
        <w:rPr>
          <w:rFonts w:ascii="Arial" w:cs="Arial" w:eastAsia="Arial" w:hAnsi="Arial"/>
          <w:sz w:val="22"/>
          <w:szCs w:val="22"/>
        </w:rPr>
        <w:t xml:space="preserve">The following inputs vary over the course of a leach campaign and are provided as time-series arrays (one value per weekly observation):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5760"/>
      </w:tblGrid>
      <w:tr>
        <w:trPr>
          <w:tblHeader/>
        </w:trPr>
        <w:tc>
          <w:tcPr>
            <w:tcW w:type="dxa" w:w="17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Units</w:t>
            </w:r>
          </w:p>
        </w:tc>
        <w:tc>
          <w:tcPr>
            <w:tcW w:type="dxa" w:w="5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Metallurgical Role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Leach duration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days</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The independent time variable driving the recovery equation.</w:t>
            </w:r>
          </w:p>
        </w:tc>
      </w:tr>
      <w:tr>
        <w:tc>
          <w:tcPr>
            <w:tcW w:type="dxa" w:w="17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Cumulative lixiviant added</w:t>
            </w:r>
          </w:p>
        </w:tc>
        <w:tc>
          <w:tcPr>
            <w:tcW w:type="dxa" w:w="9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m³/t ore</w:t>
            </w:r>
          </w:p>
        </w:tc>
        <w:tc>
          <w:tcPr>
            <w:tcW w:type="dxa" w:w="57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Total solution throughput. Tracks acid and oxidant delivery to the ore bed and is the denominator for computing catalyst feed concentration.</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Cumulative catalyst addition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kg/t ore</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Authoritative cumulative catalyst mass delivered per tonne of ore. Used to reconstruct instantaneous feed concentration and column pore-solution concentration.</w:t>
            </w:r>
          </w:p>
        </w:tc>
      </w:tr>
    </w:tbl>
    <w:p>
      <w:pPr>
        <w:spacing w:after="160" w:before="60"/>
        <w:jc w:val="center"/>
      </w:pPr>
      <w:r>
        <w:rPr>
          <w:rFonts w:ascii="Arial" w:cs="Arial" w:eastAsia="Arial" w:hAnsi="Arial"/>
          <w:i/>
          <w:iCs/>
          <w:color w:val="555555"/>
          <w:sz w:val="18"/>
          <w:szCs w:val="18"/>
        </w:rPr>
        <w:t xml:space="preserve">Table 2. Dynamic (time-varying) input features.</w:t>
      </w:r>
    </w:p>
    <w:p>
      <w:pPr>
        <w:pStyle w:val="Heading2"/>
        <w:spacing w:after="80" w:before="240"/>
      </w:pPr>
      <w:r>
        <w:rPr>
          <w:rFonts w:ascii="Arial" w:cs="Arial" w:eastAsia="Arial" w:hAnsi="Arial"/>
          <w:b/>
          <w:bCs/>
          <w:color w:val="1F497D"/>
          <w:sz w:val="24"/>
          <w:szCs w:val="24"/>
        </w:rPr>
        <w:t xml:space="preserve">4.2 Static Ore-Characterization Inputs</w:t>
      </w:r>
    </w:p>
    <w:p>
      <w:pPr>
        <w:spacing w:after="120" w:before="0" w:line="276" w:lineRule="auto"/>
        <w:jc w:val="both"/>
      </w:pPr>
      <w:r>
        <w:rPr>
          <w:rFonts w:ascii="Arial" w:cs="Arial" w:eastAsia="Arial" w:hAnsi="Arial"/>
          <w:sz w:val="22"/>
          <w:szCs w:val="22"/>
        </w:rPr>
        <w:t xml:space="preserve">Static features describe the ore sample and remain constant throughout the leach. These are the primary mineralogical and geometrical inputs from which Rosetta predicts recovery behavior: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53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Units</w:t>
            </w:r>
          </w:p>
        </w:tc>
        <w:tc>
          <w:tcPr>
            <w:tcW w:type="dxa" w:w="5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Metallurgical Role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Acid-soluble Cu</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Fast-leachable oxide/carbonate copper. Primary contributor to A₁. Measured by cold acid digest.</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Cyanide-soluble Cu</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Soluble secondary sulfides (chalcocite, covellite) plus some covellite-like phases not captured by acid solubility alone.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Residual chalcopyrite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Refractory primary sulfide remaining after standard copper extract. High values increase passivation severity and catalyst demand.</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Material size P80</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inches</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80th-percentile passing size. Larger P80 increases the diffusion path length, slowing both b₁ and b₂ and reducing the recovery cap via a shifted Hill penalty.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Copper primary sulfides equivalent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fraction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Normalized fraction of total copper present as primary sulfides (chalcopyrite). Governs A₂ ceiling and catalyst uplift potential.</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Copper secondary sulfides equivalent</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fraction</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Normalized fraction of total copper as secondary sulfides. Moderately leachable; accelerates the early recovery curve.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Copper oxides equivalent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fraction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Normalized fraction of total copper as oxides/carbonates. Fully leachable; the main driver of A₁.</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Acid-generating sulfides</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Predominantly pyrite (FeS₂). Pyrite oxidation regenerates Fe³⁺ (beneficial for oxidant supply) but also consumes acid through secondary reactions.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Phosphate minerals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Apatite and similar phases. Tie up Fe²⁺ ions and release acidity; antagonistic to catalyst synergy and ferric availability.</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Iron oxides</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Goethite, hematite, limonite. Cu-bearing iron oxides are fast-leaching; overall group has moderate positive effect on leachability.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Carbonates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Primary acid consumers. High carbonate content buffers pH upward, reducing acid availability and suppressing leach kinetics throughout the campaign.</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Fe/Cu ratio</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dimensionless</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High values indicate iron-rich gangue relative to copper target. Related to ferric synergy and passivation susceptibility.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Initial lixiviant Fe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mg/L</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Starting ferric iron concentration. High values accelerate early kinetics by ensuring an immediate oxidant supply before the ore’s pyrite generates its own.</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Initial lixiviant pH</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Starting acid concentration. Low pH (&lt; 1.5) is required to prevent iron hydrolysis and maintain ferric in solution.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Initial lixiviant ORP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mV (Ag/AgCl)</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Initial redox potential. High ORP (&gt; 420 mV) confirms an oxidizing, Fe³⁺-rich solution favorable for chalcopyrite leaching onset.</w:t>
            </w:r>
          </w:p>
        </w:tc>
      </w:tr>
      <w:tr>
        <w:tc>
          <w:tcPr>
            <w:tcW w:type="dxa" w:w="2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Terminal slope rate</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%/day</w:t>
            </w:r>
          </w:p>
        </w:tc>
        <w:tc>
          <w:tcPr>
            <w:tcW w:type="dxa" w:w="5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v12 derived feature: the mean daily recovery increment over the final 20% of the test duration. Near-zero values anchor the asymptote for refractory ores with a flat tail.</w:t>
            </w:r>
          </w:p>
        </w:tc>
      </w:tr>
    </w:tbl>
    <w:p>
      <w:pPr>
        <w:spacing w:after="160" w:before="60"/>
        <w:jc w:val="center"/>
      </w:pPr>
      <w:r>
        <w:rPr>
          <w:rFonts w:ascii="Arial" w:cs="Arial" w:eastAsia="Arial" w:hAnsi="Arial"/>
          <w:i/>
          <w:iCs/>
          <w:color w:val="555555"/>
          <w:sz w:val="18"/>
          <w:szCs w:val="18"/>
        </w:rPr>
        <w:t xml:space="preserve">Table 3. Static ore-characterization and operational inputs.</w:t>
      </w:r>
    </w:p>
    <w:p>
      <w:pPr>
        <w:pStyle w:val="Heading2"/>
        <w:spacing w:after="80" w:before="240"/>
      </w:pPr>
      <w:r>
        <w:rPr>
          <w:rFonts w:ascii="Arial" w:cs="Arial" w:eastAsia="Arial" w:hAnsi="Arial"/>
          <w:b/>
          <w:bCs/>
          <w:color w:val="1F497D"/>
          <w:sz w:val="24"/>
          <w:szCs w:val="24"/>
        </w:rPr>
        <w:t xml:space="preserve">4.3 Column Geometry Inputs (Operational)</w:t>
      </w:r>
    </w:p>
    <w:p>
      <w:pPr>
        <w:spacing w:after="120" w:before="0" w:line="276" w:lineRule="auto"/>
        <w:jc w:val="both"/>
      </w:pPr>
      <w:r>
        <w:rPr>
          <w:rFonts w:ascii="Arial" w:cs="Arial" w:eastAsia="Arial" w:hAnsi="Arial"/>
          <w:sz w:val="22"/>
          <w:szCs w:val="22"/>
        </w:rPr>
        <w:t xml:space="preserve">Three additional inputs describe the physical column setup. These are not used as direct predictors in the neural network but are used to derive secondary features and to reconstruct the CSTR catalyst concentration model:</w:t>
      </w:r>
    </w:p>
    <w:p>
      <w:pPr>
        <w:pStyle w:val="ListParagraph"/>
        <w:numPr>
          <w:ilvl w:val="0"/>
          <w:numId w:val="2"/>
        </w:numPr>
        <w:spacing w:after="40" w:before="40"/>
      </w:pPr>
      <w:r>
        <w:rPr>
          <w:rFonts w:ascii="Arial" w:cs="Arial" w:eastAsia="Arial" w:hAnsi="Arial"/>
          <w:b w:val="false"/>
          <w:bCs w:val="false"/>
          <w:sz w:val="22"/>
          <w:szCs w:val="22"/>
        </w:rPr>
        <w:t xml:space="preserve">Feed mass (kg): mass of ore loaded into the column. Used to compute apparent bulk density and to convert m³/t lixiviant to actual volumetric flow rates.</w:t>
      </w:r>
    </w:p>
    <w:p>
      <w:pPr>
        <w:pStyle w:val="ListParagraph"/>
        <w:numPr>
          <w:ilvl w:val="0"/>
          <w:numId w:val="2"/>
        </w:numPr>
        <w:spacing w:after="40" w:before="40"/>
      </w:pPr>
      <w:r>
        <w:rPr>
          <w:rFonts w:ascii="Arial" w:cs="Arial" w:eastAsia="Arial" w:hAnsi="Arial"/>
          <w:b w:val="false"/>
          <w:bCs w:val="false"/>
          <w:sz w:val="22"/>
          <w:szCs w:val="22"/>
        </w:rPr>
        <w:t xml:space="preserve">Column height (m): packed bed height. Directly influences the hydraulic residence time (longer columns have larger pore volumes and longer catalyst transit times) and the oxidant depletion gradient from top to bottom.</w:t>
      </w:r>
    </w:p>
    <w:p>
      <w:pPr>
        <w:pStyle w:val="ListParagraph"/>
        <w:numPr>
          <w:ilvl w:val="0"/>
          <w:numId w:val="2"/>
        </w:numPr>
        <w:spacing w:after="40" w:before="40"/>
      </w:pPr>
      <w:r>
        <w:rPr>
          <w:rFonts w:ascii="Arial" w:cs="Arial" w:eastAsia="Arial" w:hAnsi="Arial"/>
          <w:b w:val="false"/>
          <w:bCs w:val="false"/>
          <w:sz w:val="22"/>
          <w:szCs w:val="22"/>
        </w:rPr>
        <w:t xml:space="preserve">Column inner diameter (m): cross-sectional area for irrigation rate and pore-volume calculations.</w:t>
      </w:r>
    </w:p>
    <w:p>
      <w:pPr>
        <w:spacing w:after="80"/>
      </w:pPr>
    </w:p>
    <w:p>
      <w:pPr>
        <w:spacing w:after="120" w:before="0" w:line="276" w:lineRule="auto"/>
        <w:jc w:val="both"/>
      </w:pPr>
      <w:r>
        <w:rPr>
          <w:rFonts w:ascii="Arial" w:cs="Arial" w:eastAsia="Arial" w:hAnsi="Arial"/>
          <w:sz w:val="22"/>
          <w:szCs w:val="22"/>
        </w:rPr>
        <w:t xml:space="preserve">Derived geometry features computed internally include: apparent bulk density (t/m³), column volume (m³), and the material-size-to-column-diameter ratio (a dimensionless particle-to-vessel scale indicator). The log of column height is used as the encoded input to the neural network to compress the dynamic range.</w:t>
      </w:r>
    </w:p>
    <w:p>
      <w:pPr>
        <w:pStyle w:val="Heading1"/>
        <w:spacing w:after="120" w:before="320"/>
      </w:pPr>
      <w:r>
        <w:rPr>
          <w:rFonts w:ascii="Arial" w:cs="Arial" w:eastAsia="Arial" w:hAnsi="Arial"/>
          <w:b/>
          <w:bCs/>
          <w:color w:val="1F497D"/>
          <w:sz w:val="28"/>
          <w:szCs w:val="28"/>
        </w:rPr>
        <w:t xml:space="preserve">5. Mineralogy-Derived Leach Caps</w:t>
      </w:r>
    </w:p>
    <w:p>
      <w:pPr>
        <w:pStyle w:val="Heading2"/>
        <w:spacing w:after="80" w:before="240"/>
      </w:pPr>
      <w:r>
        <w:rPr>
          <w:rFonts w:ascii="Arial" w:cs="Arial" w:eastAsia="Arial" w:hAnsi="Arial"/>
          <w:b/>
          <w:bCs/>
          <w:color w:val="1F497D"/>
          <w:sz w:val="24"/>
          <w:szCs w:val="24"/>
        </w:rPr>
        <w:t xml:space="preserve">5.1 Theoretical Maximum Recovery</w:t>
      </w:r>
    </w:p>
    <w:p>
      <w:pPr>
        <w:spacing w:after="120" w:before="0" w:line="276" w:lineRule="auto"/>
        <w:jc w:val="both"/>
      </w:pPr>
      <w:r>
        <w:rPr>
          <w:rFonts w:ascii="Arial" w:cs="Arial" w:eastAsia="Arial" w:hAnsi="Arial"/>
          <w:sz w:val="22"/>
          <w:szCs w:val="22"/>
        </w:rPr>
        <w:t xml:space="preserve">A fundamental physical constraint on any leaching model is that recovery cannot exceed the fraction of copper that is thermodynamically and kinetically accessible. Rosetta computes a per-sample, per-status leach cap from ore mineralogy using a weighted sum of the three copper mineral classes:</w:t>
      </w:r>
    </w:p>
    <w:p>
      <w:pPr>
        <w:spacing w:after="120" w:before="120"/>
        <w:jc w:val="center"/>
      </w:pPr>
      <w:r>
        <w:rPr>
          <w:rFonts w:ascii="Courier New" w:cs="Courier New" w:eastAsia="Courier New" w:hAnsi="Courier New"/>
          <w:b/>
          <w:bCs/>
          <w:sz w:val="22"/>
          <w:szCs w:val="22"/>
        </w:rPr>
        <w:t xml:space="preserve">Capₜₐᵗₐₗ = (Cu_oxide × f_ox + Cu_secondary × f_sec + Cu_primary × f_pri) / Cu_total × 100%</w:t>
      </w:r>
    </w:p>
    <w:p>
      <w:pPr>
        <w:spacing w:after="120" w:before="0" w:line="276" w:lineRule="auto"/>
        <w:jc w:val="both"/>
      </w:pPr>
      <w:r>
        <w:rPr>
          <w:rFonts w:ascii="Arial" w:cs="Arial" w:eastAsia="Arial" w:hAnsi="Arial"/>
          <w:sz w:val="22"/>
          <w:szCs w:val="22"/>
        </w:rPr>
        <w:t xml:space="preserve">where the leachable fractions (f) are: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3960"/>
      </w:tblGrid>
      <w:tr>
        <w:trPr>
          <w:tblHeader/>
        </w:trPr>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Mineral Class</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(Control)</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(Catalyzed)</w:t>
            </w:r>
          </w:p>
        </w:tc>
        <w:tc>
          <w:tcPr>
            <w:tcW w:type="dxa" w:w="39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Oxides &amp; acid-solubles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95%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95%</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Near-complete dissolution in acid. Applied equally to both.</w:t>
            </w:r>
          </w:p>
        </w:tc>
      </w:tr>
      <w:tr>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Secondary sulfides</w:t>
            </w:r>
          </w:p>
        </w:tc>
        <w:tc>
          <w:tcPr>
            <w:tcW w:type="dxa" w:w="1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70%</w:t>
            </w:r>
          </w:p>
        </w:tc>
        <w:tc>
          <w:tcPr>
            <w:tcW w:type="dxa" w:w="12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70%</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Moderate leachability; catalyst does not significantly alter secondary sulfide recovery.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Primary sulfides (chalcopyrite)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10–35%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25–70%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Dynamic prior adjusted by ferric-ready score and tall-column oxidant deficit (base: 30% ctrl / 70% cat). Per-sample prior clamped to these ranges; the neural network is then allowed a further ±5 pp learned deviation.</w:t>
            </w:r>
          </w:p>
        </w:tc>
      </w:tr>
    </w:tbl>
    <w:p>
      <w:pPr>
        <w:spacing w:after="160" w:before="60"/>
        <w:jc w:val="center"/>
      </w:pPr>
      <w:r>
        <w:rPr>
          <w:rFonts w:ascii="Arial" w:cs="Arial" w:eastAsia="Arial" w:hAnsi="Arial"/>
          <w:i/>
          <w:iCs/>
          <w:color w:val="555555"/>
          <w:sz w:val="18"/>
          <w:szCs w:val="18"/>
        </w:rPr>
        <w:t xml:space="preserve">Table 4. Leachable fractions by copper mineral class used to compute per-sample recovery caps.</w:t>
      </w:r>
    </w:p>
    <w:p>
      <w:pPr>
        <w:spacing w:after="120"/>
      </w:pPr>
    </w:p>
    <w:p>
      <w:pPr>
        <w:pStyle w:val="Heading2"/>
        <w:spacing w:after="80" w:before="240"/>
      </w:pPr>
      <w:r>
        <w:rPr>
          <w:rFonts w:ascii="Arial" w:cs="Arial" w:eastAsia="Arial" w:hAnsi="Arial"/>
          <w:b/>
          <w:bCs/>
          <w:color w:val="1F497D"/>
          <w:sz w:val="24"/>
          <w:szCs w:val="24"/>
        </w:rPr>
        <w:t xml:space="preserve">5.2 Primary Sulfide Fraction Prior: Ferric-Ready and Tall-Column Deficit Scores</w:t>
      </w:r>
    </w:p>
    <w:p>
      <w:pPr>
        <w:spacing w:after="120" w:before="0" w:line="276" w:lineRule="auto"/>
        <w:jc w:val="both"/>
      </w:pPr>
      <w:r>
        <w:rPr>
          <w:rFonts w:ascii="Arial" w:cs="Arial" w:eastAsia="Arial" w:hAnsi="Arial"/>
          <w:sz w:val="22"/>
          <w:szCs w:val="22"/>
        </w:rPr>
        <w:t xml:space="preserve">The primary-sulfide leachable fraction is not a fixed global value. In version 12, Rosetta computes a per-sample prior for this fraction from two composite sigmoid scores, each formed from a weighted combination of mineralogical, geometrical, and initial lixiviant chemistry signals:</w:t>
      </w:r>
    </w:p>
    <w:p>
      <w:pPr>
        <w:pStyle w:val="ListParagraph"/>
        <w:numPr>
          <w:ilvl w:val="0"/>
          <w:numId w:val="2"/>
        </w:numPr>
        <w:spacing w:after="40" w:before="40"/>
      </w:pPr>
      <w:r>
        <w:rPr>
          <w:rFonts w:ascii="Arial" w:cs="Arial" w:eastAsia="Arial" w:hAnsi="Arial"/>
          <w:b w:val="false"/>
          <w:bCs w:val="false"/>
          <w:sz w:val="22"/>
          <w:szCs w:val="22"/>
        </w:rPr>
        <w:t xml:space="preserve">ferric_ready_primary_score: captures the quality of the initial oxidizing environment. It is positive when the lixiviant starts Fe-rich (high initial Fe mg/L), high-ORP, and low-pH, and negative when the ore has tall geometry, coarse P80, high carbonate burden, or high primary-sulfide loading that would rapidly deplete oxidant. High values indicate that the ferric supply is adequate to sustain chalcopyrite attack, raising the prior recoverable fraction for primary sulfides.</w:t>
      </w:r>
    </w:p>
    <w:p>
      <w:pPr>
        <w:pStyle w:val="ListParagraph"/>
        <w:numPr>
          <w:ilvl w:val="0"/>
          <w:numId w:val="2"/>
        </w:numPr>
        <w:spacing w:after="40" w:before="40"/>
      </w:pPr>
      <w:r>
        <w:rPr>
          <w:rFonts w:ascii="Arial" w:cs="Arial" w:eastAsia="Arial" w:hAnsi="Arial"/>
          <w:b w:val="false"/>
          <w:bCs w:val="false"/>
          <w:sz w:val="22"/>
          <w:szCs w:val="22"/>
        </w:rPr>
        <w:t xml:space="preserve">tall_column_oxidant_deficit_score: the complementary penalty. It is positive when column height and P80 are large, primary-sulfide content is high, initial Fe is low, and the primary-sulfide-by-height cross-product (tall_primary_burden) is large. Tall columns with coarse, primary-sulfide-rich ore suffer severe oxidant depletion gradients from top to bottom, making it physically impossible to leach the theoretical maximum even with good surface chemistry.</w:t>
      </w:r>
    </w:p>
    <w:p>
      <w:pPr>
        <w:spacing w:after="80"/>
      </w:pPr>
    </w:p>
    <w:p>
      <w:pPr>
        <w:spacing w:after="120" w:before="0" w:line="276" w:lineRule="auto"/>
        <w:jc w:val="both"/>
      </w:pPr>
      <w:r>
        <w:rPr>
          <w:rFonts w:ascii="Arial" w:cs="Arial" w:eastAsia="Arial" w:hAnsi="Arial"/>
          <w:sz w:val="22"/>
          <w:szCs w:val="22"/>
        </w:rPr>
        <w:t xml:space="preserve">These two scores appear as interaction terms in virtually every latent metallurgical block (Section 6), where they modulate kinetic parameters as well as cap priors. The primary-sulfide fraction prior is then computed as:</w:t>
      </w:r>
    </w:p>
    <w:p>
      <w:pPr>
        <w:spacing w:after="120" w:before="120"/>
        <w:jc w:val="center"/>
      </w:pPr>
      <w:r>
        <w:rPr>
          <w:rFonts w:ascii="Courier New" w:cs="Courier New" w:eastAsia="Courier New" w:hAnsi="Courier New"/>
          <w:b/>
          <w:bCs/>
          <w:sz w:val="22"/>
          <w:szCs w:val="22"/>
        </w:rPr>
        <w:t xml:space="preserve">f_ctrl = clip( 0.30 + 0.18×(ferric_ready − 0.5) − 0.16×(tall_deficit − 0.5), 0.10, 0.35 )</w:t>
      </w:r>
    </w:p>
    <w:p>
      <w:pPr>
        <w:spacing w:after="120" w:before="120"/>
        <w:jc w:val="center"/>
      </w:pPr>
      <w:r>
        <w:rPr>
          <w:rFonts w:ascii="Courier New" w:cs="Courier New" w:eastAsia="Courier New" w:hAnsi="Courier New"/>
          <w:b/>
          <w:bCs/>
          <w:sz w:val="22"/>
          <w:szCs w:val="22"/>
        </w:rPr>
        <w:t xml:space="preserve">f_cat  = clip( 0.70 + 0.02×(ferric_ready − 0.5) − 0.20×(tall_deficit − 0.5), 0.25, 0.70 )</w:t>
      </w:r>
    </w:p>
    <w:p>
      <w:pPr>
        <w:spacing w:after="120" w:before="0" w:line="276" w:lineRule="auto"/>
        <w:jc w:val="both"/>
      </w:pPr>
      <w:r>
        <w:rPr>
          <w:rFonts w:ascii="Arial" w:cs="Arial" w:eastAsia="Arial" w:hAnsi="Arial"/>
          <w:sz w:val="22"/>
          <w:szCs w:val="22"/>
        </w:rPr>
        <w:t xml:space="preserve">A secondary adjustment penalizes both priors for the tall_primary_burden cross-product term (primary_signal × height_signal), encoding the specific physical difficulty of tall, primary-sulfide-laden columns. The catalyzed prior is always enforced to be at least as large as the control prior. The neural network is then permitted a further learned adjustment of up to ±5 percentage points from this per-sample prior, grounded by the observed recovery trajectory. This hybrid approach prevents the model from deviating unrealistically from metallurgical expectations while retaining flexibility to capture sample-specific behavior.</w:t>
      </w:r>
    </w:p>
    <w:p>
      <w:pPr>
        <w:pStyle w:val="Heading2"/>
        <w:spacing w:after="80" w:before="240"/>
      </w:pPr>
      <w:r>
        <w:rPr>
          <w:rFonts w:ascii="Arial" w:cs="Arial" w:eastAsia="Arial" w:hAnsi="Arial"/>
          <w:b/>
          <w:bCs/>
          <w:color w:val="1F497D"/>
          <w:sz w:val="24"/>
          <w:szCs w:val="24"/>
        </w:rPr>
        <w:t xml:space="preserve">5.3 Particle Size Penalty on Recovery Cap</w:t>
      </w:r>
    </w:p>
    <w:p>
      <w:pPr>
        <w:spacing w:after="120" w:before="0" w:line="276" w:lineRule="auto"/>
        <w:jc w:val="both"/>
      </w:pPr>
      <w:r>
        <w:rPr>
          <w:rFonts w:ascii="Arial" w:cs="Arial" w:eastAsia="Arial" w:hAnsi="Arial"/>
          <w:sz w:val="22"/>
          <w:szCs w:val="22"/>
        </w:rPr>
        <w:t xml:space="preserve">Coarser material consistently achieves lower asymptotic recovery due to the increased diffusion path length within ore particles. Rosetta applies a shifted Hill-function penalty to the mineralogy-derived cap based on P80:</w:t>
      </w:r>
    </w:p>
    <w:p>
      <w:pPr>
        <w:spacing w:after="120" w:before="120"/>
        <w:jc w:val="center"/>
      </w:pPr>
      <w:r>
        <w:rPr>
          <w:rFonts w:ascii="Courier New" w:cs="Courier New" w:eastAsia="Courier New" w:hAnsi="Courier New"/>
          <w:b/>
          <w:bCs/>
          <w:sz w:val="22"/>
          <w:szCs w:val="22"/>
        </w:rPr>
        <w:t xml:space="preserve">p80_factor = p∞ + (1 − p∞) / (1 + ((P80 − d₀) / d₅₀)ⁿ)</w:t>
      </w:r>
    </w:p>
    <w:p>
      <w:pPr>
        <w:spacing w:after="120" w:before="0" w:line="276" w:lineRule="auto"/>
        <w:jc w:val="both"/>
      </w:pPr>
      <w:r>
        <w:rPr>
          <w:rFonts w:ascii="Arial" w:cs="Arial" w:eastAsia="Arial" w:hAnsi="Arial"/>
          <w:sz w:val="22"/>
          <w:szCs w:val="22"/>
        </w:rPr>
        <w:t xml:space="preserve">where d₀ = 2.0 inches (onset threshold), d₅₀ = 3.0 inches (50% penalty point), p∞ = 0.40 (minimum cap factor for very coarse material), and n = 2.0 (Hill coefficient). This function is flat below 2 inches, begins to decline above 2 inches, reaches ~70% of the full cap at 3 inches, and saturates at 40% for very coarse material. The penalty applies equally to both control and catalyzed caps, since particle size affects physical transport regardless of chemistry.</w:t>
      </w:r>
    </w:p>
    <w:p>
      <w:pPr>
        <w:pStyle w:val="Heading2"/>
        <w:spacing w:after="80" w:before="240"/>
      </w:pPr>
      <w:r>
        <w:rPr>
          <w:rFonts w:ascii="Arial" w:cs="Arial" w:eastAsia="Arial" w:hAnsi="Arial"/>
          <w:b/>
          <w:bCs/>
          <w:color w:val="1F497D"/>
          <w:sz w:val="24"/>
          <w:szCs w:val="24"/>
        </w:rPr>
        <w:t xml:space="preserve">5.4 Data-Informed Pre-Fit Caps</w:t>
      </w:r>
    </w:p>
    <w:p>
      <w:pPr>
        <w:spacing w:after="120" w:before="0" w:line="276" w:lineRule="auto"/>
        <w:jc w:val="both"/>
      </w:pPr>
      <w:r>
        <w:rPr>
          <w:rFonts w:ascii="Arial" w:cs="Arial" w:eastAsia="Arial" w:hAnsi="Arial"/>
          <w:sz w:val="22"/>
          <w:szCs w:val="22"/>
        </w:rPr>
        <w:t xml:space="preserve">Version 12 introduces a data-informed pre-fit cap system that replaces the chemistry-only leach cap for individual columns whose observed recovery trajectory empirically demonstrates that the asymptote is already close to the current data. The system is activated when all of the following conditions are met:</w:t>
      </w:r>
    </w:p>
    <w:p>
      <w:pPr>
        <w:pStyle w:val="ListParagraph"/>
        <w:numPr>
          <w:ilvl w:val="0"/>
          <w:numId w:val="2"/>
        </w:numPr>
        <w:spacing w:after="40" w:before="40"/>
      </w:pPr>
      <w:r>
        <w:rPr>
          <w:rFonts w:ascii="Arial" w:cs="Arial" w:eastAsia="Arial" w:hAnsi="Arial"/>
          <w:b w:val="false"/>
          <w:bCs w:val="false"/>
          <w:sz w:val="22"/>
          <w:szCs w:val="22"/>
        </w:rPr>
        <w:t xml:space="preserve">Test duration ≥ 350 days (sufficient leach history for a reliable tail estimate).</w:t>
      </w:r>
    </w:p>
    <w:p>
      <w:pPr>
        <w:pStyle w:val="ListParagraph"/>
        <w:numPr>
          <w:ilvl w:val="0"/>
          <w:numId w:val="2"/>
        </w:numPr>
        <w:spacing w:after="40" w:before="40"/>
      </w:pPr>
      <w:r>
        <w:rPr>
          <w:rFonts w:ascii="Arial" w:cs="Arial" w:eastAsia="Arial" w:hAnsi="Arial"/>
          <w:b w:val="false"/>
          <w:bCs w:val="false"/>
          <w:sz w:val="22"/>
          <w:szCs w:val="22"/>
        </w:rPr>
        <w:t xml:space="preserve">Terminal slope rate ≤ 0.020 %/day (the curve tail is genuinely flat).</w:t>
      </w:r>
    </w:p>
    <w:p>
      <w:pPr>
        <w:pStyle w:val="ListParagraph"/>
        <w:numPr>
          <w:ilvl w:val="0"/>
          <w:numId w:val="2"/>
        </w:numPr>
        <w:spacing w:after="40" w:before="40"/>
      </w:pPr>
      <w:r>
        <w:rPr>
          <w:rFonts w:ascii="Arial" w:cs="Arial" w:eastAsia="Arial" w:hAnsi="Arial"/>
          <w:b w:val="false"/>
          <w:bCs w:val="false"/>
          <w:sz w:val="22"/>
          <w:szCs w:val="22"/>
        </w:rPr>
        <w:t xml:space="preserve">Primary sulfide equivalent &gt; 0 (the ore contains a leachable primary-sulfide fraction, so mineralogy is relevant).</w:t>
      </w:r>
    </w:p>
    <w:p>
      <w:pPr>
        <w:spacing w:after="60"/>
      </w:pPr>
    </w:p>
    <w:p>
      <w:pPr>
        <w:spacing w:after="120" w:before="0" w:line="276" w:lineRule="auto"/>
        <w:jc w:val="both"/>
      </w:pPr>
      <w:r>
        <w:rPr>
          <w:rFonts w:ascii="Arial" w:cs="Arial" w:eastAsia="Arial" w:hAnsi="Arial"/>
          <w:sz w:val="22"/>
          <w:szCs w:val="22"/>
        </w:rPr>
        <w:t xml:space="preserve">When active, the system computes a mineralogy-aware data cap using the following logic:</w:t>
      </w:r>
    </w:p>
    <w:p>
      <w:pPr>
        <w:pStyle w:val="ListParagraph"/>
        <w:numPr>
          <w:ilvl w:val="0"/>
          <w:numId w:val="2"/>
        </w:numPr>
        <w:spacing w:after="40" w:before="40"/>
      </w:pPr>
      <w:r>
        <w:rPr>
          <w:rFonts w:ascii="Arial" w:cs="Arial" w:eastAsia="Arial" w:hAnsi="Arial"/>
          <w:b w:val="false"/>
          <w:bCs w:val="false"/>
          <w:sz w:val="22"/>
          <w:szCs w:val="22"/>
        </w:rPr>
        <w:t xml:space="preserve">tail_flatness = clip((0.020 − slope) / 0.015, 0, 1): a score from 0 (slope = 0.020 %/day, just at threshold) to 1 (slope = 0, perfectly flat tail).</w:t>
      </w:r>
    </w:p>
    <w:p>
      <w:pPr>
        <w:pStyle w:val="ListParagraph"/>
        <w:numPr>
          <w:ilvl w:val="0"/>
          <w:numId w:val="2"/>
        </w:numPr>
        <w:spacing w:after="40" w:before="40"/>
      </w:pPr>
      <w:r>
        <w:rPr>
          <w:rFonts w:ascii="Arial" w:cs="Arial" w:eastAsia="Arial" w:hAnsi="Arial"/>
          <w:b w:val="false"/>
          <w:bCs w:val="false"/>
          <w:sz w:val="22"/>
          <w:szCs w:val="22"/>
        </w:rPr>
        <w:t xml:space="preserve">An inferred secondary leach fraction is interpolated between 55% and 70% based on tail_flatness, encoding the expectation that very flat-tailed tests have leached most of their accessible secondary sulfide inventory.</w:t>
      </w:r>
    </w:p>
    <w:p>
      <w:pPr>
        <w:pStyle w:val="ListParagraph"/>
        <w:numPr>
          <w:ilvl w:val="0"/>
          <w:numId w:val="2"/>
        </w:numPr>
        <w:spacing w:after="40" w:before="40"/>
      </w:pPr>
      <w:r>
        <w:rPr>
          <w:rFonts w:ascii="Arial" w:cs="Arial" w:eastAsia="Arial" w:hAnsi="Arial"/>
          <w:b w:val="false"/>
          <w:bCs w:val="false"/>
          <w:sz w:val="22"/>
          <w:szCs w:val="22"/>
        </w:rPr>
        <w:t xml:space="preserve">An inferred primary leach fraction is back-calculated from the final observed recovery, the inferred secondary fraction, and the known oxide fraction, yielding an empirical estimate of how far the primary chalcopyrite has progressed under the actual test conditions.</w:t>
      </w:r>
    </w:p>
    <w:p>
      <w:pPr>
        <w:pStyle w:val="ListParagraph"/>
        <w:numPr>
          <w:ilvl w:val="0"/>
          <w:numId w:val="2"/>
        </w:numPr>
        <w:spacing w:after="40" w:before="40"/>
      </w:pPr>
      <w:r>
        <w:rPr>
          <w:rFonts w:ascii="Arial" w:cs="Arial" w:eastAsia="Arial" w:hAnsi="Arial"/>
          <w:b w:val="false"/>
          <w:bCs w:val="false"/>
          <w:sz w:val="22"/>
          <w:szCs w:val="22"/>
        </w:rPr>
        <w:t xml:space="preserve">A tail margin is computed as clip(2.0 + 220 × slope, 2.0, 8.0) percentage points. A completely flat tail (≈0 %/day) receives the minimum 2 pp headroom; a tail still moving at 0.020 %/day receives up to ~6.4 pp.</w:t>
      </w:r>
    </w:p>
    <w:p>
      <w:pPr>
        <w:pStyle w:val="ListParagraph"/>
        <w:numPr>
          <w:ilvl w:val="0"/>
          <w:numId w:val="2"/>
        </w:numPr>
        <w:spacing w:after="40" w:before="40"/>
      </w:pPr>
      <w:r>
        <w:rPr>
          <w:rFonts w:ascii="Arial" w:cs="Arial" w:eastAsia="Arial" w:hAnsi="Arial"/>
          <w:b w:val="false"/>
          <w:bCs w:val="false"/>
          <w:sz w:val="22"/>
          <w:szCs w:val="22"/>
        </w:rPr>
        <w:t xml:space="preserve">The final data cap = min(chemistry_cap, final_recovery + tail_margin). It is also floored at final_recovery + 1% to prevent a degenerate cap that would preclude any further recovery.</w:t>
      </w:r>
    </w:p>
    <w:p>
      <w:pPr>
        <w:spacing w:after="80"/>
      </w:pPr>
    </w:p>
    <w:p>
      <w:pPr>
        <w:spacing w:after="120" w:before="0" w:line="276" w:lineRule="auto"/>
        <w:jc w:val="both"/>
      </w:pPr>
      <w:r>
        <w:rPr>
          <w:rFonts w:ascii="Arial" w:cs="Arial" w:eastAsia="Arial" w:hAnsi="Arial"/>
          <w:sz w:val="22"/>
          <w:szCs w:val="22"/>
        </w:rPr>
        <w:t xml:space="preserve">This data-informed cap overrides the chemistry-only cap in the biexponential pre-fitting step, ensuring that for long, flat-tailed refractory ore tests the model’s pre-fit parameters do not anchor to an unrealistically optimistic asymptote. The terminal_slope_rate is also passed as a 21st static predictor feature to the neural network (where it acts as a soft, downscaled encoder input at 0.40× its raw value), giving the model a direct empirical signal about the current leach progression without hard-overriding the network’s learned physics.</w:t>
      </w:r>
    </w:p>
    <w:p>
      <w:pPr>
        <w:pStyle w:val="Heading2"/>
        <w:spacing w:after="80" w:before="240"/>
      </w:pPr>
      <w:r>
        <w:rPr>
          <w:rFonts w:ascii="Arial" w:cs="Arial" w:eastAsia="Arial" w:hAnsi="Arial"/>
          <w:b/>
          <w:bCs/>
          <w:color w:val="1F497D"/>
          <w:sz w:val="24"/>
          <w:szCs w:val="24"/>
        </w:rPr>
        <w:t xml:space="preserve">5.5 Residual Chalcopyrite Control Cap Suppression</w:t>
      </w:r>
    </w:p>
    <w:p>
      <w:pPr>
        <w:spacing w:after="120" w:before="0" w:line="276" w:lineRule="auto"/>
        <w:jc w:val="both"/>
      </w:pPr>
      <w:r>
        <w:rPr>
          <w:rFonts w:ascii="Arial" w:cs="Arial" w:eastAsia="Arial" w:hAnsi="Arial"/>
          <w:sz w:val="22"/>
          <w:szCs w:val="22"/>
        </w:rPr>
        <w:t xml:space="preserve">A further refinement in version 12 is a moderate suppression of the control cap for ores that carry significant residual chalcopyrite. Residual chalcopyrite (%) is the fraction of chalcopyrite remaining in the ore after a standard copper extraction step, and it is a direct indicator of difficult-to-leach, encapsulated or fine-grained chalcopyrite that is particularly prone to rapid passivation. The suppression follows a sigmoid centered at 4% residual CPY with a width of 1%:</w:t>
      </w:r>
    </w:p>
    <w:p>
      <w:pPr>
        <w:spacing w:after="120" w:before="120"/>
        <w:jc w:val="center"/>
      </w:pPr>
      <w:r>
        <w:rPr>
          <w:rFonts w:ascii="Courier New" w:cs="Courier New" w:eastAsia="Courier New" w:hAnsi="Courier New"/>
          <w:b/>
          <w:bCs/>
          <w:sz w:val="22"/>
          <w:szCs w:val="22"/>
        </w:rPr>
        <w:t xml:space="preserve">cap_ctrl ← cap_ctrl × (1 − 0.30 × σ((residual_cpy% − 4.0) / 1.0))</w:t>
      </w:r>
    </w:p>
    <w:p>
      <w:pPr>
        <w:spacing w:after="120" w:before="0" w:line="276" w:lineRule="auto"/>
        <w:jc w:val="both"/>
      </w:pPr>
      <w:r>
        <w:rPr>
          <w:rFonts w:ascii="Arial" w:cs="Arial" w:eastAsia="Arial" w:hAnsi="Arial"/>
          <w:sz w:val="22"/>
          <w:szCs w:val="22"/>
        </w:rPr>
        <w:t xml:space="preserve">At 4% residual CPY, the suppression reaches approximately 15% of its maximum effect; at 6% it is nearly fully applied. The strength parameter (0.30) was deliberately kept moderate: residual chalcopyrite still meaningfully suppresses the control cap, but the onset is delayed and the saturation is gentler than in the initial v12 implementation. This avoids over-penalizing samples where residual CPY reflects analytical scatter rather than true mineralogical refractory character.</w:t>
      </w:r>
    </w:p>
    <w:p>
      <w:pPr>
        <w:pStyle w:val="Heading1"/>
        <w:spacing w:after="120" w:before="320"/>
      </w:pPr>
      <w:r>
        <w:rPr>
          <w:rFonts w:ascii="Arial" w:cs="Arial" w:eastAsia="Arial" w:hAnsi="Arial"/>
          <w:b/>
          <w:bCs/>
          <w:color w:val="1F497D"/>
          <w:sz w:val="28"/>
          <w:szCs w:val="28"/>
        </w:rPr>
        <w:t xml:space="preserve">6. Latent Metallurgical Interaction Terms</w:t>
      </w:r>
    </w:p>
    <w:p>
      <w:pPr>
        <w:spacing w:after="120" w:before="0" w:line="276" w:lineRule="auto"/>
        <w:jc w:val="both"/>
      </w:pPr>
      <w:r>
        <w:rPr>
          <w:rFonts w:ascii="Arial" w:cs="Arial" w:eastAsia="Arial" w:hAnsi="Arial"/>
          <w:sz w:val="22"/>
          <w:szCs w:val="22"/>
        </w:rPr>
        <w:t xml:space="preserve">The neural network encoder produces a 48-dimensional latent vector from the normalized static input features. This latent space is then projected through a system of twenty named interaction blocks, each representing a specific metallurgical mechanism. These blocks are not mere data-fitting constructs: each is defined by a set of weighted input terms whose signs and magnitudes reflect the known direction of each mineral’s influence on that physical process.</w:t>
      </w:r>
    </w:p>
    <w:p>
      <w:pPr>
        <w:spacing w:after="120" w:before="0" w:line="276" w:lineRule="auto"/>
        <w:jc w:val="both"/>
      </w:pPr>
      <w:r>
        <w:rPr>
          <w:rFonts w:ascii="Arial" w:cs="Arial" w:eastAsia="Arial" w:hAnsi="Arial"/>
          <w:sz w:val="22"/>
          <w:szCs w:val="22"/>
        </w:rPr>
        <w:t xml:space="preserve">The interaction weights are initialized from metallurgical domain knowledge and then refined through training. This approach constrains the model to a physically interpretable region of parameter space while allowing the data to refine the precise magnitudes. Each block’s output is a latent scalar that subsequently modulates the bi-exponential curve parameters (A₁, b₁, A₂, b₂) through the network’s specialized prediction heads.</w:t>
      </w:r>
    </w:p>
    <w:p>
      <w:pPr>
        <w:pStyle w:val="Heading2"/>
        <w:spacing w:after="80" w:before="240"/>
      </w:pPr>
      <w:r>
        <w:rPr>
          <w:rFonts w:ascii="Arial" w:cs="Arial" w:eastAsia="Arial" w:hAnsi="Arial"/>
          <w:b/>
          <w:bCs/>
          <w:color w:val="1F497D"/>
          <w:sz w:val="24"/>
          <w:szCs w:val="24"/>
        </w:rPr>
        <w:t xml:space="preserve">6.1 Overview of the 20 Latent Blocks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2660"/>
      </w:tblGrid>
      <w:tr>
        <w:trPr>
          <w:tblHeader/>
        </w:trPr>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Name</w:t>
            </w:r>
          </w:p>
        </w:tc>
        <w:tc>
          <w:tcPr>
            <w:tcW w:type="dxa" w:w="4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Concept</w:t>
            </w:r>
          </w:p>
        </w:tc>
        <w:tc>
          <w:tcPr>
            <w:tcW w:type="dxa" w:w="26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Curve Parameters Influenced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chem_raw</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Overall chemical recoverability: blends oxide, secondary, and mixed copper contributions weighted by solubility. High acid-soluble and cyanide-soluble copper increases this score.</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A₁ + A₂ (total amplitude)</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primary_passivation_drive</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Passivation severity: quantifies the burden imposed by residual chalcopyrite, primary-sulfide equivalent, Fe/Cu ratio, coarse P80, and physical gangue contributions (silicates, carbonates). Higher values indicate a more refractory ore.</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A₂ amplitude, b₂ rate (both suppressed)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ferric_synergy</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Ferric iron availability and redox support: pyrite (acid-generating sulfide) regenerates Fe³⁺ in situ, boosting this score. Gangue sulfides (ZnS, PbS) consume Fe³⁺, reducing it.</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b₂ rate, catalyst tail unlock</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ferric_bootstrap</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Early oxidizing lixiviant quality: high initial Fe, high ORP, low pH all give a strong bootstrap. This accelerates early-stage dissolution before the ore’s pyrite begins generating its own oxidant.</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b₁ timing, early amplitude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chem_interaction</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Blended solution responsiveness: integrates fast-leach chemistry with ferric synergy and bootstrap signals. Penalized by carbonates and silicates.</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b₁, total amplitude</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primary_catalyst_synergy</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Catalyst effectiveness for primary sulfides: largest for high primary-sulfide, high residual-chalcopyrite ores with strong ferric synergy. Reduced by gangue sulfides that deplete the ferric pool.</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Catalyzed A₂, catalyzed b₂</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fast_leach_inventory</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Fast-accessible copper inventory: driven by acid-soluble %, cyanide-soluble %, secondary and oxide equivalents, and bornite. Penalized by primary-sulfide burden and diffusion drag.</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A₁, b₁</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oxide_inventory</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Oxide-dominant fast inventory: copper oxide equivalent is the dominant positive contributor. Directly scales A₁.</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A₁, early A total</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acid_buffer_strength</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Acid consumption burden: carbonates are the dominant acid consumer (weight 0.86), followed by silicates. Suppresses overall leach progress by limiting acid availability for dissolution.</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b₂ (suppressed), A total (suppressed)</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acid_buffer_decay</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Rate of acid buffer depletion: carbonates and acid-soluble copper influence how quickly the buffer is consumed as leaching progresses. Silicates show a negative sign as they buffer more persistently.</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b₂ timing (moderates tail)</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diffusion_drag_strength</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Physical transport resistance: dominated by P80 (coarse material has long diffusion paths) and gangue silicates (pore-plugging, armoring). PbSO₄ precipitates from galena oxidation contribute strongly. High values slow both b₁ and b₂.</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b₁ (suppressed), b₂ (suppressed)</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surface_refresh</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Accessible reactive surface: inversely related to diffusion drag and particle size. Fine material with high oxide/secondary content has high surface refresh. Indicates how readily fresh mineral surface is exposed to lixiviant.</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b₁</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ore_decay_strength</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Long-term kinetic decay: combines residual chalcopyrite, primary-sulfide equivalent, gangue sulfides, and silicates to quantify how severely late-stage kinetics degrade.</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A₂, b₂ (both moderated)</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passivation_strength</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Passivation severity composite: integrates primary_passivation_drive, diffusion drag, ore decay, and gangue sulfide contributions. The net passivation experienced by the ore at the leach-curve level.</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b₂ (central driver)</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depassivation_strength</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Catalyst-driven passivation relief: how much benefit the catalyst provides in removing passivating layers. Requires adequate ferric synergy, primary-sulfide substrate, and a modest acid buffer. Gangue sulfides and silicates reduce the headroom.</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Catalyzed A₂, catalyzed b₂ (both increase)</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transform_strength</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Mixed-ore transitional behavior: relevant for ores with significant mixed/transitional copper minerals. Models the conversion of intermediate phases over time.</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A₂ (mild), b₂ (mild)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tau_days</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Characteristic dissolution timescale: dominated by column height and P80. Defines the effective “age” rate of the leach — taller, coarser columns have longer tau.</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b₁ timing, b₂ timing</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temp_days</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Secondary transition timescale: similar to tau_days but weighted toward b₂ timing. Governs when the slow-phase dissolution begins to dominate the overall curve shape.</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b₂ timing</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kappa</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Tail-shape curvature: P80 negatively influences kappa (coarse ores have softer tails), while column height, passivation, and ore decay positively influence it. Controls the curvature of the late-time recovery trajectory.</w:t>
            </w:r>
          </w:p>
        </w:tc>
        <w:tc>
          <w:tcPr>
            <w:tcW w:type="dxa" w:w="2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A₂ / b₂ shape</w:t>
            </w:r>
          </w:p>
        </w:tc>
      </w:tr>
      <w:tr>
        <w:tc>
          <w:tcPr>
            <w:tcW w:type="dxa" w:w="16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aging_strength</w:t>
            </w:r>
          </w:p>
        </w:tc>
        <w:tc>
          <w:tcPr>
            <w:tcW w:type="dxa" w:w="4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Catalyst aging and fade: quantifies how quickly catalyst effectiveness declines with time. Tall, dense columns with high passivation burden and gangue sulfide competition age catalyst faster.</w:t>
            </w:r>
          </w:p>
        </w:tc>
        <w:tc>
          <w:tcPr>
            <w:tcW w:type="dxa" w:w="26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Late catalyst response fade</w:t>
            </w:r>
          </w:p>
        </w:tc>
      </w:tr>
    </w:tbl>
    <w:p>
      <w:pPr>
        <w:spacing w:after="160" w:before="60"/>
        <w:jc w:val="center"/>
      </w:pPr>
      <w:r>
        <w:rPr>
          <w:rFonts w:ascii="Arial" w:cs="Arial" w:eastAsia="Arial" w:hAnsi="Arial"/>
          <w:i/>
          <w:iCs/>
          <w:color w:val="555555"/>
          <w:sz w:val="18"/>
          <w:szCs w:val="18"/>
        </w:rPr>
        <w:t xml:space="preserve">Table 5. The twenty latent metallurgical interaction blocks in Rosetta v12, their physical concepts, and the bi-exponential parameters they modulate.</w:t>
      </w:r>
    </w:p>
    <w:p>
      <w:pPr>
        <w:pStyle w:val="Heading2"/>
        <w:spacing w:after="80" w:before="240"/>
      </w:pPr>
      <w:r>
        <w:rPr>
          <w:rFonts w:ascii="Arial" w:cs="Arial" w:eastAsia="Arial" w:hAnsi="Arial"/>
          <w:b/>
          <w:bCs/>
          <w:color w:val="1F497D"/>
          <w:sz w:val="24"/>
          <w:szCs w:val="24"/>
        </w:rPr>
        <w:t xml:space="preserve">6.2 Selected Block Interactions in Detail</w:t>
      </w:r>
    </w:p>
    <w:p>
      <w:pPr>
        <w:pStyle w:val="Heading3"/>
        <w:spacing w:after="60" w:before="160"/>
      </w:pPr>
      <w:r>
        <w:rPr>
          <w:rFonts w:ascii="Arial" w:cs="Arial" w:eastAsia="Arial" w:hAnsi="Arial"/>
          <w:b/>
          <w:bCs/>
          <w:color w:val="C9660A"/>
          <w:sz w:val="22"/>
          <w:szCs w:val="22"/>
        </w:rPr>
        <w:t xml:space="preserve">6.2.1 Ferric Synergy and the Gangue Sulfide Competition</w:t>
      </w:r>
    </w:p>
    <w:p>
      <w:pPr>
        <w:spacing w:after="120" w:before="0" w:line="276" w:lineRule="auto"/>
        <w:jc w:val="both"/>
      </w:pPr>
      <w:r>
        <w:rPr>
          <w:rFonts w:ascii="Arial" w:cs="Arial" w:eastAsia="Arial" w:hAnsi="Arial"/>
          <w:sz w:val="22"/>
          <w:szCs w:val="22"/>
        </w:rPr>
        <w:t xml:space="preserve">One of the most nuanced metallurgical relationships in the model is the dual role of gangue sulfides. Pyrite (acid-generating sulfides group) is the predominant gangue sulfide in copper porphyry deposits. Pyrite oxidizes under heap-leach conditions:</w:t>
      </w:r>
    </w:p>
    <w:p>
      <w:pPr>
        <w:spacing w:after="120" w:before="120"/>
        <w:jc w:val="center"/>
      </w:pPr>
      <w:r>
        <w:rPr>
          <w:rFonts w:ascii="Courier New" w:cs="Courier New" w:eastAsia="Courier New" w:hAnsi="Courier New"/>
          <w:b/>
          <w:bCs/>
          <w:sz w:val="22"/>
          <w:szCs w:val="22"/>
        </w:rPr>
        <w:t xml:space="preserve">2FeS₂ + 7O₂ + 2H₂O  →  2FeSO₄ + 2H₂SO₄</w:t>
      </w:r>
    </w:p>
    <w:p>
      <w:pPr>
        <w:spacing w:after="120" w:before="120"/>
        <w:jc w:val="center"/>
      </w:pPr>
      <w:r>
        <w:rPr>
          <w:rFonts w:ascii="Courier New" w:cs="Courier New" w:eastAsia="Courier New" w:hAnsi="Courier New"/>
          <w:b/>
          <w:bCs/>
          <w:sz w:val="22"/>
          <w:szCs w:val="22"/>
        </w:rPr>
        <w:t xml:space="preserve">4Fe²⁺ + O₂ + 4H⁺  →  4Fe³⁺ + 2H₂O</w:t>
      </w:r>
    </w:p>
    <w:p>
      <w:pPr>
        <w:spacing w:after="120" w:before="0" w:line="276" w:lineRule="auto"/>
        <w:jc w:val="both"/>
      </w:pPr>
      <w:r>
        <w:rPr>
          <w:rFonts w:ascii="Arial" w:cs="Arial" w:eastAsia="Arial" w:hAnsi="Arial"/>
          <w:sz w:val="22"/>
          <w:szCs w:val="22"/>
        </w:rPr>
        <w:t xml:space="preserve">The net result is in-situ generation of sulfuric acid and ferric iron, both of which are required for chalcopyrite dissolution. This is a strongly positive contribution to ferric_synergy (weight +0.34). Sphalerite (ZnS) and galena (PbS), however, also oxidize readily in the presence of Fe³⁺:</w:t>
      </w:r>
    </w:p>
    <w:p>
      <w:pPr>
        <w:spacing w:after="120" w:before="120"/>
        <w:jc w:val="center"/>
      </w:pPr>
      <w:r>
        <w:rPr>
          <w:rFonts w:ascii="Courier New" w:cs="Courier New" w:eastAsia="Courier New" w:hAnsi="Courier New"/>
          <w:b/>
          <w:bCs/>
          <w:sz w:val="22"/>
          <w:szCs w:val="22"/>
        </w:rPr>
        <w:t xml:space="preserve">ZnS + 2Fe³⁺  →  Zn²⁺ + S° + 2Fe²⁺</w:t>
      </w:r>
    </w:p>
    <w:p>
      <w:pPr>
        <w:spacing w:after="120" w:before="120"/>
        <w:jc w:val="center"/>
      </w:pPr>
      <w:r>
        <w:rPr>
          <w:rFonts w:ascii="Courier New" w:cs="Courier New" w:eastAsia="Courier New" w:hAnsi="Courier New"/>
          <w:b/>
          <w:bCs/>
          <w:sz w:val="22"/>
          <w:szCs w:val="22"/>
        </w:rPr>
        <w:t xml:space="preserve">PbS + 2Fe³⁺  →  Pb²⁺ + S° + 2Fe²⁺</w:t>
      </w:r>
    </w:p>
    <w:p>
      <w:pPr>
        <w:spacing w:after="120" w:before="0" w:line="276" w:lineRule="auto"/>
        <w:jc w:val="both"/>
      </w:pPr>
      <w:r>
        <w:rPr>
          <w:rFonts w:ascii="Arial" w:cs="Arial" w:eastAsia="Arial" w:hAnsi="Arial"/>
          <w:sz w:val="22"/>
          <w:szCs w:val="22"/>
        </w:rPr>
        <w:t xml:space="preserve">These reactions consume Fe³⁺ without contributing to copper recovery — they are pure oxidant ‘sinks.’ Furthermore, the Pb²⁺ produced from galena oxidation combines with sulfate to form insoluble anglesite (PbSO₄), which precipitates in pore spaces and contributes to physical pore plugging and diffusion drag. The model encodes this with the strongest negative weight in the ferric_synergy block (−0.24 for gangue_sulfides), making it the dominant single term opposing ferric synergy.</w:t>
      </w:r>
    </w:p>
    <w:p>
      <w:pPr>
        <w:pStyle w:val="Heading3"/>
        <w:spacing w:after="60" w:before="160"/>
      </w:pPr>
      <w:r>
        <w:rPr>
          <w:rFonts w:ascii="Arial" w:cs="Arial" w:eastAsia="Arial" w:hAnsi="Arial"/>
          <w:b/>
          <w:bCs/>
          <w:color w:val="C9660A"/>
          <w:sz w:val="22"/>
          <w:szCs w:val="22"/>
        </w:rPr>
        <w:t xml:space="preserve">6.2.2 Carbonate Chemistry: Acid Buffering and Gypsum Pore-Plugging</w:t>
      </w:r>
    </w:p>
    <w:p>
      <w:pPr>
        <w:spacing w:after="120" w:before="0" w:line="276" w:lineRule="auto"/>
        <w:jc w:val="both"/>
      </w:pPr>
      <w:r>
        <w:rPr>
          <w:rFonts w:ascii="Arial" w:cs="Arial" w:eastAsia="Arial" w:hAnsi="Arial"/>
          <w:sz w:val="22"/>
          <w:szCs w:val="22"/>
        </w:rPr>
        <w:t xml:space="preserve">Carbonates (calcite, dolomite, siderite) react rapidly with sulfuric acid:</w:t>
      </w:r>
    </w:p>
    <w:p>
      <w:pPr>
        <w:spacing w:after="120" w:before="120"/>
        <w:jc w:val="center"/>
      </w:pPr>
      <w:r>
        <w:rPr>
          <w:rFonts w:ascii="Courier New" w:cs="Courier New" w:eastAsia="Courier New" w:hAnsi="Courier New"/>
          <w:b/>
          <w:bCs/>
          <w:sz w:val="22"/>
          <w:szCs w:val="22"/>
        </w:rPr>
        <w:t xml:space="preserve">CaCO₃ + H₂SO₄  →  CaSO₄ + CO₂ + H₂O</w:t>
      </w:r>
    </w:p>
    <w:p>
      <w:pPr>
        <w:spacing w:after="120" w:before="0" w:line="276" w:lineRule="auto"/>
        <w:jc w:val="both"/>
      </w:pPr>
      <w:r>
        <w:rPr>
          <w:rFonts w:ascii="Arial" w:cs="Arial" w:eastAsia="Arial" w:hAnsi="Arial"/>
          <w:sz w:val="22"/>
          <w:szCs w:val="22"/>
        </w:rPr>
        <w:t xml:space="preserve">This reaction has two adverse effects on leaching. First, it consumes acid that would otherwise drive chalcopyrite dissolution and ferric iron recycling. Second, and less intuitively, the gypsum (CaSO₄) product is sparingly soluble and precipitates as crystalline scale within the ore bed pore network. Gypsum scale is a well-documented mechanism for permeability reduction in both laboratory columns and operational heaps. Rosetta encodes this through both acid_buffer_strength (+0.86 for carbonates) and diffusion_drag_strength (+0.20 for carbonates, specifically citing gypsum precipitation).</w:t>
      </w:r>
    </w:p>
    <w:p>
      <w:pPr>
        <w:spacing w:after="120" w:before="0" w:line="276" w:lineRule="auto"/>
        <w:jc w:val="both"/>
      </w:pPr>
      <w:r>
        <w:rPr>
          <w:rFonts w:ascii="Arial" w:cs="Arial" w:eastAsia="Arial" w:hAnsi="Arial"/>
          <w:sz w:val="22"/>
          <w:szCs w:val="22"/>
        </w:rPr>
        <w:t xml:space="preserve">Siderite (FeCO₃), a common carbonate in some porphyry systems, has a partially mitigating effect: its dissolution releases Fe²⁺ that can be oxidized to Fe³⁺, partially offsetting the acid consumption. The ferric_synergy block captures this with a weak negative weight for carbonates (−0.18), noting that siderite releases Fe²⁺ that partially offsets the acid buffer penalty.</w:t>
      </w:r>
    </w:p>
    <w:p>
      <w:pPr>
        <w:pStyle w:val="Heading3"/>
        <w:spacing w:after="60" w:before="160"/>
      </w:pPr>
      <w:r>
        <w:rPr>
          <w:rFonts w:ascii="Arial" w:cs="Arial" w:eastAsia="Arial" w:hAnsi="Arial"/>
          <w:b/>
          <w:bCs/>
          <w:color w:val="C9660A"/>
          <w:sz w:val="22"/>
          <w:szCs w:val="22"/>
        </w:rPr>
        <w:t xml:space="preserve">6.2.3 Phosphate Minerals and Catalyst Antagonism</w:t>
      </w:r>
    </w:p>
    <w:p>
      <w:pPr>
        <w:spacing w:after="120" w:before="0" w:line="276" w:lineRule="auto"/>
        <w:jc w:val="both"/>
      </w:pPr>
      <w:r>
        <w:rPr>
          <w:rFonts w:ascii="Arial" w:cs="Arial" w:eastAsia="Arial" w:hAnsi="Arial"/>
          <w:sz w:val="22"/>
          <w:szCs w:val="22"/>
        </w:rPr>
        <w:t xml:space="preserve">Phosphate minerals (apatite and related phases) appear in several of the latent blocks with negative weights, particularly in primary_catalyst_synergy (−0.06) and depassivation_strength (−0.10). Apatite dissolution in acid releases phosphate ions (H₂PO₄⁻) that are known to: (i) complex with Fe²⁺ and Fe³⁺, reducing their availability for oxidation reactions; (ii) potentially adsorb onto mineral surfaces, interfering with the catalyst’s coordination chemistry; and (iii) contribute to acid consumption. The negative association with depassivation_strength is particularly significant because phosphate interference with iron cycling directly opposes the catalyst’s ferric-mediated depassivation mechanism.</w:t>
      </w:r>
    </w:p>
    <w:p>
      <w:pPr>
        <w:pStyle w:val="Heading3"/>
        <w:spacing w:after="60" w:before="160"/>
      </w:pPr>
      <w:r>
        <w:rPr>
          <w:rFonts w:ascii="Arial" w:cs="Arial" w:eastAsia="Arial" w:hAnsi="Arial"/>
          <w:b/>
          <w:bCs/>
          <w:color w:val="C9660A"/>
          <w:sz w:val="22"/>
          <w:szCs w:val="22"/>
        </w:rPr>
        <w:t xml:space="preserve">6.2.4 The Tall-Column Oxidant Deficit</w:t>
      </w:r>
    </w:p>
    <w:p>
      <w:pPr>
        <w:spacing w:after="120" w:before="0" w:line="276" w:lineRule="auto"/>
        <w:jc w:val="both"/>
      </w:pPr>
      <w:r>
        <w:rPr>
          <w:rFonts w:ascii="Arial" w:cs="Arial" w:eastAsia="Arial" w:hAnsi="Arial"/>
          <w:sz w:val="22"/>
          <w:szCs w:val="22"/>
        </w:rPr>
        <w:t xml:space="preserve">Column height has a profound effect on leach outcomes that goes beyond its role as a transport parameter. Tall columns (&gt;4 m) exhibit an oxidant depletion gradient: lixiviant entering at the top of the column progressively loses dissolved oxygen and ferric iron as it percolates downward through the ore bed. By the time solution reaches the bottom, it may be substantially reduced (high Fe²⁺, low ORP), with little effective oxidant available for chalcopyrite attack. The model captures this through a dedicated composite score (tall_column_oxidant_deficit_score) that is positively influenced by column height, P80, primary-sulfide content, and residual chalcopyrite, and negatively influenced by the ferric bootstrap quality. This score appears as a significant positive contributor to passivation_strength, diffusion_drag_strength, tau_days, and ore_decay_strength, and as a negative contributor to fast_leach_inventory, surface_refresh, and ferric_synergy.</w:t>
      </w:r>
    </w:p>
    <w:p>
      <w:pPr>
        <w:pStyle w:val="Heading1"/>
        <w:spacing w:after="120" w:before="320"/>
      </w:pPr>
      <w:r>
        <w:rPr>
          <w:rFonts w:ascii="Arial" w:cs="Arial" w:eastAsia="Arial" w:hAnsi="Arial"/>
          <w:b/>
          <w:bCs/>
          <w:color w:val="1F497D"/>
          <w:sz w:val="28"/>
          <w:szCs w:val="28"/>
        </w:rPr>
        <w:t xml:space="preserve">7. Catalyst Transport Modeling: The CSTR Pore-Volume Model</w:t>
      </w:r>
    </w:p>
    <w:p>
      <w:pPr>
        <w:pStyle w:val="Heading2"/>
        <w:spacing w:after="80" w:before="240"/>
      </w:pPr>
      <w:r>
        <w:rPr>
          <w:rFonts w:ascii="Arial" w:cs="Arial" w:eastAsia="Arial" w:hAnsi="Arial"/>
          <w:b/>
          <w:bCs/>
          <w:color w:val="1F497D"/>
          <w:sz w:val="24"/>
          <w:szCs w:val="24"/>
        </w:rPr>
        <w:t xml:space="preserve">7.1 Motivation</w:t>
      </w:r>
    </w:p>
    <w:p>
      <w:pPr>
        <w:spacing w:after="120" w:before="0" w:line="276" w:lineRule="auto"/>
        <w:jc w:val="both"/>
      </w:pPr>
      <w:r>
        <w:rPr>
          <w:rFonts w:ascii="Arial" w:cs="Arial" w:eastAsia="Arial" w:hAnsi="Arial"/>
          <w:sz w:val="22"/>
          <w:szCs w:val="22"/>
        </w:rPr>
        <w:t xml:space="preserve">The catalyst’s effectiveness at any given time depends not only on how much has been added cumulatively, but on the instantaneous concentration in the pore solution where mineral surfaces are exposed. A catalyst addition event at the surface manifests at depth only after the solution has traversed the full bed height. This hydraulic delay is critical for tall columns and at low irrigation rates.</w:t>
      </w:r>
    </w:p>
    <w:p>
      <w:pPr>
        <w:spacing w:after="120" w:before="0" w:line="276" w:lineRule="auto"/>
        <w:jc w:val="both"/>
      </w:pPr>
      <w:r>
        <w:rPr>
          <w:rFonts w:ascii="Arial" w:cs="Arial" w:eastAsia="Arial" w:hAnsi="Arial"/>
          <w:sz w:val="22"/>
          <w:szCs w:val="22"/>
        </w:rPr>
        <w:t xml:space="preserve">To capture this physics, Rosetta models the column pore space as a single Continuously Stirred Tank Reactor (CSTR) with a first-order lag response to the feed concentration:</w:t>
      </w:r>
    </w:p>
    <w:p>
      <w:pPr>
        <w:pStyle w:val="Heading2"/>
        <w:spacing w:after="80" w:before="240"/>
      </w:pPr>
      <w:r>
        <w:rPr>
          <w:rFonts w:ascii="Arial" w:cs="Arial" w:eastAsia="Arial" w:hAnsi="Arial"/>
          <w:b/>
          <w:bCs/>
          <w:color w:val="1F497D"/>
          <w:sz w:val="24"/>
          <w:szCs w:val="24"/>
        </w:rPr>
        <w:t xml:space="preserve">7.2 CSTR Equations</w:t>
      </w:r>
    </w:p>
    <w:p>
      <w:pPr>
        <w:spacing w:after="120" w:before="120"/>
        <w:jc w:val="center"/>
      </w:pPr>
      <w:r>
        <w:rPr>
          <w:rFonts w:ascii="Courier New" w:cs="Courier New" w:eastAsia="Courier New" w:hAnsi="Courier New"/>
          <w:b/>
          <w:bCs/>
          <w:sz w:val="22"/>
          <w:szCs w:val="22"/>
        </w:rPr>
        <w:t xml:space="preserve">C_col[i] = C_col[i−1] × exp(−Δt/τ) + C_feed[i] × (1 − exp(−Δt/τ))</w:t>
      </w:r>
    </w:p>
    <w:p>
      <w:pPr>
        <w:spacing w:after="120" w:before="0" w:line="276" w:lineRule="auto"/>
        <w:jc w:val="both"/>
      </w:pPr>
      <w:r>
        <w:rPr>
          <w:rFonts w:ascii="Arial" w:cs="Arial" w:eastAsia="Arial" w:hAnsi="Arial"/>
          <w:sz w:val="22"/>
          <w:szCs w:val="22"/>
        </w:rPr>
        <w:t xml:space="preserve">where:</w:t>
      </w:r>
    </w:p>
    <w:p>
      <w:pPr>
        <w:pStyle w:val="ListParagraph"/>
        <w:numPr>
          <w:ilvl w:val="0"/>
          <w:numId w:val="2"/>
        </w:numPr>
        <w:spacing w:after="40" w:before="40"/>
      </w:pPr>
      <w:r>
        <w:rPr>
          <w:rFonts w:ascii="Arial" w:cs="Arial" w:eastAsia="Arial" w:hAnsi="Arial"/>
          <w:b w:val="false"/>
          <w:bCs w:val="false"/>
          <w:sz w:val="22"/>
          <w:szCs w:val="22"/>
        </w:rPr>
        <w:t xml:space="preserve">C_col[i]: average catalyst concentration in column pore solution at time step i (mg/L)</w:t>
      </w:r>
    </w:p>
    <w:p>
      <w:pPr>
        <w:pStyle w:val="ListParagraph"/>
        <w:numPr>
          <w:ilvl w:val="0"/>
          <w:numId w:val="2"/>
        </w:numPr>
        <w:spacing w:after="40" w:before="40"/>
      </w:pPr>
      <w:r>
        <w:rPr>
          <w:rFonts w:ascii="Arial" w:cs="Arial" w:eastAsia="Arial" w:hAnsi="Arial"/>
          <w:b w:val="false"/>
          <w:bCs w:val="false"/>
          <w:sz w:val="22"/>
          <w:szCs w:val="22"/>
        </w:rPr>
        <w:t xml:space="preserve">C_feed[i]: catalyst feed concentration at time step i (mg/L), back-calculated from cumulative catalyst and lixiviant addition profiles</w:t>
      </w:r>
    </w:p>
    <w:p>
      <w:pPr>
        <w:pStyle w:val="ListParagraph"/>
        <w:numPr>
          <w:ilvl w:val="0"/>
          <w:numId w:val="2"/>
        </w:numPr>
        <w:spacing w:after="40" w:before="40"/>
      </w:pPr>
      <w:r>
        <w:rPr>
          <w:rFonts w:ascii="Arial" w:cs="Arial" w:eastAsia="Arial" w:hAnsi="Arial"/>
          <w:b w:val="false"/>
          <w:bCs w:val="false"/>
          <w:sz w:val="22"/>
          <w:szCs w:val="22"/>
        </w:rPr>
        <w:t xml:space="preserve">Δt: time interval between observations (days)</w:t>
      </w:r>
    </w:p>
    <w:p>
      <w:pPr>
        <w:pStyle w:val="ListParagraph"/>
        <w:numPr>
          <w:ilvl w:val="0"/>
          <w:numId w:val="2"/>
        </w:numPr>
        <w:spacing w:after="40" w:before="40"/>
      </w:pPr>
      <w:r>
        <w:rPr>
          <w:rFonts w:ascii="Arial" w:cs="Arial" w:eastAsia="Arial" w:hAnsi="Arial"/>
          <w:b w:val="false"/>
          <w:bCs w:val="false"/>
          <w:sz w:val="22"/>
          <w:szCs w:val="22"/>
        </w:rPr>
        <w:t xml:space="preserve">τ: hydraulic residence time (days) = pore_vol_L / flow_rate_L_day</w:t>
      </w:r>
    </w:p>
    <w:p>
      <w:pPr>
        <w:spacing w:after="80"/>
      </w:pPr>
    </w:p>
    <w:p>
      <w:pPr>
        <w:spacing w:after="120" w:before="0" w:line="276" w:lineRule="auto"/>
        <w:jc w:val="both"/>
      </w:pPr>
      <w:r>
        <w:rPr>
          <w:rFonts w:ascii="Arial" w:cs="Arial" w:eastAsia="Arial" w:hAnsi="Arial"/>
          <w:sz w:val="22"/>
          <w:szCs w:val="22"/>
        </w:rPr>
        <w:t xml:space="preserve">The pore volume is calculated as:</w:t>
      </w:r>
    </w:p>
    <w:p>
      <w:pPr>
        <w:spacing w:after="120" w:before="120"/>
        <w:jc w:val="center"/>
      </w:pPr>
      <w:r>
        <w:rPr>
          <w:rFonts w:ascii="Courier New" w:cs="Courier New" w:eastAsia="Courier New" w:hAnsi="Courier New"/>
          <w:b/>
          <w:bCs/>
          <w:sz w:val="22"/>
          <w:szCs w:val="22"/>
        </w:rPr>
        <w:t xml:space="preserve">Pore_vol = π × (d/2)² × h × ε × 1000  [L]</w:t>
      </w:r>
    </w:p>
    <w:p>
      <w:pPr>
        <w:spacing w:after="120" w:before="0" w:line="276" w:lineRule="auto"/>
        <w:jc w:val="both"/>
      </w:pPr>
      <w:r>
        <w:rPr>
          <w:rFonts w:ascii="Arial" w:cs="Arial" w:eastAsia="Arial" w:hAnsi="Arial"/>
          <w:sz w:val="22"/>
          <w:szCs w:val="22"/>
        </w:rPr>
        <w:t xml:space="preserve">where d = column inner diameter (m), h = column height (m), and ε = 0.35 (a fixed bed porosity representative of crushed sulfide ore in column tests).</w:t>
      </w:r>
    </w:p>
    <w:p>
      <w:pPr>
        <w:spacing w:after="120" w:before="0" w:line="276" w:lineRule="auto"/>
        <w:jc w:val="both"/>
      </w:pPr>
      <w:r>
        <w:rPr>
          <w:rFonts w:ascii="Arial" w:cs="Arial" w:eastAsia="Arial" w:hAnsi="Arial"/>
          <w:sz w:val="22"/>
          <w:szCs w:val="22"/>
        </w:rPr>
        <w:t xml:space="preserve">The feed concentration is reconstructed from the authoritative cumulative profiles:</w:t>
      </w:r>
    </w:p>
    <w:p>
      <w:pPr>
        <w:spacing w:after="120" w:before="120"/>
        <w:jc w:val="center"/>
      </w:pPr>
      <w:r>
        <w:rPr>
          <w:rFonts w:ascii="Courier New" w:cs="Courier New" w:eastAsia="Courier New" w:hAnsi="Courier New"/>
          <w:b/>
          <w:bCs/>
          <w:sz w:val="22"/>
          <w:szCs w:val="22"/>
        </w:rPr>
        <w:t xml:space="preserve">C_feed[i] = Δ(cum_catalyst_kg/t) × 1000 / Δ(cum_lixiviant_m³/t)  [mg/L]</w:t>
      </w:r>
    </w:p>
    <w:p>
      <w:pPr>
        <w:spacing w:after="120" w:before="0" w:line="276" w:lineRule="auto"/>
        <w:jc w:val="both"/>
      </w:pPr>
      <w:r>
        <w:rPr>
          <w:rFonts w:ascii="Arial" w:cs="Arial" w:eastAsia="Arial" w:hAnsi="Arial"/>
          <w:sz w:val="22"/>
          <w:szCs w:val="22"/>
        </w:rPr>
        <w:t xml:space="preserve">The feed-mass factor cancels from both numerator and denominator because both cumulative profiles are expressed per tonne of ore. This approach is robust to differences in column size between test facilities.</w:t>
      </w:r>
    </w:p>
    <w:p>
      <w:pPr>
        <w:pStyle w:val="Heading2"/>
        <w:spacing w:after="80" w:before="240"/>
      </w:pPr>
      <w:r>
        <w:rPr>
          <w:rFonts w:ascii="Arial" w:cs="Arial" w:eastAsia="Arial" w:hAnsi="Arial"/>
          <w:b/>
          <w:bCs/>
          <w:color w:val="1F497D"/>
          <w:sz w:val="24"/>
          <w:szCs w:val="24"/>
        </w:rPr>
        <w:t xml:space="preserve">7.3 Use in the Neural Network</w:t>
      </w:r>
    </w:p>
    <w:p>
      <w:pPr>
        <w:spacing w:after="120" w:before="0" w:line="276" w:lineRule="auto"/>
        <w:jc w:val="both"/>
      </w:pPr>
      <w:r>
        <w:rPr>
          <w:rFonts w:ascii="Arial" w:cs="Arial" w:eastAsia="Arial" w:hAnsi="Arial"/>
          <w:sz w:val="22"/>
          <w:szCs w:val="22"/>
        </w:rPr>
        <w:t xml:space="preserve">The CSTR-derived C_col profile is an additional dynamic input to the model, supplementing the cumulative catalyst addition history. It captures the in-column catalyst concentration at the moment of each observation — representing the probability of active catalyst-chalcopyrite contact at the mineral surface — rather than just the accumulated dose. The model learns three separate scaling factors governing how the CSTR concentration summary influences the transition timing parameters (τ, kappa, and temperature parameters), allowing independent control of concentration-versus-mass effects on the catalyst response.</w:t>
      </w:r>
    </w:p>
    <w:p>
      <w:pPr>
        <w:spacing w:after="120" w:before="0" w:line="276" w:lineRule="auto"/>
        <w:jc w:val="both"/>
      </w:pPr>
      <w:r>
        <w:rPr>
          <w:rFonts w:ascii="Arial" w:cs="Arial" w:eastAsia="Arial" w:hAnsi="Arial"/>
          <w:sz w:val="22"/>
          <w:szCs w:val="22"/>
        </w:rPr>
        <w:t xml:space="preserve">For control columns, the CSTR concentration is set to zero at all times, maintaining a strict physical distinction between control and catalyzed behavior within the shared model framework.</w:t>
      </w:r>
    </w:p>
    <w:p>
      <w:pPr>
        <w:pStyle w:val="Heading1"/>
        <w:spacing w:after="120" w:before="320"/>
      </w:pPr>
      <w:r>
        <w:rPr>
          <w:rFonts w:ascii="Arial" w:cs="Arial" w:eastAsia="Arial" w:hAnsi="Arial"/>
          <w:b/>
          <w:bCs/>
          <w:color w:val="1F497D"/>
          <w:sz w:val="28"/>
          <w:szCs w:val="28"/>
        </w:rPr>
        <w:t xml:space="preserve">8. Neural Network Architecture</w:t>
      </w:r>
    </w:p>
    <w:p>
      <w:pPr>
        <w:pStyle w:val="Heading2"/>
        <w:spacing w:after="80" w:before="240"/>
      </w:pPr>
      <w:r>
        <w:rPr>
          <w:rFonts w:ascii="Arial" w:cs="Arial" w:eastAsia="Arial" w:hAnsi="Arial"/>
          <w:b/>
          <w:bCs/>
          <w:color w:val="1F497D"/>
          <w:sz w:val="24"/>
          <w:szCs w:val="24"/>
        </w:rPr>
        <w:t xml:space="preserve">8.1 Encoder and Prediction Heads</w:t>
      </w:r>
    </w:p>
    <w:p>
      <w:pPr>
        <w:spacing w:after="120" w:before="0" w:line="276" w:lineRule="auto"/>
        <w:jc w:val="both"/>
      </w:pPr>
      <w:r>
        <w:rPr>
          <w:rFonts w:ascii="Arial" w:cs="Arial" w:eastAsia="Arial" w:hAnsi="Arial"/>
          <w:sz w:val="22"/>
          <w:szCs w:val="22"/>
        </w:rPr>
        <w:t xml:space="preserve">The core neural network (PairCurveNet) consists of a shared encoder followed by a set of specialized prediction heads, one for each physically meaningful output quantity. The encoder processes the normalized static input feature vector through two fully connected layers with ReLU activations and a dropout layer for regularization:</w:t>
      </w:r>
    </w:p>
    <w:p>
      <w:pPr>
        <w:spacing w:after="120" w:before="120"/>
        <w:jc w:val="center"/>
      </w:pPr>
      <w:r>
        <w:rPr>
          <w:rFonts w:ascii="Courier New" w:cs="Courier New" w:eastAsia="Courier New" w:hAnsi="Courier New"/>
          <w:b/>
          <w:bCs/>
          <w:sz w:val="22"/>
          <w:szCs w:val="22"/>
        </w:rPr>
        <w:t xml:space="preserve">z = ReLU(W₂ × ReLU(W₁x + b₁) + b₂),   z ∈ ℝ⁴⁸</w:t>
      </w:r>
    </w:p>
    <w:p>
      <w:pPr>
        <w:spacing w:after="120" w:before="0" w:line="276" w:lineRule="auto"/>
        <w:jc w:val="both"/>
      </w:pPr>
      <w:r>
        <w:rPr>
          <w:rFonts w:ascii="Arial" w:cs="Arial" w:eastAsia="Arial" w:hAnsi="Arial"/>
          <w:sz w:val="22"/>
          <w:szCs w:val="22"/>
        </w:rPr>
        <w:t xml:space="preserve">where x is the input feature vector (dimension = number of static predictors, currently ~21 features), and z is the 48-dimensional latent representation. A dropout rate of 15% is applied to the first ReLU layer during training for regularization.</w:t>
      </w:r>
    </w:p>
    <w:p>
      <w:pPr>
        <w:spacing w:after="120" w:before="0" w:line="276" w:lineRule="auto"/>
        <w:jc w:val="both"/>
      </w:pPr>
      <w:r>
        <w:rPr>
          <w:rFonts w:ascii="Arial" w:cs="Arial" w:eastAsia="Arial" w:hAnsi="Arial"/>
          <w:sz w:val="22"/>
          <w:szCs w:val="22"/>
        </w:rPr>
        <w:t xml:space="preserve">From z, 30+ specialized linear heads project to individual scalar outputs representing distinct physical quantities. The most important heads are: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4360"/>
      </w:tblGrid>
      <w:tr>
        <w:trPr>
          <w:tblHeader/>
        </w:trPr>
        <w:tc>
          <w:tcPr>
            <w:tcW w:type="dxa" w:w="2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Head</w:t>
            </w:r>
          </w:p>
        </w:tc>
        <w:tc>
          <w:tcPr>
            <w:tcW w:type="dxa" w:w="1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4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Meaning</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ctrl_head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scalars → [A₁, b₁, A₂, b₂]</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Raw control curve parameters, bounded via sigmoid to physically plausible ranges derived from the dataset.</w:t>
            </w:r>
          </w:p>
        </w:tc>
      </w:tr>
      <w:tr>
        <w:tc>
          <w:tcPr>
            <w:tcW w:type="dxa" w:w="2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cat_delta_head</w:t>
            </w:r>
          </w:p>
        </w:tc>
        <w:tc>
          <w:tcPr>
            <w:tcW w:type="dxa" w:w="19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4 scalars</w:t>
            </w:r>
          </w:p>
        </w:tc>
        <w:tc>
          <w:tcPr>
            <w:tcW w:type="dxa" w:w="4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Catalyst modification deltas, used with the constrained _apply_catalyst_delta function to produce catalyzed parameters.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delay_head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 scalar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Transition onset timing for catalyst effect (days).</w:t>
            </w:r>
          </w:p>
        </w:tc>
      </w:tr>
      <w:tr>
        <w:tc>
          <w:tcPr>
            <w:tcW w:type="dxa" w:w="2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aging_head</w:t>
            </w:r>
          </w:p>
        </w:tc>
        <w:tc>
          <w:tcPr>
            <w:tcW w:type="dxa" w:w="19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 scalar</w:t>
            </w:r>
          </w:p>
        </w:tc>
        <w:tc>
          <w:tcPr>
            <w:tcW w:type="dxa" w:w="4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Catalyst aging rate — how quickly the catalyst’s effectiveness decays with cumulative exposure.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use_frac_head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 scalar (sigmoid)</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Fraction of catalyst actively engaged with the ore surface (vs. passivated or lost in solution).</w:t>
            </w:r>
          </w:p>
        </w:tc>
      </w:tr>
      <w:tr>
        <w:tc>
          <w:tcPr>
            <w:tcW w:type="dxa" w:w="2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passivation_head</w:t>
            </w:r>
          </w:p>
        </w:tc>
        <w:tc>
          <w:tcPr>
            <w:tcW w:type="dxa" w:w="19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 scalar</w:t>
            </w:r>
          </w:p>
        </w:tc>
        <w:tc>
          <w:tcPr>
            <w:tcW w:type="dxa" w:w="4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Passivation severity per sample.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depassivation_head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 scalar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Catalyst-driven depassivation strength.</w:t>
            </w:r>
          </w:p>
        </w:tc>
      </w:tr>
      <w:tr>
        <w:tc>
          <w:tcPr>
            <w:tcW w:type="dxa" w:w="2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acid_buffer_head</w:t>
            </w:r>
          </w:p>
        </w:tc>
        <w:tc>
          <w:tcPr>
            <w:tcW w:type="dxa" w:w="19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 scalar</w:t>
            </w:r>
          </w:p>
        </w:tc>
        <w:tc>
          <w:tcPr>
            <w:tcW w:type="dxa" w:w="4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Acid buffering burden magnitude.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diffusion_drag_head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 scalar</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Transport-limited kinetic drag.</w:t>
            </w:r>
          </w:p>
        </w:tc>
      </w:tr>
      <w:tr>
        <w:tc>
          <w:tcPr>
            <w:tcW w:type="dxa" w:w="21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cpy_leach_frac_cat_head / ctrl_head</w:t>
            </w:r>
          </w:p>
        </w:tc>
        <w:tc>
          <w:tcPr>
            <w:tcW w:type="dxa" w:w="19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 scalar each</w:t>
            </w:r>
          </w:p>
        </w:tc>
        <w:tc>
          <w:tcPr>
            <w:tcW w:type="dxa" w:w="43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Per-sample primary-sulfide leachable fraction (small learned delta around the deterministic prior).</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acid_consumption_amp/tau/gate_head</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scalars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Early acid-consumption deficit term: amplitude, time constant, and gate. Models early-period suppression of catalyzed curve below control (Toquepala fresca behavior).</w:t>
            </w:r>
          </w:p>
        </w:tc>
      </w:tr>
    </w:tbl>
    <w:p>
      <w:pPr>
        <w:spacing w:after="160" w:before="60"/>
        <w:jc w:val="center"/>
      </w:pPr>
      <w:r>
        <w:rPr>
          <w:rFonts w:ascii="Arial" w:cs="Arial" w:eastAsia="Arial" w:hAnsi="Arial"/>
          <w:i/>
          <w:iCs/>
          <w:color w:val="555555"/>
          <w:sz w:val="18"/>
          <w:szCs w:val="18"/>
        </w:rPr>
        <w:t xml:space="preserve">Table 6. Key prediction heads in the PairCurveNet architecture.</w:t>
      </w:r>
    </w:p>
    <w:p>
      <w:pPr>
        <w:pStyle w:val="Heading2"/>
        <w:spacing w:after="80" w:before="240"/>
      </w:pPr>
      <w:r>
        <w:rPr>
          <w:rFonts w:ascii="Arial" w:cs="Arial" w:eastAsia="Arial" w:hAnsi="Arial"/>
          <w:b/>
          <w:bCs/>
          <w:color w:val="1F497D"/>
          <w:sz w:val="24"/>
          <w:szCs w:val="24"/>
        </w:rPr>
        <w:t xml:space="preserve">8.2 Physical Constraints Enforced by Architecture</w:t>
      </w:r>
    </w:p>
    <w:p>
      <w:pPr>
        <w:spacing w:after="120" w:before="0" w:line="276" w:lineRule="auto"/>
        <w:jc w:val="both"/>
      </w:pPr>
      <w:r>
        <w:rPr>
          <w:rFonts w:ascii="Arial" w:cs="Arial" w:eastAsia="Arial" w:hAnsi="Arial"/>
          <w:sz w:val="22"/>
          <w:szCs w:val="22"/>
        </w:rPr>
        <w:t xml:space="preserve">A hallmark of Rosetta’s design is the embedding of physical constraints directly into the network architecture, preventing physically unrealistic predictions regardless of the input data:</w:t>
      </w:r>
    </w:p>
    <w:p>
      <w:pPr>
        <w:pStyle w:val="ListParagraph"/>
        <w:numPr>
          <w:ilvl w:val="0"/>
          <w:numId w:val="2"/>
        </w:numPr>
        <w:spacing w:after="40" w:before="40"/>
      </w:pPr>
      <w:r>
        <w:rPr>
          <w:rFonts w:ascii="Arial" w:cs="Arial" w:eastAsia="Arial" w:hAnsi="Arial"/>
          <w:b w:val="false"/>
          <w:bCs w:val="false"/>
          <w:sz w:val="22"/>
          <w:szCs w:val="22"/>
        </w:rPr>
        <w:t xml:space="preserve">Parameter bounds: all four bi-exponential parameters (A₁, b₁, A₂, b₂) are constrained via sigmoid functions to ranges derived from the training dataset. The fast/slow pairing is enforced: b₁ &gt; b₂ always.</w:t>
      </w:r>
    </w:p>
    <w:p>
      <w:pPr>
        <w:pStyle w:val="ListParagraph"/>
        <w:numPr>
          <w:ilvl w:val="0"/>
          <w:numId w:val="2"/>
        </w:numPr>
        <w:spacing w:after="40" w:before="40"/>
      </w:pPr>
      <w:r>
        <w:rPr>
          <w:rFonts w:ascii="Arial" w:cs="Arial" w:eastAsia="Arial" w:hAnsi="Arial"/>
          <w:b w:val="false"/>
          <w:bCs w:val="false"/>
          <w:sz w:val="22"/>
          <w:szCs w:val="22"/>
        </w:rPr>
        <w:t xml:space="preserve">Non-decreasing recovery: the loss function includes a monotonicity penalty that strongly penalizes any predicted recovery trajectory that decreases over time. Recovery should never go down.</w:t>
      </w:r>
    </w:p>
    <w:p>
      <w:pPr>
        <w:pStyle w:val="ListParagraph"/>
        <w:numPr>
          <w:ilvl w:val="0"/>
          <w:numId w:val="2"/>
        </w:numPr>
        <w:spacing w:after="40" w:before="40"/>
      </w:pPr>
      <w:r>
        <w:rPr>
          <w:rFonts w:ascii="Arial" w:cs="Arial" w:eastAsia="Arial" w:hAnsi="Arial"/>
          <w:b w:val="false"/>
          <w:bCs w:val="false"/>
          <w:sz w:val="22"/>
          <w:szCs w:val="22"/>
        </w:rPr>
        <w:t xml:space="preserve">Cap enforcement: the predicted asymptote (A₁ + A₂) is constrained not to exceed the mineralogy-derived leach cap via a soft upper bound function. The model can predict recovery below the cap (for kinetically limited ores) but not above it.</w:t>
      </w:r>
    </w:p>
    <w:p>
      <w:pPr>
        <w:pStyle w:val="ListParagraph"/>
        <w:numPr>
          <w:ilvl w:val="0"/>
          <w:numId w:val="2"/>
        </w:numPr>
        <w:spacing w:after="40" w:before="40"/>
      </w:pPr>
      <w:r>
        <w:rPr>
          <w:rFonts w:ascii="Arial" w:cs="Arial" w:eastAsia="Arial" w:hAnsi="Arial"/>
          <w:b w:val="false"/>
          <w:bCs w:val="false"/>
          <w:sz w:val="22"/>
          <w:szCs w:val="22"/>
        </w:rPr>
        <w:t xml:space="preserve">Catalyzed ≥ Control: the catalyst delta parameterization ensures A₁ + A₂ for the catalyzed curve is always ≥ that of the control curve. The catalyst cannot reduce total recovery.</w:t>
      </w:r>
    </w:p>
    <w:p>
      <w:pPr>
        <w:pStyle w:val="ListParagraph"/>
        <w:numPr>
          <w:ilvl w:val="0"/>
          <w:numId w:val="2"/>
        </w:numPr>
        <w:spacing w:after="40" w:before="40"/>
      </w:pPr>
      <w:r>
        <w:rPr>
          <w:rFonts w:ascii="Arial" w:cs="Arial" w:eastAsia="Arial" w:hAnsi="Arial"/>
          <w:b w:val="false"/>
          <w:bCs w:val="false"/>
          <w:sz w:val="22"/>
          <w:szCs w:val="22"/>
        </w:rPr>
        <w:t xml:space="preserve">Remaining ore factor: the catalyst uplift rate is scaled by a remaining-ore factor computed from the current control recovery relative to the total leachable capacity. As the control curve approaches its cap, the residual primary inventory available for catalyst uplift diminishes, preventing the catalyzed curve from pulling ahead of physically plausible limits.</w:t>
      </w:r>
    </w:p>
    <w:p>
      <w:pPr>
        <w:pStyle w:val="ListParagraph"/>
        <w:numPr>
          <w:ilvl w:val="0"/>
          <w:numId w:val="2"/>
        </w:numPr>
        <w:spacing w:after="40" w:before="40"/>
      </w:pPr>
      <w:r>
        <w:rPr>
          <w:rFonts w:ascii="Arial" w:cs="Arial" w:eastAsia="Arial" w:hAnsi="Arial"/>
          <w:b w:val="false"/>
          <w:bCs w:val="false"/>
          <w:sz w:val="22"/>
          <w:szCs w:val="22"/>
        </w:rPr>
        <w:t xml:space="preserve">Particle-size kinetic penalty: a learnable power-law scaling (P80_ref/P80)ᵅᵃ with α ∈ [0.30, 1.50] is applied to both the control and catalyzed rate constants. This ensures coarser material always has slower kinetics, monotonically.</w:t>
      </w:r>
    </w:p>
    <w:p>
      <w:pPr>
        <w:pStyle w:val="Heading2"/>
        <w:spacing w:after="80" w:before="240"/>
      </w:pPr>
      <w:r>
        <w:rPr>
          <w:rFonts w:ascii="Arial" w:cs="Arial" w:eastAsia="Arial" w:hAnsi="Arial"/>
          <w:b/>
          <w:bCs/>
          <w:color w:val="1F497D"/>
          <w:sz w:val="24"/>
          <w:szCs w:val="24"/>
        </w:rPr>
        <w:t xml:space="preserve">8.3 Learnable Metallurgical Interaction Weights</w:t>
      </w:r>
    </w:p>
    <w:p>
      <w:pPr>
        <w:spacing w:after="120" w:before="0" w:line="276" w:lineRule="auto"/>
        <w:jc w:val="both"/>
      </w:pPr>
      <w:r>
        <w:rPr>
          <w:rFonts w:ascii="Arial" w:cs="Arial" w:eastAsia="Arial" w:hAnsi="Arial"/>
          <w:sz w:val="22"/>
          <w:szCs w:val="22"/>
        </w:rPr>
        <w:t xml:space="preserve">Each of the 20 latent interaction blocks contains a set of learnable scalar weights (one per input term). These are initialized from domain-knowledge priors (the sign and approximate magnitude of each mineral’s influence on each block) and then refined during training. This parameterization serves two purposes: (i) it ensures the model starts in a physically meaningful region of the solution space rather than a random one, and (ii) the trained weights provide metallurgically interpretable attribution of which ore characteristics most strongly drive each aspect of the leach curve.</w:t>
      </w:r>
    </w:p>
    <w:p>
      <w:pPr>
        <w:spacing w:after="120" w:before="0" w:line="276" w:lineRule="auto"/>
        <w:jc w:val="both"/>
      </w:pPr>
      <w:r>
        <w:rPr>
          <w:rFonts w:ascii="Arial" w:cs="Arial" w:eastAsia="Arial" w:hAnsi="Arial"/>
          <w:sz w:val="22"/>
          <w:szCs w:val="22"/>
        </w:rPr>
        <w:t xml:space="preserve">For example, the primary_passivation_drive block is initialized with the highest positive weight for copper_primary_sulfides_equivalent (+0.70) — reflecting that chalcopyrite is the dominant passivating phase — and strong negative weights for copper_oxides_equivalent (−0.24) and acid_soluble_% (−0.16) — reflecting that high oxide and acid-soluble content indicate less refractory material. The trained weights after optimization on the full dataset tell us how much each factor actually contributed to passivation severity across the training set.</w:t>
      </w:r>
    </w:p>
    <w:p>
      <w:pPr>
        <w:pStyle w:val="Heading1"/>
        <w:spacing w:after="120" w:before="320"/>
      </w:pPr>
      <w:r>
        <w:rPr>
          <w:rFonts w:ascii="Arial" w:cs="Arial" w:eastAsia="Arial" w:hAnsi="Arial"/>
          <w:b/>
          <w:bCs/>
          <w:color w:val="1F497D"/>
          <w:sz w:val="28"/>
          <w:szCs w:val="28"/>
        </w:rPr>
        <w:t xml:space="preserve">9. Training Strategy and Ensemble Generation</w:t>
      </w:r>
    </w:p>
    <w:p>
      <w:pPr>
        <w:pStyle w:val="Heading2"/>
        <w:spacing w:after="80" w:before="240"/>
      </w:pPr>
      <w:r>
        <w:rPr>
          <w:rFonts w:ascii="Arial" w:cs="Arial" w:eastAsia="Arial" w:hAnsi="Arial"/>
          <w:b/>
          <w:bCs/>
          <w:color w:val="1F497D"/>
          <w:sz w:val="24"/>
          <w:szCs w:val="24"/>
        </w:rPr>
        <w:t xml:space="preserve">9.1 Paired Control–Catalyzed Training Structure</w:t>
      </w:r>
    </w:p>
    <w:p>
      <w:pPr>
        <w:spacing w:after="120" w:before="0" w:line="276" w:lineRule="auto"/>
        <w:jc w:val="both"/>
      </w:pPr>
      <w:r>
        <w:rPr>
          <w:rFonts w:ascii="Arial" w:cs="Arial" w:eastAsia="Arial" w:hAnsi="Arial"/>
          <w:sz w:val="22"/>
          <w:szCs w:val="22"/>
        </w:rPr>
        <w:t xml:space="preserve">Rosetta is trained on paired control–catalyzed sets. For each ore sample, every valid control column is paired with every valid catalyzed column from the same sample ID, allowing the model to jointly learn the baseline recovery behavior and the catalyst increment for that specific ore. Control columns are evaluated with a zero catalyst history; catalyzed columns use their observed cumulative catalyst profiles. This pairing strategy ensures the catalyst uplift is learned in context of the actual ore’s control behavior, not in the abstract.</w:t>
      </w:r>
    </w:p>
    <w:p>
      <w:pPr>
        <w:pStyle w:val="Heading2"/>
        <w:spacing w:after="80" w:before="240"/>
      </w:pPr>
      <w:r>
        <w:rPr>
          <w:rFonts w:ascii="Arial" w:cs="Arial" w:eastAsia="Arial" w:hAnsi="Arial"/>
          <w:b/>
          <w:bCs/>
          <w:color w:val="1F497D"/>
          <w:sz w:val="24"/>
          <w:szCs w:val="24"/>
        </w:rPr>
        <w:t xml:space="preserve">9.2 Loss Function Design</w:t>
      </w:r>
    </w:p>
    <w:p>
      <w:pPr>
        <w:spacing w:after="120" w:before="0" w:line="276" w:lineRule="auto"/>
        <w:jc w:val="both"/>
      </w:pPr>
      <w:r>
        <w:rPr>
          <w:rFonts w:ascii="Arial" w:cs="Arial" w:eastAsia="Arial" w:hAnsi="Arial"/>
          <w:sz w:val="22"/>
          <w:szCs w:val="22"/>
        </w:rPr>
        <w:t xml:space="preserve">The training loss is a weighted composite of 25+ individual penalty terms, each targeting a specific metallurgical behavior. Key components include: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160"/>
      </w:tblGrid>
      <w:tr>
        <w:trPr>
          <w:tblHeader/>
        </w:trPr>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Loss Component</w:t>
            </w:r>
          </w:p>
        </w:tc>
        <w:tc>
          <w:tcPr>
            <w:tcW w:type="dxa" w:w="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5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gap (control and catalyzed fit)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1.0</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Primary residual: weighted mean squared error of predicted vs. observed recovery on both arms.</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monotonic</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0.10</w:t>
            </w:r>
          </w:p>
        </w:tc>
        <w:tc>
          <w:tcPr>
            <w:tcW w:type="dxa" w:w="51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Penalizes any downward movement in the predicted recovery curve. Enforces physical non-decreasing constraint.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cap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4.5</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Strongly penalizes predicted recovery exceeding the mineralogy-derived leach cap. Enforces the hard upper bound.</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uplift_fit</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1.20</w:t>
            </w:r>
          </w:p>
        </w:tc>
        <w:tc>
          <w:tcPr>
            <w:tcW w:type="dxa" w:w="51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Penalizes mismatch between the predicted catalyzed–control uplift and the observed uplift at each time point.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uplift_tail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1.50</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Additional penalty on uplift in the tail of the curve (late-time), where catalyst benefit is most economically important.</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control_early_fit</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1.15</w:t>
            </w:r>
          </w:p>
        </w:tc>
        <w:tc>
          <w:tcPr>
            <w:tcW w:type="dxa" w:w="51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Extra weight on early-curve control fit (first 180 days) to accurately capture the fast-leach component.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control_tail_fit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0.55</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Ensures accurate capture of the control plateau in the late tail.</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smooth_cat</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0.24</w:t>
            </w:r>
          </w:p>
        </w:tc>
        <w:tc>
          <w:tcPr>
            <w:tcW w:type="dxa" w:w="51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Penalizes abrupt changes in the catalyzed curve relative to the control, enforcing smooth catalyst onset.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slope_cap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0.28</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Penalizes catalyst-driven slope increments that exceed the physical maximum rate of depassivation.</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param</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0.12</w:t>
            </w:r>
          </w:p>
        </w:tc>
        <w:tc>
          <w:tcPr>
            <w:tcW w:type="dxa" w:w="51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Regularizes the predicted curve parameters toward the pre-fitted biexponential values.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final_recovery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0.55</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Penalizes mismatch at the final observed data point, ensuring the model anchors to the end of each test.</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tau_onset</w:t>
            </w:r>
          </w:p>
        </w:tc>
        <w:tc>
          <w:tcPr>
            <w:tcW w:type="dxa" w:w="8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0.50</w:t>
            </w:r>
          </w:p>
        </w:tc>
        <w:tc>
          <w:tcPr>
            <w:tcW w:type="dxa" w:w="51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Penalizes catalyst onset timing that is too early or too late relative to the observed first uplift in the catalyzed curve.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ferric_orp_aux</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0.10</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Auxiliary target: constrains the ORP-related latent variables to match the observed feed ORP signal in the 150–400-day window.</w:t>
            </w:r>
          </w:p>
        </w:tc>
      </w:tr>
    </w:tbl>
    <w:p>
      <w:pPr>
        <w:spacing w:after="160" w:before="60"/>
        <w:jc w:val="center"/>
      </w:pPr>
      <w:r>
        <w:rPr>
          <w:rFonts w:ascii="Arial" w:cs="Arial" w:eastAsia="Arial" w:hAnsi="Arial"/>
          <w:i/>
          <w:iCs/>
          <w:color w:val="555555"/>
          <w:sz w:val="18"/>
          <w:szCs w:val="18"/>
        </w:rPr>
        <w:t xml:space="preserve">Table 7. Selected loss function components used during Rosetta training.</w:t>
      </w:r>
    </w:p>
    <w:p>
      <w:pPr>
        <w:pStyle w:val="Heading2"/>
        <w:spacing w:after="80" w:before="240"/>
      </w:pPr>
      <w:r>
        <w:rPr>
          <w:rFonts w:ascii="Arial" w:cs="Arial" w:eastAsia="Arial" w:hAnsi="Arial"/>
          <w:b/>
          <w:bCs/>
          <w:color w:val="1F497D"/>
          <w:sz w:val="24"/>
          <w:szCs w:val="24"/>
        </w:rPr>
        <w:t xml:space="preserve">9.3 Ensemble Generation: Repeated Group K-Fold Cross-Validation</w:t>
      </w:r>
    </w:p>
    <w:p>
      <w:pPr>
        <w:spacing w:after="120" w:before="0" w:line="276" w:lineRule="auto"/>
        <w:jc w:val="both"/>
      </w:pPr>
      <w:r>
        <w:rPr>
          <w:rFonts w:ascii="Arial" w:cs="Arial" w:eastAsia="Arial" w:hAnsi="Arial"/>
          <w:sz w:val="22"/>
          <w:szCs w:val="22"/>
        </w:rPr>
        <w:t xml:space="preserve">The ensemble strategy uses Repeated Group K-Fold cross-validation with the following parameters:</w:t>
      </w:r>
    </w:p>
    <w:p>
      <w:pPr>
        <w:pStyle w:val="ListParagraph"/>
        <w:numPr>
          <w:ilvl w:val="0"/>
          <w:numId w:val="2"/>
        </w:numPr>
        <w:spacing w:after="40" w:before="40"/>
      </w:pPr>
      <w:r>
        <w:rPr>
          <w:rFonts w:ascii="Arial" w:cs="Arial" w:eastAsia="Arial" w:hAnsi="Arial"/>
          <w:b w:val="false"/>
          <w:bCs w:val="false"/>
          <w:sz w:val="22"/>
          <w:szCs w:val="22"/>
        </w:rPr>
        <w:t xml:space="preserve">K = 5 folds per split (each model trained on 80% of ore samples, validated on 20%)</w:t>
      </w:r>
    </w:p>
    <w:p>
      <w:pPr>
        <w:pStyle w:val="ListParagraph"/>
        <w:numPr>
          <w:ilvl w:val="0"/>
          <w:numId w:val="2"/>
        </w:numPr>
        <w:spacing w:after="40" w:before="40"/>
      </w:pPr>
      <w:r>
        <w:rPr>
          <w:rFonts w:ascii="Arial" w:cs="Arial" w:eastAsia="Arial" w:hAnsi="Arial"/>
          <w:b w:val="false"/>
          <w:bCs w:val="false"/>
          <w:sz w:val="22"/>
          <w:szCs w:val="22"/>
        </w:rPr>
        <w:t xml:space="preserve">10 repeats per split seed (each repeat uses a different random split of the dataset)</w:t>
      </w:r>
    </w:p>
    <w:p>
      <w:pPr>
        <w:pStyle w:val="ListParagraph"/>
        <w:numPr>
          <w:ilvl w:val="0"/>
          <w:numId w:val="2"/>
        </w:numPr>
        <w:spacing w:after="40" w:before="40"/>
      </w:pPr>
      <w:r>
        <w:rPr>
          <w:rFonts w:ascii="Arial" w:cs="Arial" w:eastAsia="Arial" w:hAnsi="Arial"/>
          <w:b w:val="false"/>
          <w:bCs w:val="false"/>
          <w:sz w:val="22"/>
          <w:szCs w:val="22"/>
        </w:rPr>
        <w:t xml:space="preserve">10 independent split seeds</w:t>
      </w:r>
    </w:p>
    <w:p>
      <w:pPr>
        <w:pStyle w:val="ListParagraph"/>
        <w:numPr>
          <w:ilvl w:val="0"/>
          <w:numId w:val="2"/>
        </w:numPr>
        <w:spacing w:after="40" w:before="40"/>
      </w:pPr>
      <w:r>
        <w:rPr>
          <w:rFonts w:ascii="Arial" w:cs="Arial" w:eastAsia="Arial" w:hAnsi="Arial"/>
          <w:b w:val="false"/>
          <w:bCs w:val="false"/>
          <w:sz w:val="22"/>
          <w:szCs w:val="22"/>
        </w:rPr>
        <w:t xml:space="preserve">Total ensemble members: 5 × 10 × 10 = 500 independently trained models</w:t>
      </w:r>
    </w:p>
    <w:p>
      <w:pPr>
        <w:spacing w:after="80"/>
      </w:pPr>
    </w:p>
    <w:p>
      <w:pPr>
        <w:spacing w:after="120" w:before="0" w:line="276" w:lineRule="auto"/>
        <w:jc w:val="both"/>
      </w:pPr>
      <w:r>
        <w:rPr>
          <w:rFonts w:ascii="Arial" w:cs="Arial" w:eastAsia="Arial" w:hAnsi="Arial"/>
          <w:sz w:val="22"/>
          <w:szCs w:val="22"/>
        </w:rPr>
        <w:t xml:space="preserve">Grouping is by ore sample ID (project_sample_id), ensuring that all columns from the same ore sample are always together in the same fold. This prevents data leakage between training and validation: the model is always evaluated on entirely unseen ore samples. Related samples (e.g., the same ore at different particle sizes from the same project) are explicitly aliased to the same group to remain together in the same fold.</w:t>
      </w:r>
    </w:p>
    <w:p>
      <w:pPr>
        <w:spacing w:after="120" w:before="0" w:line="276" w:lineRule="auto"/>
        <w:jc w:val="both"/>
      </w:pPr>
      <w:r>
        <w:rPr>
          <w:rFonts w:ascii="Arial" w:cs="Arial" w:eastAsia="Arial" w:hAnsi="Arial"/>
          <w:sz w:val="22"/>
          <w:szCs w:val="22"/>
        </w:rPr>
        <w:t xml:space="preserve">The 500 ensemble member predictions are aggregated to produce: (i) the ensemble mean recovery curve, and (ii) a predictive interval spanning the 10th to 90th percentile of member predictions. The interval quantifies both model uncertainty (spread due to training on different data subsets) and aleatory uncertainty (inherent variability in ore behavior across the diverse sample population).</w:t>
      </w:r>
    </w:p>
    <w:p>
      <w:pPr>
        <w:pStyle w:val="Heading2"/>
        <w:spacing w:after="80" w:before="240"/>
      </w:pPr>
      <w:r>
        <w:rPr>
          <w:rFonts w:ascii="Arial" w:cs="Arial" w:eastAsia="Arial" w:hAnsi="Arial"/>
          <w:b/>
          <w:bCs/>
          <w:color w:val="1F497D"/>
          <w:sz w:val="24"/>
          <w:szCs w:val="24"/>
        </w:rPr>
        <w:t xml:space="preserve">9.4 Virtual Data Augmentation</w:t>
      </w:r>
    </w:p>
    <w:p>
      <w:pPr>
        <w:spacing w:after="120" w:before="0" w:line="276" w:lineRule="auto"/>
        <w:jc w:val="both"/>
      </w:pPr>
      <w:r>
        <w:rPr>
          <w:rFonts w:ascii="Arial" w:cs="Arial" w:eastAsia="Arial" w:hAnsi="Arial"/>
          <w:sz w:val="22"/>
          <w:szCs w:val="22"/>
        </w:rPr>
        <w:t xml:space="preserve">Many column leach tests are terminated before the recovery curve has fully plateaued (for economic or practical reasons). To prevent the model from systematically under-predicting long-term recovery for ores with short observed records, Rosetta augments each training column with virtual data points projected forward to 2,500 days using the pre-fitted biexponential parameters. Augmentation is only applied when the pre-fit achieves R² &gt; 0.50 and RMSE &lt; 5%, ensuring that only well-characterized curves are extended. This technique provides the model with examples of the full curve shape for each ore type, dramatically improving its long-duration extrapolation accuracy.</w:t>
      </w:r>
    </w:p>
    <w:p>
      <w:pPr>
        <w:pStyle w:val="Heading1"/>
        <w:spacing w:after="120" w:before="320"/>
      </w:pPr>
      <w:r>
        <w:rPr>
          <w:rFonts w:ascii="Arial" w:cs="Arial" w:eastAsia="Arial" w:hAnsi="Arial"/>
          <w:b/>
          <w:bCs/>
          <w:color w:val="1F497D"/>
          <w:sz w:val="28"/>
          <w:szCs w:val="28"/>
        </w:rPr>
        <w:t xml:space="preserve">10. Early-Stage Acid Consumption Deficit</w:t>
      </w:r>
    </w:p>
    <w:p>
      <w:pPr>
        <w:spacing w:after="120" w:before="0" w:line="276" w:lineRule="auto"/>
        <w:jc w:val="both"/>
      </w:pPr>
      <w:r>
        <w:rPr>
          <w:rFonts w:ascii="Arial" w:cs="Arial" w:eastAsia="Arial" w:hAnsi="Arial"/>
          <w:sz w:val="22"/>
          <w:szCs w:val="22"/>
        </w:rPr>
        <w:t xml:space="preserve">A metallurgically subtle phenomenon observed in some fresh ore samples — particularly those with high carbonate or acid-generating sulfide content that begins in a reduced state — is that the catalyzed recovery curve initially sits below the control. This counterintuitive behavior arises because the catalyst’s action consumes part of the available acid/oxidant budget in an initial “surge” of reactivity that temporarily depresses pH and ORP below the levels needed for efficient dissolution. This has been observed experimentally in fresh chalcopyrite-rich samples from certain projects.</w:t>
      </w:r>
    </w:p>
    <w:p>
      <w:pPr>
        <w:spacing w:after="120" w:before="0" w:line="276" w:lineRule="auto"/>
        <w:jc w:val="both"/>
      </w:pPr>
      <w:r>
        <w:rPr>
          <w:rFonts w:ascii="Arial" w:cs="Arial" w:eastAsia="Arial" w:hAnsi="Arial"/>
          <w:sz w:val="22"/>
          <w:szCs w:val="22"/>
        </w:rPr>
        <w:t xml:space="preserve">To capture this behavior, Rosetta v12 includes a dedicated early-time deficit term:</w:t>
      </w:r>
    </w:p>
    <w:p>
      <w:pPr>
        <w:spacing w:after="120" w:before="120"/>
        <w:jc w:val="center"/>
      </w:pPr>
      <w:r>
        <w:rPr>
          <w:rFonts w:ascii="Courier New" w:cs="Courier New" w:eastAsia="Courier New" w:hAnsi="Courier New"/>
          <w:b/>
          <w:bCs/>
          <w:sz w:val="22"/>
          <w:szCs w:val="22"/>
        </w:rPr>
        <w:t xml:space="preserve">deficit(t) = amp × gate × exp(−max(t − t₀, 0) / τ)</w:t>
      </w:r>
    </w:p>
    <w:p>
      <w:pPr>
        <w:spacing w:after="120" w:before="0" w:line="276" w:lineRule="auto"/>
        <w:jc w:val="both"/>
      </w:pPr>
      <w:r>
        <w:rPr>
          <w:rFonts w:ascii="Arial" w:cs="Arial" w:eastAsia="Arial" w:hAnsi="Arial"/>
          <w:sz w:val="22"/>
          <w:szCs w:val="22"/>
        </w:rPr>
        <w:t xml:space="preserve">where amp is the magnitude (percentage points) of the early suppression, τ is the decay time constant (how quickly the deficit recovers), and gate is a learnable scalar that activates this term only for samples exhibiting the relevant chemistry. All three parameters are initialized near zero and learned from data, so the term is silent unless the observed data explicitly requires it. This design avoids spuriously applying the deficit to ores where it is not relevant.</w:t>
      </w:r>
    </w:p>
    <w:p>
      <w:pPr>
        <w:pStyle w:val="Heading1"/>
        <w:spacing w:after="120" w:before="320"/>
      </w:pPr>
      <w:r>
        <w:rPr>
          <w:rFonts w:ascii="Arial" w:cs="Arial" w:eastAsia="Arial" w:hAnsi="Arial"/>
          <w:b/>
          <w:bCs/>
          <w:color w:val="1F497D"/>
          <w:sz w:val="28"/>
          <w:szCs w:val="28"/>
        </w:rPr>
        <w:t xml:space="preserve">11. Model Performance and Validation</w:t>
      </w:r>
    </w:p>
    <w:p>
      <w:pPr>
        <w:pStyle w:val="Heading2"/>
        <w:spacing w:after="80" w:before="240"/>
      </w:pPr>
      <w:r>
        <w:rPr>
          <w:rFonts w:ascii="Arial" w:cs="Arial" w:eastAsia="Arial" w:hAnsi="Arial"/>
          <w:b/>
          <w:bCs/>
          <w:color w:val="1F497D"/>
          <w:sz w:val="24"/>
          <w:szCs w:val="24"/>
        </w:rPr>
        <w:t xml:space="preserve">11.1 Training Data Characteristics</w:t>
      </w:r>
    </w:p>
    <w:p>
      <w:pPr>
        <w:spacing w:after="120" w:before="0" w:line="276" w:lineRule="auto"/>
        <w:jc w:val="both"/>
      </w:pPr>
      <w:r>
        <w:rPr>
          <w:rFonts w:ascii="Arial" w:cs="Arial" w:eastAsia="Arial" w:hAnsi="Arial"/>
          <w:sz w:val="22"/>
          <w:szCs w:val="22"/>
        </w:rPr>
        <w:t xml:space="preserve">The Rosetta v12 training dataset encompasses a diverse portfolio of column leach tests from copper porphyry, chalcopyrite-dominant, and mixed oxide/sulfide ores across multiple projects and geographical regions. The dataset includes ore samples ranging from chalcocite-dominant supergene deposits to deep hypogene chalcopyrite systems with minimal secondary mineralization. Key dataset characteristics:</w:t>
      </w:r>
    </w:p>
    <w:p>
      <w:pPr>
        <w:pStyle w:val="ListParagraph"/>
        <w:numPr>
          <w:ilvl w:val="0"/>
          <w:numId w:val="2"/>
        </w:numPr>
        <w:spacing w:after="40" w:before="40"/>
      </w:pPr>
      <w:r>
        <w:rPr>
          <w:rFonts w:ascii="Arial" w:cs="Arial" w:eastAsia="Arial" w:hAnsi="Arial"/>
          <w:b w:val="false"/>
          <w:bCs w:val="false"/>
          <w:sz w:val="22"/>
          <w:szCs w:val="22"/>
        </w:rPr>
        <w:t xml:space="preserve">Data source: proprietary leaching_performance_weekly.csv aggregating weekly recovery observations per column test.</w:t>
      </w:r>
    </w:p>
    <w:p>
      <w:pPr>
        <w:pStyle w:val="ListParagraph"/>
        <w:numPr>
          <w:ilvl w:val="0"/>
          <w:numId w:val="2"/>
        </w:numPr>
        <w:spacing w:after="40" w:before="40"/>
      </w:pPr>
      <w:r>
        <w:rPr>
          <w:rFonts w:ascii="Arial" w:cs="Arial" w:eastAsia="Arial" w:hAnsi="Arial"/>
          <w:b w:val="false"/>
          <w:bCs w:val="false"/>
          <w:sz w:val="22"/>
          <w:szCs w:val="22"/>
        </w:rPr>
        <w:t xml:space="preserve">Resolution: one row per project_col_id (individual leach column), with time-series arrays for recovery, cumulative catalyst addition, and cumulative lixiviant.</w:t>
      </w:r>
    </w:p>
    <w:p>
      <w:pPr>
        <w:pStyle w:val="ListParagraph"/>
        <w:numPr>
          <w:ilvl w:val="0"/>
          <w:numId w:val="2"/>
        </w:numPr>
        <w:spacing w:after="40" w:before="40"/>
      </w:pPr>
      <w:r>
        <w:rPr>
          <w:rFonts w:ascii="Arial" w:cs="Arial" w:eastAsia="Arial" w:hAnsi="Arial"/>
          <w:b w:val="false"/>
          <w:bCs w:val="false"/>
          <w:sz w:val="22"/>
          <w:szCs w:val="22"/>
        </w:rPr>
        <w:t xml:space="preserve">Pairing: each ore sample (project_sample_id) contributes at least one control and one catalyzed column, enabling direct pairwise comparison within the model.</w:t>
      </w:r>
    </w:p>
    <w:p>
      <w:pPr>
        <w:pStyle w:val="ListParagraph"/>
        <w:numPr>
          <w:ilvl w:val="0"/>
          <w:numId w:val="2"/>
        </w:numPr>
        <w:spacing w:after="40" w:before="40"/>
      </w:pPr>
      <w:r>
        <w:rPr>
          <w:rFonts w:ascii="Arial" w:cs="Arial" w:eastAsia="Arial" w:hAnsi="Arial"/>
          <w:b w:val="false"/>
          <w:bCs w:val="false"/>
          <w:sz w:val="22"/>
          <w:szCs w:val="22"/>
        </w:rPr>
        <w:t xml:space="preserve">Exclusions: samples with fewer than 6 valid recovery observations, samples with known data quality issues (mineralogy or recovery anomalies), and oxide-dominated columns where the catalyst benefit is not the focus, are excluded from training.</w:t>
      </w:r>
    </w:p>
    <w:p>
      <w:pPr>
        <w:pStyle w:val="ListParagraph"/>
        <w:numPr>
          <w:ilvl w:val="0"/>
          <w:numId w:val="2"/>
        </w:numPr>
        <w:spacing w:after="40" w:before="40"/>
      </w:pPr>
      <w:r>
        <w:rPr>
          <w:rFonts w:ascii="Arial" w:cs="Arial" w:eastAsia="Arial" w:hAnsi="Arial"/>
          <w:b w:val="false"/>
          <w:bCs w:val="false"/>
          <w:sz w:val="22"/>
          <w:szCs w:val="22"/>
        </w:rPr>
        <w:t xml:space="preserve">Campaign lengths: typical column test durations range from 90 days (oxide ores) to 1,500+ days (highly refractory primary sulfides). Virtual augmentation extends all columns to 2,500 days for training purposes.</w:t>
      </w:r>
    </w:p>
    <w:p>
      <w:pPr>
        <w:spacing w:after="80"/>
      </w:pPr>
    </w:p>
    <w:p>
      <w:pPr>
        <w:pStyle w:val="Heading2"/>
        <w:spacing w:after="80" w:before="240"/>
      </w:pPr>
      <w:r>
        <w:rPr>
          <w:rFonts w:ascii="Arial" w:cs="Arial" w:eastAsia="Arial" w:hAnsi="Arial"/>
          <w:b/>
          <w:bCs/>
          <w:color w:val="1F497D"/>
          <w:sz w:val="24"/>
          <w:szCs w:val="24"/>
        </w:rPr>
        <w:t xml:space="preserve">11.2 Cross-Validation Performance</w:t>
      </w:r>
    </w:p>
    <w:p>
      <w:pPr>
        <w:spacing w:after="120" w:before="0" w:line="276" w:lineRule="auto"/>
        <w:jc w:val="both"/>
      </w:pPr>
      <w:r>
        <w:rPr>
          <w:rFonts w:ascii="Arial" w:cs="Arial" w:eastAsia="Arial" w:hAnsi="Arial"/>
          <w:sz w:val="22"/>
          <w:szCs w:val="22"/>
        </w:rPr>
        <w:t xml:space="preserve">Rosetta is evaluated on held-out ore samples (never seen during training) using the Repeated Group K-Fold protocol. Performance metrics are computed across 500 ensemble members, with the ensemble mean used as the point prediction and the 10th–90th percentile interval reported as the predictive uncertainty. Key performance indicators include:</w:t>
      </w:r>
    </w:p>
    <w:p>
      <w:pPr>
        <w:pStyle w:val="ListParagraph"/>
        <w:numPr>
          <w:ilvl w:val="0"/>
          <w:numId w:val="2"/>
        </w:numPr>
        <w:spacing w:after="40" w:before="40"/>
      </w:pPr>
      <w:r>
        <w:rPr>
          <w:rFonts w:ascii="Arial" w:cs="Arial" w:eastAsia="Arial" w:hAnsi="Arial"/>
          <w:b w:val="false"/>
          <w:bCs w:val="false"/>
          <w:sz w:val="22"/>
          <w:szCs w:val="22"/>
        </w:rPr>
        <w:t xml:space="preserve">R² (coefficient of determination): measures the fraction of variance in observed recovery explained by the model. Values ≥ 0.90 are typical for well-characterized ore types.</w:t>
      </w:r>
    </w:p>
    <w:p>
      <w:pPr>
        <w:pStyle w:val="ListParagraph"/>
        <w:numPr>
          <w:ilvl w:val="0"/>
          <w:numId w:val="2"/>
        </w:numPr>
        <w:spacing w:after="40" w:before="40"/>
      </w:pPr>
      <w:r>
        <w:rPr>
          <w:rFonts w:ascii="Arial" w:cs="Arial" w:eastAsia="Arial" w:hAnsi="Arial"/>
          <w:b w:val="false"/>
          <w:bCs w:val="false"/>
          <w:sz w:val="22"/>
          <w:szCs w:val="22"/>
        </w:rPr>
        <w:t xml:space="preserve">RMSE (root mean squared error, % Cu recovery): measures the average point deviation between predicted and observed recovery. Values &lt; 5% recovery are targeted.</w:t>
      </w:r>
    </w:p>
    <w:p>
      <w:pPr>
        <w:pStyle w:val="ListParagraph"/>
        <w:numPr>
          <w:ilvl w:val="0"/>
          <w:numId w:val="2"/>
        </w:numPr>
        <w:spacing w:after="40" w:before="40"/>
      </w:pPr>
      <w:r>
        <w:rPr>
          <w:rFonts w:ascii="Arial" w:cs="Arial" w:eastAsia="Arial" w:hAnsi="Arial"/>
          <w:b w:val="false"/>
          <w:bCs w:val="false"/>
          <w:sz w:val="22"/>
          <w:szCs w:val="22"/>
        </w:rPr>
        <w:t xml:space="preserve">MAE (mean absolute error, % Cu recovery): the average absolute deviation, less sensitive to outliers than RMSE.</w:t>
      </w:r>
    </w:p>
    <w:p>
      <w:pPr>
        <w:pStyle w:val="ListParagraph"/>
        <w:numPr>
          <w:ilvl w:val="0"/>
          <w:numId w:val="2"/>
        </w:numPr>
        <w:spacing w:after="40" w:before="40"/>
      </w:pPr>
      <w:r>
        <w:rPr>
          <w:rFonts w:ascii="Arial" w:cs="Arial" w:eastAsia="Arial" w:hAnsi="Arial"/>
          <w:b w:val="false"/>
          <w:bCs w:val="false"/>
          <w:sz w:val="22"/>
          <w:szCs w:val="22"/>
        </w:rPr>
        <w:t xml:space="preserve">Uplift fidelity: for catalyzed columns, the predicted recovery increment (catalyzed minus control) is compared to the observed increment at each time point.</w:t>
      </w:r>
    </w:p>
    <w:p>
      <w:pPr>
        <w:spacing w:after="80"/>
      </w:pPr>
    </w:p>
    <w:p>
      <w:pPr>
        <w:spacing w:after="120" w:before="0" w:line="276" w:lineRule="auto"/>
        <w:jc w:val="both"/>
      </w:pPr>
      <w:r>
        <w:rPr>
          <w:rFonts w:ascii="Arial" w:cs="Arial" w:eastAsia="Arial" w:hAnsi="Arial"/>
          <w:sz w:val="22"/>
          <w:szCs w:val="22"/>
        </w:rPr>
        <w:t xml:space="preserve">Importantly, Rosetta’s performance is characterized separately for: (i) samples within the training distribution (ores with full-duration data), (ii) samples requiring long extrapolation (short tests, &lt; 200 days), and (iii) samples at the extremes of the mineralogical space (very high primary-sulfide content, or unusual gangue assemblages). The ensemble spread is wider for the latter categories, appropriately communicating higher uncertainty for extrapolation scenarios.</w:t>
      </w:r>
    </w:p>
    <w:p>
      <w:pPr>
        <w:pStyle w:val="Heading2"/>
        <w:spacing w:after="80" w:before="240"/>
      </w:pPr>
      <w:r>
        <w:rPr>
          <w:rFonts w:ascii="Arial" w:cs="Arial" w:eastAsia="Arial" w:hAnsi="Arial"/>
          <w:b/>
          <w:bCs/>
          <w:color w:val="1F497D"/>
          <w:sz w:val="24"/>
          <w:szCs w:val="24"/>
        </w:rPr>
        <w:t xml:space="preserve">11.3 Interpretability: What Rosetta Has Learned</w:t>
      </w:r>
    </w:p>
    <w:p>
      <w:pPr>
        <w:spacing w:after="120" w:before="0" w:line="276" w:lineRule="auto"/>
        <w:jc w:val="both"/>
      </w:pPr>
      <w:r>
        <w:rPr>
          <w:rFonts w:ascii="Arial" w:cs="Arial" w:eastAsia="Arial" w:hAnsi="Arial"/>
          <w:sz w:val="22"/>
          <w:szCs w:val="22"/>
        </w:rPr>
        <w:t xml:space="preserve">A key advantage of the physics-informed architecture is that the trained model can be interrogated to confirm or refine metallurgical understanding. Post-training analysis of the learned interaction weights reveals:</w:t>
      </w:r>
    </w:p>
    <w:p>
      <w:pPr>
        <w:pStyle w:val="ListParagraph"/>
        <w:numPr>
          <w:ilvl w:val="0"/>
          <w:numId w:val="2"/>
        </w:numPr>
        <w:spacing w:after="40" w:before="40"/>
      </w:pPr>
      <w:r>
        <w:rPr>
          <w:rFonts w:ascii="Arial" w:cs="Arial" w:eastAsia="Arial" w:hAnsi="Arial"/>
          <w:b w:val="false"/>
          <w:bCs w:val="false"/>
          <w:sz w:val="22"/>
          <w:szCs w:val="22"/>
        </w:rPr>
        <w:t xml:space="preserve">The gangue sulfide competition for Fe³⁺ is learned to be the dominant suppressor of catalyst benefit, consistent with laboratory electrochemical studies.</w:t>
      </w:r>
    </w:p>
    <w:p>
      <w:pPr>
        <w:pStyle w:val="ListParagraph"/>
        <w:numPr>
          <w:ilvl w:val="0"/>
          <w:numId w:val="2"/>
        </w:numPr>
        <w:spacing w:after="40" w:before="40"/>
      </w:pPr>
      <w:r>
        <w:rPr>
          <w:rFonts w:ascii="Arial" w:cs="Arial" w:eastAsia="Arial" w:hAnsi="Arial"/>
          <w:b w:val="false"/>
          <w:bCs w:val="false"/>
          <w:sz w:val="22"/>
          <w:szCs w:val="22"/>
        </w:rPr>
        <w:t xml:space="preserve">The catalyst aging effect is strongest for tall columns with dense packing, consistent with the hypothesis that deeper ore beds have reduced catalyst-surface contact probability.</w:t>
      </w:r>
    </w:p>
    <w:p>
      <w:pPr>
        <w:pStyle w:val="ListParagraph"/>
        <w:numPr>
          <w:ilvl w:val="0"/>
          <w:numId w:val="2"/>
        </w:numPr>
        <w:spacing w:after="40" w:before="40"/>
      </w:pPr>
      <w:r>
        <w:rPr>
          <w:rFonts w:ascii="Arial" w:cs="Arial" w:eastAsia="Arial" w:hAnsi="Arial"/>
          <w:b w:val="false"/>
          <w:bCs w:val="false"/>
          <w:sz w:val="22"/>
          <w:szCs w:val="22"/>
        </w:rPr>
        <w:t xml:space="preserve">The early acid-consumption deficit is selectively activated for ores with high acid-generating sulfide content combined with initial lixiviant of low ORP — exactly the conditions predicted by electrochemical thermodynamics.</w:t>
      </w:r>
    </w:p>
    <w:p>
      <w:pPr>
        <w:pStyle w:val="ListParagraph"/>
        <w:numPr>
          <w:ilvl w:val="0"/>
          <w:numId w:val="2"/>
        </w:numPr>
        <w:spacing w:after="40" w:before="40"/>
      </w:pPr>
      <w:r>
        <w:rPr>
          <w:rFonts w:ascii="Arial" w:cs="Arial" w:eastAsia="Arial" w:hAnsi="Arial"/>
          <w:b w:val="false"/>
          <w:bCs w:val="false"/>
          <w:sz w:val="22"/>
          <w:szCs w:val="22"/>
        </w:rPr>
        <w:t xml:space="preserve">The acid-buffer-strength block correctly identifies carbonates as the dominant acid consumer, with silicates contributing a secondary, more persistent buffering effect.</w:t>
      </w:r>
    </w:p>
    <w:p>
      <w:pPr>
        <w:pStyle w:val="ListParagraph"/>
        <w:numPr>
          <w:ilvl w:val="0"/>
          <w:numId w:val="2"/>
        </w:numPr>
        <w:spacing w:after="40" w:before="40"/>
      </w:pPr>
      <w:r>
        <w:rPr>
          <w:rFonts w:ascii="Arial" w:cs="Arial" w:eastAsia="Arial" w:hAnsi="Arial"/>
          <w:b w:val="false"/>
          <w:bCs w:val="false"/>
          <w:sz w:val="22"/>
          <w:szCs w:val="22"/>
        </w:rPr>
        <w:t xml:space="preserve">The ferric bootstrap block is most strongly activated for samples where the initial lixiviant Fe concentration exceeds 400 mg/L combined with ORP &gt; 440 mV — consistent with the thermodynamic stability domain for chalcopyrite leaching.</w:t>
      </w:r>
    </w:p>
    <w:p>
      <w:pPr>
        <w:pStyle w:val="Heading1"/>
        <w:spacing w:after="120" w:before="320"/>
      </w:pPr>
      <w:r>
        <w:rPr>
          <w:rFonts w:ascii="Arial" w:cs="Arial" w:eastAsia="Arial" w:hAnsi="Arial"/>
          <w:b/>
          <w:bCs/>
          <w:color w:val="1F497D"/>
          <w:sz w:val="28"/>
          <w:szCs w:val="28"/>
        </w:rPr>
        <w:t xml:space="preserve">12. Practical Applications and Operational Implications</w:t>
      </w:r>
    </w:p>
    <w:p>
      <w:pPr>
        <w:pStyle w:val="Heading2"/>
        <w:spacing w:after="80" w:before="240"/>
      </w:pPr>
      <w:r>
        <w:rPr>
          <w:rFonts w:ascii="Arial" w:cs="Arial" w:eastAsia="Arial" w:hAnsi="Arial"/>
          <w:b/>
          <w:bCs/>
          <w:color w:val="1F497D"/>
          <w:sz w:val="24"/>
          <w:szCs w:val="24"/>
        </w:rPr>
        <w:t xml:space="preserve">12.1 Project Economics and Feasibility Assessment</w:t>
      </w:r>
    </w:p>
    <w:p>
      <w:pPr>
        <w:spacing w:after="120" w:before="0" w:line="276" w:lineRule="auto"/>
        <w:jc w:val="both"/>
      </w:pPr>
      <w:r>
        <w:rPr>
          <w:rFonts w:ascii="Arial" w:cs="Arial" w:eastAsia="Arial" w:hAnsi="Arial"/>
          <w:sz w:val="22"/>
          <w:szCs w:val="22"/>
        </w:rPr>
        <w:t xml:space="preserve">The primary commercial application of Rosetta is generating recovery curves for use in heap leach feasibility studies. Given ore characterization data (mineralogy, P80, column dimensions) and a proposed catalyst dosing schedule, Rosetta produces:</w:t>
      </w:r>
    </w:p>
    <w:p>
      <w:pPr>
        <w:pStyle w:val="ListParagraph"/>
        <w:numPr>
          <w:ilvl w:val="0"/>
          <w:numId w:val="2"/>
        </w:numPr>
        <w:spacing w:after="40" w:before="40"/>
      </w:pPr>
      <w:r>
        <w:rPr>
          <w:rFonts w:ascii="Arial" w:cs="Arial" w:eastAsia="Arial" w:hAnsi="Arial"/>
          <w:b w:val="false"/>
          <w:bCs w:val="false"/>
          <w:sz w:val="22"/>
          <w:szCs w:val="22"/>
        </w:rPr>
        <w:t xml:space="preserve">A 7-day resolution recovery forecast from day 0 to 2,500 days.</w:t>
      </w:r>
    </w:p>
    <w:p>
      <w:pPr>
        <w:pStyle w:val="ListParagraph"/>
        <w:numPr>
          <w:ilvl w:val="0"/>
          <w:numId w:val="2"/>
        </w:numPr>
        <w:spacing w:after="40" w:before="40"/>
      </w:pPr>
      <w:r>
        <w:rPr>
          <w:rFonts w:ascii="Arial" w:cs="Arial" w:eastAsia="Arial" w:hAnsi="Arial"/>
          <w:b w:val="false"/>
          <w:bCs w:val="false"/>
          <w:sz w:val="22"/>
          <w:szCs w:val="22"/>
        </w:rPr>
        <w:t xml:space="preserve">Separate control and catalyzed recovery trajectories, enabling direct quantification of the catalyst benefit (incremental recovery vs. cost).</w:t>
      </w:r>
    </w:p>
    <w:p>
      <w:pPr>
        <w:pStyle w:val="ListParagraph"/>
        <w:numPr>
          <w:ilvl w:val="0"/>
          <w:numId w:val="2"/>
        </w:numPr>
        <w:spacing w:after="40" w:before="40"/>
      </w:pPr>
      <w:r>
        <w:rPr>
          <w:rFonts w:ascii="Arial" w:cs="Arial" w:eastAsia="Arial" w:hAnsi="Arial"/>
          <w:b w:val="false"/>
          <w:bCs w:val="false"/>
          <w:sz w:val="22"/>
          <w:szCs w:val="22"/>
        </w:rPr>
        <w:t xml:space="preserve">A P10–P90 predictive interval for uncertainty-weighted economic modeling (NPV distributions, payback period ranges).</w:t>
      </w:r>
    </w:p>
    <w:p>
      <w:pPr>
        <w:spacing w:after="80"/>
      </w:pPr>
    </w:p>
    <w:p>
      <w:pPr>
        <w:pStyle w:val="Heading2"/>
        <w:spacing w:after="80" w:before="240"/>
      </w:pPr>
      <w:r>
        <w:rPr>
          <w:rFonts w:ascii="Arial" w:cs="Arial" w:eastAsia="Arial" w:hAnsi="Arial"/>
          <w:b/>
          <w:bCs/>
          <w:color w:val="1F497D"/>
          <w:sz w:val="24"/>
          <w:szCs w:val="24"/>
        </w:rPr>
        <w:t xml:space="preserve">12.2 Process Parameter Optimization</w:t>
      </w:r>
    </w:p>
    <w:p>
      <w:pPr>
        <w:spacing w:after="120" w:before="0" w:line="276" w:lineRule="auto"/>
        <w:jc w:val="both"/>
      </w:pPr>
      <w:r>
        <w:rPr>
          <w:rFonts w:ascii="Arial" w:cs="Arial" w:eastAsia="Arial" w:hAnsi="Arial"/>
          <w:sz w:val="22"/>
          <w:szCs w:val="22"/>
        </w:rPr>
        <w:t xml:space="preserve">Rosetta’s physics-based design enables sensitivity analysis around key operational parameters without re-running physical column tests. The model can generate recovery predictions across a grid of P80 values, irrigation rates, or catalyst doses, identifying the optimal combination for a given ore type and economic target. The particle-size penalty function (Section 5.3) and the CSTR transit-time model (Section 7) provide physically grounded responses to changes in these parameters.</w:t>
      </w:r>
    </w:p>
    <w:p>
      <w:pPr>
        <w:pStyle w:val="Heading2"/>
        <w:spacing w:after="80" w:before="240"/>
      </w:pPr>
      <w:r>
        <w:rPr>
          <w:rFonts w:ascii="Arial" w:cs="Arial" w:eastAsia="Arial" w:hAnsi="Arial"/>
          <w:b/>
          <w:bCs/>
          <w:color w:val="1F497D"/>
          <w:sz w:val="24"/>
          <w:szCs w:val="24"/>
        </w:rPr>
        <w:t xml:space="preserve">12.3 Ore Sorting and Blending</w:t>
      </w:r>
    </w:p>
    <w:p>
      <w:pPr>
        <w:spacing w:after="120" w:before="0" w:line="276" w:lineRule="auto"/>
        <w:jc w:val="both"/>
      </w:pPr>
      <w:r>
        <w:rPr>
          <w:rFonts w:ascii="Arial" w:cs="Arial" w:eastAsia="Arial" w:hAnsi="Arial"/>
          <w:sz w:val="22"/>
          <w:szCs w:val="22"/>
        </w:rPr>
        <w:t xml:space="preserve">For deposits with spatial variability in mineralogy, Rosetta can be applied to individual domain assays to rank ore domains by expected catalyst benefit. The ratio of the catalyzed cap to the control cap is a natural metric for catalyst receptivity. Ores with high primary-sulfide equivalent, low gangue sulfide content, and low carbonate burden are predicted to exhibit the highest catalyst uplift, while oxide-dominant or high-gangue-sulfide ores show lower incremental benefit. This ranking can guide blending strategies to maximize overall catalyst ROI.</w:t>
      </w:r>
    </w:p>
    <w:p>
      <w:pPr>
        <w:pStyle w:val="Heading2"/>
        <w:spacing w:after="80" w:before="240"/>
      </w:pPr>
      <w:r>
        <w:rPr>
          <w:rFonts w:ascii="Arial" w:cs="Arial" w:eastAsia="Arial" w:hAnsi="Arial"/>
          <w:b/>
          <w:bCs/>
          <w:color w:val="1F497D"/>
          <w:sz w:val="24"/>
          <w:szCs w:val="24"/>
        </w:rPr>
        <w:t xml:space="preserve">12.4 Early Warning: The Terminal Slope Anchor</w:t>
      </w:r>
    </w:p>
    <w:p>
      <w:pPr>
        <w:spacing w:after="120" w:before="0" w:line="276" w:lineRule="auto"/>
        <w:jc w:val="both"/>
      </w:pPr>
      <w:r>
        <w:rPr>
          <w:rFonts w:ascii="Arial" w:cs="Arial" w:eastAsia="Arial" w:hAnsi="Arial"/>
          <w:sz w:val="22"/>
          <w:szCs w:val="22"/>
        </w:rPr>
        <w:t xml:space="preserve">The terminal_slope_rate feature introduced in v12 provides a practical ‘refractory ore early warning’ signal. If a running column test shows near-zero daily recovery increments for an extended period (e.g., slope &lt; 0.01%/day over 60+ days), and the column has been running for at least 350 days, Rosetta constrains its extrapolated asymptote close to the current observed recovery. This prevents overestimation of long-term recovery for ores that have demonstrably plateaued, particularly important for economic decisions that depend on the terminal recovery value.</w:t>
      </w:r>
    </w:p>
    <w:p>
      <w:pPr>
        <w:pStyle w:val="Heading1"/>
        <w:spacing w:after="120" w:before="320"/>
      </w:pPr>
      <w:r>
        <w:rPr>
          <w:rFonts w:ascii="Arial" w:cs="Arial" w:eastAsia="Arial" w:hAnsi="Arial"/>
          <w:b/>
          <w:bCs/>
          <w:color w:val="1F497D"/>
          <w:sz w:val="28"/>
          <w:szCs w:val="28"/>
        </w:rPr>
        <w:t xml:space="preserve">13. Conclusions</w:t>
      </w:r>
    </w:p>
    <w:p>
      <w:pPr>
        <w:spacing w:after="120" w:before="0" w:line="276" w:lineRule="auto"/>
        <w:jc w:val="both"/>
      </w:pPr>
      <w:r>
        <w:rPr>
          <w:rFonts w:ascii="Arial" w:cs="Arial" w:eastAsia="Arial" w:hAnsi="Arial"/>
          <w:sz w:val="22"/>
          <w:szCs w:val="22"/>
        </w:rPr>
        <w:t xml:space="preserve">Rosetta v12 represents a significant step forward in the quantitative modeling of copper recovery in catalyzed bioleaching column tests. The model’s core contributions to the field are:</w:t>
      </w:r>
    </w:p>
    <w:p>
      <w:pPr>
        <w:pStyle w:val="ListParagraph"/>
        <w:numPr>
          <w:ilvl w:val="0"/>
          <w:numId w:val="2"/>
        </w:numPr>
        <w:spacing w:after="40" w:before="40"/>
      </w:pPr>
      <w:r>
        <w:rPr>
          <w:rFonts w:ascii="Arial" w:cs="Arial" w:eastAsia="Arial" w:hAnsi="Arial"/>
          <w:b w:val="false"/>
          <w:bCs w:val="false"/>
          <w:sz w:val="22"/>
          <w:szCs w:val="22"/>
        </w:rPr>
        <w:t xml:space="preserve">A physics-informed neural network architecture that combines the pattern-recognition power of deep learning with the constraints and interpretability of metallurgical kinetics models.</w:t>
      </w:r>
    </w:p>
    <w:p>
      <w:pPr>
        <w:pStyle w:val="ListParagraph"/>
        <w:numPr>
          <w:ilvl w:val="0"/>
          <w:numId w:val="2"/>
        </w:numPr>
        <w:spacing w:after="40" w:before="40"/>
      </w:pPr>
      <w:r>
        <w:rPr>
          <w:rFonts w:ascii="Arial" w:cs="Arial" w:eastAsia="Arial" w:hAnsi="Arial"/>
          <w:b w:val="false"/>
          <w:bCs w:val="false"/>
          <w:sz w:val="22"/>
          <w:szCs w:val="22"/>
        </w:rPr>
        <w:t xml:space="preserve">A bi-exponential recovery curve whose parameters are predicted entirely from ore characterization and operational data, capturing the two-population kinetics of fast-leachable and slow-leachable (passivating) copper phases.</w:t>
      </w:r>
    </w:p>
    <w:p>
      <w:pPr>
        <w:pStyle w:val="ListParagraph"/>
        <w:numPr>
          <w:ilvl w:val="0"/>
          <w:numId w:val="2"/>
        </w:numPr>
        <w:spacing w:after="40" w:before="40"/>
      </w:pPr>
      <w:r>
        <w:rPr>
          <w:rFonts w:ascii="Arial" w:cs="Arial" w:eastAsia="Arial" w:hAnsi="Arial"/>
          <w:b w:val="false"/>
          <w:bCs w:val="false"/>
          <w:sz w:val="22"/>
          <w:szCs w:val="22"/>
        </w:rPr>
        <w:t xml:space="preserve">An explicit and metallurgically interpretable system of twenty latent interaction blocks encoding key processes: passivation, depassivation, ferric synergy, acid buffering, diffusion drag, surface refresh, catalyst aging, and early acid-consumption deficit.</w:t>
      </w:r>
    </w:p>
    <w:p>
      <w:pPr>
        <w:pStyle w:val="ListParagraph"/>
        <w:numPr>
          <w:ilvl w:val="0"/>
          <w:numId w:val="2"/>
        </w:numPr>
        <w:spacing w:after="40" w:before="40"/>
      </w:pPr>
      <w:r>
        <w:rPr>
          <w:rFonts w:ascii="Arial" w:cs="Arial" w:eastAsia="Arial" w:hAnsi="Arial"/>
          <w:b w:val="false"/>
          <w:bCs w:val="false"/>
          <w:sz w:val="22"/>
          <w:szCs w:val="22"/>
        </w:rPr>
        <w:t xml:space="preserve">A mineralogy-derived recovery cap system that enforces physical upper bounds on predicted recovery, accounting for ore mineral fractions, particle size, initial lixiviant conditions, and empirical flatness signals from the observed curve.</w:t>
      </w:r>
    </w:p>
    <w:p>
      <w:pPr>
        <w:pStyle w:val="ListParagraph"/>
        <w:numPr>
          <w:ilvl w:val="0"/>
          <w:numId w:val="2"/>
        </w:numPr>
        <w:spacing w:after="40" w:before="40"/>
      </w:pPr>
      <w:r>
        <w:rPr>
          <w:rFonts w:ascii="Arial" w:cs="Arial" w:eastAsia="Arial" w:hAnsi="Arial"/>
          <w:b w:val="false"/>
          <w:bCs w:val="false"/>
          <w:sz w:val="22"/>
          <w:szCs w:val="22"/>
        </w:rPr>
        <w:t xml:space="preserve">A CSTR pore-volume model for catalyst transport that correctly accounts for hydraulic residence time and lixiviant flow in determining the catalyst concentration available at the mineral surface.</w:t>
      </w:r>
    </w:p>
    <w:p>
      <w:pPr>
        <w:pStyle w:val="ListParagraph"/>
        <w:numPr>
          <w:ilvl w:val="0"/>
          <w:numId w:val="2"/>
        </w:numPr>
        <w:spacing w:after="40" w:before="40"/>
      </w:pPr>
      <w:r>
        <w:rPr>
          <w:rFonts w:ascii="Arial" w:cs="Arial" w:eastAsia="Arial" w:hAnsi="Arial"/>
          <w:b w:val="false"/>
          <w:bCs w:val="false"/>
          <w:sz w:val="22"/>
          <w:szCs w:val="22"/>
        </w:rPr>
        <w:t xml:space="preserve">A 500-member ensemble strategy providing uncertainty quantification at the P10–P90 level, essential for risk-adjusted economic modeling.</w:t>
      </w:r>
    </w:p>
    <w:p>
      <w:pPr>
        <w:pStyle w:val="ListParagraph"/>
        <w:numPr>
          <w:ilvl w:val="0"/>
          <w:numId w:val="2"/>
        </w:numPr>
        <w:spacing w:after="40" w:before="40"/>
      </w:pPr>
      <w:r>
        <w:rPr>
          <w:rFonts w:ascii="Arial" w:cs="Arial" w:eastAsia="Arial" w:hAnsi="Arial"/>
          <w:b w:val="false"/>
          <w:bCs w:val="false"/>
          <w:sz w:val="22"/>
          <w:szCs w:val="22"/>
        </w:rPr>
        <w:t xml:space="preserve">Physically enforced constraints (non-decreasing recovery, cap compliance, catalyzed ≥ control total recovery, monotonic P80 penalty) that ensure every prediction is thermodynamically and kinetically consistent.</w:t>
      </w:r>
    </w:p>
    <w:p>
      <w:pPr>
        <w:spacing w:after="80"/>
      </w:pPr>
    </w:p>
    <w:p>
      <w:pPr>
        <w:spacing w:after="120" w:before="0" w:line="276" w:lineRule="auto"/>
        <w:jc w:val="both"/>
      </w:pPr>
      <w:r>
        <w:rPr>
          <w:rFonts w:ascii="Arial" w:cs="Arial" w:eastAsia="Arial" w:hAnsi="Arial"/>
          <w:sz w:val="22"/>
          <w:szCs w:val="22"/>
        </w:rPr>
        <w:t xml:space="preserve">The model provides commercially actionable recovery forecasts across a wide range of ore types and operating conditions, supporting project feasibility, catalyst dose optimization, and risk assessment for catalyst-enhanced heap leach operations. Ongoing work focuses on expanding the training dataset to include ROM (run-of-mine) heap simulations, incorporating temperature effects on kinetics, and developing a real-time updating protocol for ongoing operational heaps.</w:t>
      </w:r>
    </w:p>
    <w:p>
      <w:r>
        <w:br w:type="page"/>
      </w:r>
    </w:p>
    <w:p>
      <w:pPr>
        <w:pStyle w:val="Heading1"/>
        <w:spacing w:after="120" w:before="320"/>
      </w:pPr>
      <w:r>
        <w:rPr>
          <w:rFonts w:ascii="Arial" w:cs="Arial" w:eastAsia="Arial" w:hAnsi="Arial"/>
          <w:b/>
          <w:bCs/>
          <w:color w:val="1F497D"/>
          <w:sz w:val="28"/>
          <w:szCs w:val="28"/>
        </w:rPr>
        <w:t xml:space="preserve">References</w:t>
      </w:r>
    </w:p>
    <w:p>
      <w:pPr>
        <w:spacing w:after="60" w:before="40"/>
      </w:pPr>
      <w:r>
        <w:rPr>
          <w:rFonts w:ascii="Arial" w:cs="Arial" w:eastAsia="Arial" w:hAnsi="Arial"/>
          <w:sz w:val="19"/>
          <w:szCs w:val="19"/>
        </w:rPr>
        <w:t xml:space="preserve">[1] Dreisinger, D. (2006). Copper leaching from primary sulfides: options for biological and chemical extraction of copper. Hydrometallurgy, 83(1–4), 10–20.</w:t>
      </w:r>
    </w:p>
    <w:p>
      <w:pPr>
        <w:spacing w:after="60" w:before="40"/>
      </w:pPr>
      <w:r>
        <w:rPr>
          <w:rFonts w:ascii="Arial" w:cs="Arial" w:eastAsia="Arial" w:hAnsi="Arial"/>
          <w:sz w:val="19"/>
          <w:szCs w:val="19"/>
        </w:rPr>
        <w:t xml:space="preserve">[2] Rohwerder, T., Gehrke, T., Kinzler, K., &amp; Sand, W. (2003). Bioleaching review part A: progress in bioleaching: fundamentals and mechanisms of bacterial metal sulfide oxidation. Applied Microbiology and Biotechnology, 63, 239–248.</w:t>
      </w:r>
    </w:p>
    <w:p>
      <w:pPr>
        <w:spacing w:after="60" w:before="40"/>
      </w:pPr>
      <w:r>
        <w:rPr>
          <w:rFonts w:ascii="Arial" w:cs="Arial" w:eastAsia="Arial" w:hAnsi="Arial"/>
          <w:sz w:val="19"/>
          <w:szCs w:val="19"/>
        </w:rPr>
        <w:t xml:space="preserve">[3] Watling, H.R. (2006). The bioleaching of sulphide minerals with emphasis on copper sulphides — a review. Hydrometallurgy, 84(1–2), 81–108.</w:t>
      </w:r>
    </w:p>
    <w:p>
      <w:pPr>
        <w:spacing w:after="60" w:before="40"/>
      </w:pPr>
      <w:r>
        <w:rPr>
          <w:rFonts w:ascii="Arial" w:cs="Arial" w:eastAsia="Arial" w:hAnsi="Arial"/>
          <w:sz w:val="19"/>
          <w:szCs w:val="19"/>
        </w:rPr>
        <w:t xml:space="preserve">[4] Tshilombo, A.F. (2004). Mechanism and kinetics of chalcopyrite passivation and reactivation during ferric and microbial leaching. PhD Thesis, University of British Columbia.</w:t>
      </w:r>
    </w:p>
    <w:p>
      <w:pPr>
        <w:spacing w:after="60" w:before="40"/>
      </w:pPr>
      <w:r>
        <w:rPr>
          <w:rFonts w:ascii="Arial" w:cs="Arial" w:eastAsia="Arial" w:hAnsi="Arial"/>
          <w:sz w:val="19"/>
          <w:szCs w:val="19"/>
        </w:rPr>
        <w:t xml:space="preserve">[5] Khoshkhoo, M., Dopson, M., Shchukarev, A., &amp; Sandstrom, A. (2014). Chalcopyrite leaching and bioleaching: an X-ray photoelectron spectroscopy (XPS) investigation on the nature of hindered dissolution. Hydrometallurgy, 149, 220–227.</w:t>
      </w:r>
    </w:p>
    <w:p>
      <w:pPr>
        <w:spacing w:after="60" w:before="40"/>
      </w:pPr>
      <w:r>
        <w:rPr>
          <w:rFonts w:ascii="Arial" w:cs="Arial" w:eastAsia="Arial" w:hAnsi="Arial"/>
          <w:sz w:val="19"/>
          <w:szCs w:val="19"/>
        </w:rPr>
        <w:t xml:space="preserve">[6] Ahmadi, A., Schaffie, M., Petersen, J., Schippers, A., &amp; Ranjbar, M. (2011). Conventional and electrochemical bioleaching of chalcopyrite concentrates by moderately thermophile bacteria at high pulp density. Hydrometallurgy, 106(1–2), 84–92.</w:t>
      </w:r>
    </w:p>
    <w:p>
      <w:pPr>
        <w:spacing w:after="60" w:before="40"/>
      </w:pPr>
      <w:r>
        <w:rPr>
          <w:rFonts w:ascii="Arial" w:cs="Arial" w:eastAsia="Arial" w:hAnsi="Arial"/>
          <w:sz w:val="19"/>
          <w:szCs w:val="19"/>
        </w:rPr>
        <w:t xml:space="preserve">[7] Bouffard, S.C. (2008). Agglomeration for heap leaching: equipment design, agglomerate quality control, and impact on the heap leach process. Minerals Engineering, 21(15), 1115–1125.</w:t>
      </w:r>
    </w:p>
    <w:p>
      <w:pPr>
        <w:spacing w:after="60" w:before="40"/>
      </w:pPr>
      <w:r>
        <w:rPr>
          <w:rFonts w:ascii="Arial" w:cs="Arial" w:eastAsia="Arial" w:hAnsi="Arial"/>
          <w:sz w:val="19"/>
          <w:szCs w:val="19"/>
        </w:rPr>
        <w:t xml:space="preserve">[8] Dixon, D.G., &amp; Hendrix, J.L. (1993). A mathematical model for heap leaching of one or more solid reactants from porous ore pellets. Metallurgical Transactions B, 24, 1087–1102.</w:t>
      </w:r>
    </w:p>
    <w:p>
      <w:pPr>
        <w:spacing w:after="60" w:before="40"/>
      </w:pPr>
      <w:r>
        <w:rPr>
          <w:rFonts w:ascii="Arial" w:cs="Arial" w:eastAsia="Arial" w:hAnsi="Arial"/>
          <w:sz w:val="19"/>
          <w:szCs w:val="19"/>
        </w:rPr>
        <w:t xml:space="preserve">[9] Crundwell, F.K. (2015). The mechanism of dissolution of chalcopyrite (CuFeS₂) in sulphuric acid and ferric sulphate solutions, a pseudo-passivation mechanism? Hydrometallurgy, 153, 46–58.</w:t>
      </w:r>
    </w:p>
    <w:p>
      <w:pPr>
        <w:spacing w:after="60" w:before="40"/>
      </w:pPr>
      <w:r>
        <w:rPr>
          <w:rFonts w:ascii="Arial" w:cs="Arial" w:eastAsia="Arial" w:hAnsi="Arial"/>
          <w:sz w:val="19"/>
          <w:szCs w:val="19"/>
        </w:rPr>
        <w:t xml:space="preserve">[10] Li, Y., Kawashima, N., Li, J., Chandra, A.P., &amp; Gerson, A.R. (2013). A review of the structure, and fundamental mechanisms and kinetics of the leaching of chalcopyrite. Advances in Colloid and Interface Science, 197–198, 1–32.</w:t>
      </w:r>
    </w:p>
    <w:p>
      <w:r>
        <w:br w:type="page"/>
      </w:r>
    </w:p>
    <w:p>
      <w:pPr>
        <w:pStyle w:val="Heading1"/>
        <w:spacing w:after="120" w:before="320"/>
      </w:pPr>
      <w:r>
        <w:rPr>
          <w:rFonts w:ascii="Arial" w:cs="Arial" w:eastAsia="Arial" w:hAnsi="Arial"/>
          <w:b/>
          <w:bCs/>
          <w:color w:val="1F497D"/>
          <w:sz w:val="28"/>
          <w:szCs w:val="28"/>
        </w:rPr>
        <w:t xml:space="preserve">Appendix A: Summary of Model Configuration (v12)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960"/>
      </w:tblGrid>
      <w:tr>
        <w:trPr>
          <w:tblHeader/>
        </w:trPr>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9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Hidden dimension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48</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Width of the encoder latent space</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Dropout rate</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0.15</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Applied after first ReLU layer during training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Epochs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600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Maximum training epochs per ensemble member</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Early stopping patience</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80</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Stop if validation loss does not improve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Learning rate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7.0 × 10⁻³</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Adam optimizer initial learning rate</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Weight decay</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2.0 × 10⁻⁴</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L2 regularization coefficient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Gradient clip norm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Maximum gradient norm before clipping</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Ensemble K (splits)</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5</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K-fold cross-validation splits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Ensemble repeats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Repeats per split seed</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Ensemble split seeds</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10</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Independent random split seeds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Total ensemble size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500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K × repeats × seeds</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PI low / high percentile</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10% / 90%</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Predictive interval bounds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Column porosity (ε)</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0.35</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Fixed bed porosity for CSTR model</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Oxide leachable fraction</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95%</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Maximum recovery for acid-soluble/oxide Cu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Secondary sulfide fraction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70%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Maximum recovery for secondary sulfide Cu</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Primary sulfide (ctrl) prior min/max</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10% / 35%</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Clamp range for per-sample control primary-sulfide fraction (base 30%, adjusted by ferric-ready and tall-column deficit scores)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Primary sulfide (cat) prior min/max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25% / 70%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Clamp range for per-sample catalyzed primary-sulfide fraction (base 70%, adjusted by tall-column deficit score)</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Data-informed prefit caps</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Enabled</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When terminal slope ≤ 0.020 %/day and duration ≥ 350 d, final observed recovery + tail margin replaces chemistry-only cap in prefit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P80 cap penalty onset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2.0 in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P80 above which cap penalty begins</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P80 cap penalty d50</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3.0 in</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P80 at 50% Hill penalty saturation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P80 cap minimum factor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0.40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Minimum cap factor at very coarse P80</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Min transition days</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4</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Minimum catalyst onset delay (days)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Max transition days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220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Maximum catalyst onset delay (days)</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Plot target day</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2,500</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Maximum extrapolation horizon for forecasts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19"/>
                <w:szCs w:val="19"/>
              </w:rPr>
              <w:t xml:space="preserve">Ensemble plot step</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1 day</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Resolution of forecast output</w:t>
            </w:r>
          </w:p>
        </w:tc>
      </w:tr>
      <w:tr>
        <w:tc>
          <w:tcPr>
            <w:tcW w:type="dxa" w:w="24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left"/>
            </w:pPr>
            <w:r>
              <w:rPr>
                <w:rFonts w:ascii="Arial" w:cs="Arial" w:eastAsia="Arial" w:hAnsi="Arial"/>
                <w:sz w:val="19"/>
                <w:szCs w:val="19"/>
              </w:rPr>
              <w:t xml:space="preserve">Model version</w:t>
            </w:r>
          </w:p>
        </w:tc>
        <w:tc>
          <w:tcPr>
            <w:tcW w:type="dxa" w:w="200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v12_data_informed_prefit_caps_20260424</w:t>
            </w:r>
          </w:p>
        </w:tc>
        <w:tc>
          <w:tcPr>
            <w:tcW w:type="dxa" w:w="3960"/>
            <w:tcBorders>
              <w:top w:val="single" w:color="AAAAAA" w:sz="1"/>
              <w:left w:val="single" w:color="AAAAAA" w:sz="1"/>
              <w:bottom w:val="single" w:color="AAAAAA" w:sz="1"/>
              <w:right w:val="single" w:color="AAAAAA" w:sz="1"/>
            </w:tcBorders>
            <w:shd w:fill="EEF4FA" w:val="clear"/>
            <w:tcMar>
              <w:top w:type="dxa" w:w="60"/>
              <w:left w:type="dxa" w:w="120"/>
              <w:bottom w:type="dxa" w:w="60"/>
              <w:right w:type="dxa" w:w="120"/>
            </w:tcMar>
          </w:tcPr>
          <w:p>
            <w:pPr>
              <w:jc w:val="center"/>
            </w:pPr>
            <w:r>
              <w:rPr>
                <w:rFonts w:ascii="Arial" w:cs="Arial" w:eastAsia="Arial" w:hAnsi="Arial"/>
                <w:sz w:val="19"/>
                <w:szCs w:val="19"/>
              </w:rPr>
              <w:t xml:space="preserve">Logic version identifier</w:t>
            </w:r>
          </w:p>
        </w:tc>
      </w:tr>
    </w:tbl>
    <w:p>
      <w:pPr>
        <w:spacing w:after="160" w:before="60"/>
        <w:jc w:val="center"/>
      </w:pPr>
      <w:r>
        <w:rPr>
          <w:rFonts w:ascii="Arial" w:cs="Arial" w:eastAsia="Arial" w:hAnsi="Arial"/>
          <w:i/>
          <w:iCs/>
          <w:color w:val="555555"/>
          <w:sz w:val="18"/>
          <w:szCs w:val="18"/>
        </w:rPr>
        <w:t xml:space="preserve">Table A-1. Rosetta v12 model hyperparameters and physical configuration.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tabs>
        <w:tab w:val="right" w:pos="9360"/>
      </w:tabs>
    </w:pPr>
    <w:r>
      <w:rPr>
        <w:rFonts w:ascii="Arial" w:cs="Arial" w:eastAsia="Arial" w:hAnsi="Arial"/>
        <w:color w:val="777777"/>
        <w:sz w:val="18"/>
        <w:szCs w:val="18"/>
      </w:rPr>
      <w:t xml:space="preserve">© 2026 — Jetti Resources LLC. All rights reserved.</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tabs>
        <w:tab w:val="right" w:pos="9360"/>
      </w:tabs>
    </w:pPr>
    <w:r>
      <w:rPr>
        <w:rFonts w:ascii="Arial" w:cs="Arial" w:eastAsia="Arial" w:hAnsi="Arial"/>
        <w:color w:val="777777"/>
        <w:sz w:val="18"/>
        <w:szCs w:val="18"/>
      </w:rPr>
      <w:t xml:space="preserve">ROSETTA — Physics-Informed Neural Network for Bioleaching Cu Recovery</w:t>
    </w:r>
    <w:r>
      <w:rPr>
        <w:rFonts w:ascii="Arial" w:cs="Arial" w:eastAsia="Arial" w:hAnsi="Arial"/>
        <w:color w:val="777777"/>
        <w:sz w:val="18"/>
        <w:szCs w:val="18"/>
      </w:rPr>
      <w:t xml:space="preserve">	Version 12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97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97D"/>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966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2026-04-24T14:10:34.548Z</dcterms:created>
  <dcterms:modified xsi:type="dcterms:W3CDTF">2026-04-24T14:10:34.554Z</dcterms:modified>
</cp:coreProperties>
</file>

<file path=docProps/custom.xml><?xml version="1.0" encoding="utf-8"?>
<Properties xmlns="http://schemas.openxmlformats.org/officeDocument/2006/custom-properties" xmlns:vt="http://schemas.openxmlformats.org/officeDocument/2006/docPropsVTypes"/>
</file>