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DUCO ASISTE</w:t>
      </w:r>
    </w:p>
    <w:p w:rsidR="00000000" w:rsidDel="00000000" w:rsidP="00000000" w:rsidRDefault="00000000" w:rsidRPr="00000000" w14:paraId="00000002">
      <w:pPr>
        <w:pStyle w:val="Subtitle"/>
        <w:rPr/>
      </w:pPr>
      <w:r w:rsidDel="00000000" w:rsidR="00000000" w:rsidRPr="00000000">
        <w:rPr>
          <w:rtl w:val="0"/>
        </w:rPr>
        <w:t xml:space="preserve">Documento técnico 01 | Arquitectura del sistema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Capstone · Ingeniería en Informática · Metodología Scrum · Octubre de 2026</w:t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1. Objetivo y alcance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Duco Asiste es un asistente virtual de chat con inteligencia artificial orientado a ayudar a los usuarios del sitio de Duoc UC a encontrar información y navegar a secciones relevantes. El presente documento identifica su arquitectura observable a partir del código suministrado y presenta una arquitectura objetivo, expresamente no implementada por completo, para abordar los requisitos posteriores.</w:t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2. Arquitectura actual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0" distT="0" distL="114300" distR="114300">
            <wp:extent cx="6126480" cy="4548447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5484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Figura 1. Arquitectura lógica del prototipo, basada en el ZIP proporcionado. El diagrama sintetiza el flujo principal; el almacenamiento temporal depende de la lógica del navegador.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El archivo duoc.html ofrece la página e interfaz; CSS aporta los estilos. Los scripts del cliente coordinan mensajes y acciones sobre el DOM. El cliente Ollama contiene solicitudes HTTP locales a /api/chat y el modelo predeterminado llama3.1. La presencia del código no acredita pruebas completas de estabilidad; el equipo confirma que obtuvo respuestas, aunque aún no funciona al 100 %.</w:t>
      </w:r>
    </w:p>
    <w:p w:rsidR="00000000" w:rsidDel="00000000" w:rsidP="00000000" w:rsidRDefault="00000000" w:rsidRPr="00000000" w14:paraId="0000000A">
      <w:pPr>
        <w:pStyle w:val="Heading1"/>
        <w:rPr/>
      </w:pPr>
      <w:r w:rsidDel="00000000" w:rsidR="00000000" w:rsidRPr="00000000">
        <w:rPr>
          <w:rtl w:val="0"/>
        </w:rPr>
        <w:t xml:space="preserve">3. Componentes identificados</w:t>
      </w:r>
    </w:p>
    <w:tbl>
      <w:tblPr>
        <w:tblStyle w:val="Table1"/>
        <w:tblW w:w="9792.0" w:type="dxa"/>
        <w:jc w:val="left"/>
        <w:tblInd w:w="-108.0" w:type="dxa"/>
        <w:tblBorders>
          <w:top w:color="4f81bd" w:space="0" w:sz="8" w:val="single"/>
          <w:bottom w:color="4f81bd" w:space="0" w:sz="8" w:val="single"/>
        </w:tblBorders>
        <w:tblLayout w:type="fixed"/>
        <w:tblLook w:val="04A0"/>
      </w:tblPr>
      <w:tblGrid>
        <w:gridCol w:w="4896"/>
        <w:gridCol w:w="4896"/>
        <w:tblGridChange w:id="0">
          <w:tblGrid>
            <w:gridCol w:w="4896"/>
            <w:gridCol w:w="489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Componente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Responsabilidad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duoc.html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Página y punto de integración del chat.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css/duco-styles.css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Presentación del asistente.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js/duco-assistant.js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Coordinación de los módulos del asistente.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js/chat-handler.js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Mensajes y presentación de la conversación.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js/ollama-client.js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Cliente HTTP local de Ollama; consulta /api/chat.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js/navigation-mapper.js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Mapeo de intenciones y acciones para el sitio.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js/ui-highlighter.js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Resaltado y guía visual sobre elementos.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js/site-context.js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Contexto del sitio usado para orientar respuestas.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Navegador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Ejecución de interfaz, DOM y almacenamiento temporal.</w:t>
            </w:r>
          </w:p>
        </w:tc>
      </w:tr>
    </w:tbl>
    <w:p w:rsidR="00000000" w:rsidDel="00000000" w:rsidP="00000000" w:rsidRDefault="00000000" w:rsidRPr="00000000" w14:paraId="0000001F">
      <w:pPr>
        <w:pStyle w:val="Heading1"/>
        <w:rPr/>
      </w:pPr>
      <w:r w:rsidDel="00000000" w:rsidR="00000000" w:rsidRPr="00000000">
        <w:rPr>
          <w:rtl w:val="0"/>
        </w:rPr>
        <w:t xml:space="preserve">4. Comunicación entre componentes y servicios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1. El usuario escribe una consulta en la interfaz web.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2. La lógica JavaScript del chat recibe el texto y coordina el procesamiento.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3. La lógica de navegación puede detectar una intención asociada con secciones del sitio y gestionar acciones visuales sobre la página.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4. Cuando corresponde generar una respuesta mediante IA, ollama-client.js realiza una solicitud HTTP al servicio Ollama local (/api/chat).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5. La respuesta de Ollama vuelve al navegador; el asistente presenta texto y puede ejecutar acciones de navegación y resaltado cuando son válidas.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6. El contexto o historial temporal se gestiona en el cliente según la implementación del prototipo.</w:t>
      </w:r>
    </w:p>
    <w:p w:rsidR="00000000" w:rsidDel="00000000" w:rsidP="00000000" w:rsidRDefault="00000000" w:rsidRPr="00000000" w14:paraId="00000026">
      <w:pPr>
        <w:pStyle w:val="Heading1"/>
        <w:rPr/>
      </w:pPr>
      <w:r w:rsidDel="00000000" w:rsidR="00000000" w:rsidRPr="00000000">
        <w:rPr>
          <w:rtl w:val="0"/>
        </w:rPr>
        <w:t xml:space="preserve">5. Arquitectura propuesta </w:t>
      </w:r>
      <w:r w:rsidDel="00000000" w:rsidR="00000000" w:rsidRPr="00000000">
        <w:rPr/>
        <w:drawing>
          <wp:inline distB="0" distT="0" distL="114300" distR="114300">
            <wp:extent cx="5943600" cy="3020518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05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Figura 2. Diseño objetivo sugerido, no arquitectura operativa verificada.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Para conectar de forma segura la aplicación web y una futura aplicación de escritorio administrativa con Oracle Database, se propone una API/backend compartida. La tecnología de backend no está elegida. El modelo relacional Oracle con al menos 30 tablas es una exigencia del instructivo y aún no está implementado. Esta propuesta no cambia la función central del producto: chat con IA y navegación del sitio.</w:t>
      </w:r>
    </w:p>
    <w:p w:rsidR="00000000" w:rsidDel="00000000" w:rsidP="00000000" w:rsidRDefault="00000000" w:rsidRPr="00000000" w14:paraId="00000029">
      <w:pPr>
        <w:pStyle w:val="Heading1"/>
        <w:rPr/>
      </w:pPr>
      <w:r w:rsidDel="00000000" w:rsidR="00000000" w:rsidRPr="00000000">
        <w:rPr>
          <w:rtl w:val="0"/>
        </w:rPr>
        <w:t xml:space="preserve">6. Riesgos y decisiones pendientes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Validar de extremo a extremo el flujo de chat, contexto y acciones de navegación.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Definir backend y autenticación antes de conectar Oracle; nunca exponer credenciales SQL en JavaScript del navegador.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Acordar qué datos conversacionales es necesario almacenar y su período de conservación.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Planificar contenedores Docker y documentar variables de entorno, ejecución y pruebas.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Verificar los requisitos adicionales de aplicación de escritorio y APIs en el alcance y los sprints.</w:t>
      </w:r>
    </w:p>
    <w:p w:rsidR="00000000" w:rsidDel="00000000" w:rsidP="00000000" w:rsidRDefault="00000000" w:rsidRPr="00000000" w14:paraId="0000002F">
      <w:pPr>
        <w:pStyle w:val="Heading1"/>
        <w:rPr/>
      </w:pPr>
      <w:r w:rsidDel="00000000" w:rsidR="00000000" w:rsidRPr="00000000">
        <w:rPr>
          <w:rtl w:val="0"/>
        </w:rPr>
        <w:t xml:space="preserve">7. Evidencia y trazabilidad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Fuente técnica revisada: ZIP «Proyecto capstone-20261009T052609Z-1-001(1).zip», en particular README-DUCO.md, duoc.html, css/duco-styles.css y los módulos js/*. Fuente de requisitos: «Instructivo General Capstone»; definición funcional: Guía 1.5 de Fase 1. Estado de avance: se diferencia código disponible de validación funcional y de los elementos planificados.</w:t>
      </w:r>
    </w:p>
    <w:sectPr>
      <w:pgSz w:h="15840" w:w="12240" w:orient="portrait"/>
      <w:pgMar w:bottom="1008" w:top="1080" w:left="1224" w:right="122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Play" w:cs="Play" w:eastAsia="Play" w:hAnsi="Play"/>
      <w:b w:val="1"/>
      <w:bCs w:val="1"/>
      <w:color w:val="163f6b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Play" w:cs="Play" w:eastAsia="Play" w:hAnsi="Play"/>
      <w:b w:val="1"/>
      <w:bCs w:val="1"/>
      <w:color w:val="163f6b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Play" w:cs="Play" w:eastAsia="Play" w:hAnsi="Play"/>
      <w:color w:val="163f6b"/>
      <w:sz w:val="44"/>
      <w:szCs w:val="44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rPr>
      <w:color w:val="36609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d3dfee" w:val="clear"/>
      </w:tcPr>
    </w:tblStylePr>
    <w:tblStylePr w:type="band1Vert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d3dfee" w:val="clear"/>
      </w:tcPr>
    </w:tblStylePr>
    <w:tblStylePr w:type="firstCol">
      <w:rPr>
        <w:b w:val="1"/>
        <w:bCs w:val="1"/>
      </w:rPr>
    </w:tblStylePr>
    <w:tblStylePr w:type="fir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8" w:val="single"/>
          <w:left w:color="000000" w:space="0" w:sz="0" w:val="nil"/>
          <w:bottom w:color="4f81bd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  <w:tblStylePr w:type="lastCol">
      <w:rPr>
        <w:b w:val="1"/>
        <w:bCs w:val="1"/>
      </w:r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8" w:val="single"/>
          <w:left w:color="000000" w:space="0" w:sz="0" w:val="nil"/>
          <w:bottom w:color="4f81bd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pxYrp9SOKAxgTeSI57xaj01S8Q==">CgMxLjA4AHIhMWFRQm1UZ3dvbTNzZ2t4MW5sSUtfb0tHS0tUVzRBX0Np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