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767A83"/>
          <w:spacing w:val="20"/>
          <w:sz w:val="18"/>
          <w:szCs w:val="18"/>
        </w:rPr>
        <w:t xml:space="preserve">FUNDAR · RESUMEN · OCTUBRE DE 2026</w:t>
      </w:r>
    </w:p>
    <w:p>
      <w:pPr>
        <w:spacing w:after="160"/>
      </w:pPr>
      <w:r>
        <w:rPr>
          <w:b/>
          <w:bCs/>
          <w:sz w:val="36"/>
          <w:szCs w:val="36"/>
        </w:rPr>
        <w:t xml:space="preserve">Santa Fe frente al sobreendeudamiento de las familias</w:t>
      </w:r>
    </w:p>
    <w:p>
      <w:pPr>
        <w:pBdr>
          <w:left w:val="single" w:color="2861C4" w:sz="18" w:space="8"/>
        </w:pBdr>
        <w:shd w:fill="F6F6F3" w:color="auto" w:val="clear"/>
        <w:spacing w:after="200"/>
      </w:pPr>
      <w:r>
        <w:rPr>
          <w:b/>
          <w:bCs/>
        </w:rPr>
        <w:t xml:space="preserve">En síntesis: </w:t>
      </w:r>
      <w:r>
        <w:t xml:space="preserve">Santa Fe ya tiene en marcha un plan para unificar deudas en un solo préstamo, y en la Legislatura hay al menos tres proyectos de ley. El más cercano a la defensa del consumidor es un nuevo Código de derechos de consumidores, que exige préstamo responsable también a fintech y billeteras y crea un sistema para renegociar todas las deudas de una familia juntas. Ninguno de los proyectos figura como aprobado.</w:t>
      </w:r>
    </w:p>
    <w:p>
      <w:pPr>
        <w:spacing w:after="100" w:before="240"/>
      </w:pPr>
      <w:r>
        <w:rPr>
          <w:b/>
          <w:bCs/>
          <w:color w:val="1D1F24"/>
          <w:sz w:val="26"/>
          <w:szCs w:val="26"/>
        </w:rPr>
        <w:t xml:space="preserve">Lo que ya funciona: Plan de Protección de los Ingresos</w:t>
      </w:r>
    </w:p>
    <w:p>
      <w:pPr>
        <w:pStyle w:val="ListParagraph"/>
        <w:numPr>
          <w:ilvl w:val="0"/>
          <w:numId w:val="2"/>
        </w:numPr>
        <w:spacing w:after="80"/>
      </w:pPr>
      <w:r>
        <w:rPr>
          <w:b/>
          <w:bCs/>
        </w:rPr>
        <w:t xml:space="preserve">Gobierno provincial y Banco Santa Fe. </w:t>
      </w:r>
      <w:r>
        <w:t xml:space="preserve">Permite cancelar varias deudas y concentrarlas en un solo préstamo de hasta 60 cuotas, con dos meses de gracia y tasa preferencial.</w:t>
      </w:r>
    </w:p>
    <w:p>
      <w:pPr>
        <w:pStyle w:val="ListParagraph"/>
        <w:numPr>
          <w:ilvl w:val="0"/>
          <w:numId w:val="2"/>
        </w:numPr>
        <w:spacing w:after="80"/>
      </w:pPr>
      <w:r>
        <w:rPr>
          <w:b/>
          <w:bCs/>
        </w:rPr>
        <w:t xml:space="preserve">Para quién: </w:t>
      </w:r>
      <w:r>
        <w:t xml:space="preserve">trabajadores públicos y privados; según el gobierno, también jubilados y pensionados.</w:t>
      </w:r>
    </w:p>
    <w:p>
      <w:pPr>
        <w:pStyle w:val="ListParagraph"/>
        <w:numPr>
          <w:ilvl w:val="0"/>
          <w:numId w:val="2"/>
        </w:numPr>
        <w:spacing w:after="80"/>
      </w:pPr>
      <w:r>
        <w:rPr>
          <w:b/>
          <w:bCs/>
        </w:rPr>
        <w:t xml:space="preserve">Alcance: </w:t>
      </w:r>
      <w:r>
        <w:t xml:space="preserve">más de 18.500 adhesiones al 11 de agosto. Estaba abierto hasta el 30 de septiembre; no encontramos una prórroga.</w:t>
      </w:r>
    </w:p>
    <w:p>
      <w:pPr>
        <w:spacing w:after="100" w:before="240"/>
      </w:pPr>
      <w:r>
        <w:rPr>
          <w:b/>
          <w:bCs/>
          <w:color w:val="1D1F24"/>
          <w:sz w:val="26"/>
          <w:szCs w:val="26"/>
        </w:rPr>
        <w:t xml:space="preserve">Lo que se discute: proyectos en la Legislatura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0"/>
        <w:gridCol w:w="4626"/>
        <w:gridCol w:w="1700"/>
      </w:tblGrid>
      <w:tr>
        <w:trPr>
          <w:tblHeader/>
        </w:trPr>
        <w:tc>
          <w:tcPr>
            <w:tcW w:type="dxa" w:w="2700"/>
            <w:tcBorders>
              <w:top w:val="single" w:color="DCDCD6" w:sz="4"/>
              <w:left w:val="single" w:color="DCDCD6" w:sz="4"/>
              <w:bottom w:val="single" w:color="DCDCD6" w:sz="4"/>
              <w:right w:val="single" w:color="DCDCD6" w:sz="4"/>
            </w:tcBorders>
            <w:shd w:fill="F6F6F3" w:color="auto" w:val="clear"/>
            <w:tcMar>
              <w:top w:type="dxa" w:w="80"/>
              <w:left w:type="dxa" w:w="100"/>
              <w:bottom w:type="dxa" w:w="80"/>
              <w:right w:type="dxa" w:w="100"/>
            </w:tcMar>
          </w:tcPr>
          <w:p>
            <w:r>
              <w:rPr>
                <w:b/>
                <w:bCs/>
              </w:rPr>
              <w:t xml:space="preserve">Proyecto</w:t>
            </w:r>
          </w:p>
        </w:tc>
        <w:tc>
          <w:tcPr>
            <w:tcW w:type="dxa" w:w="4626"/>
            <w:tcBorders>
              <w:top w:val="single" w:color="DCDCD6" w:sz="4"/>
              <w:left w:val="single" w:color="DCDCD6" w:sz="4"/>
              <w:bottom w:val="single" w:color="DCDCD6" w:sz="4"/>
              <w:right w:val="single" w:color="DCDCD6" w:sz="4"/>
            </w:tcBorders>
            <w:shd w:fill="F6F6F3" w:color="auto" w:val="clear"/>
            <w:tcMar>
              <w:top w:type="dxa" w:w="80"/>
              <w:left w:type="dxa" w:w="100"/>
              <w:bottom w:type="dxa" w:w="80"/>
              <w:right w:type="dxa" w:w="100"/>
            </w:tcMar>
          </w:tcPr>
          <w:p>
            <w:r>
              <w:rPr>
                <w:b/>
                <w:bCs/>
              </w:rPr>
              <w:t xml:space="preserve">Qué propone</w:t>
            </w:r>
          </w:p>
        </w:tc>
        <w:tc>
          <w:tcPr>
            <w:tcW w:type="dxa" w:w="1700"/>
            <w:tcBorders>
              <w:top w:val="single" w:color="DCDCD6" w:sz="4"/>
              <w:left w:val="single" w:color="DCDCD6" w:sz="4"/>
              <w:bottom w:val="single" w:color="DCDCD6" w:sz="4"/>
              <w:right w:val="single" w:color="DCDCD6" w:sz="4"/>
            </w:tcBorders>
            <w:shd w:fill="F6F6F3" w:color="auto" w:val="clear"/>
            <w:tcMar>
              <w:top w:type="dxa" w:w="80"/>
              <w:left w:type="dxa" w:w="100"/>
              <w:bottom w:type="dxa" w:w="80"/>
              <w:right w:type="dxa" w:w="100"/>
            </w:tcMar>
          </w:tcPr>
          <w:p>
            <w:r>
              <w:rPr>
                <w:b/>
                <w:bCs/>
              </w:rPr>
              <w:t xml:space="preserve">Estado</w:t>
            </w:r>
          </w:p>
        </w:tc>
      </w:tr>
      <w:tr>
        <w:trPr>
          <w:tblHeader w:val="false"/>
        </w:trPr>
        <w:tc>
          <w:tcPr>
            <w:tcW w:type="dxa" w:w="2700"/>
            <w:tcBorders>
              <w:top w:val="single" w:color="DCDCD6" w:sz="4"/>
              <w:left w:val="single" w:color="DCDCD6" w:sz="4"/>
              <w:bottom w:val="single" w:color="DCDCD6" w:sz="4"/>
              <w:right w:val="single" w:color="DCDCD6" w:sz="4"/>
            </w:tcBorders>
            <w:tcMar>
              <w:top w:type="dxa" w:w="80"/>
              <w:left w:type="dxa" w:w="100"/>
              <w:bottom w:type="dxa" w:w="80"/>
              <w:right w:type="dxa" w:w="100"/>
            </w:tcMar>
          </w:tcPr>
          <w:p>
            <w:r>
              <w:rPr>
                <w:b/>
                <w:bCs/>
              </w:rPr>
              <w:t xml:space="preserve">Código de derechos de las personas consumidoras y usuarias</w:t>
            </w:r>
          </w:p>
        </w:tc>
        <w:tc>
          <w:tcPr>
            <w:tcW w:type="dxa" w:w="4626"/>
            <w:tcBorders>
              <w:top w:val="single" w:color="DCDCD6" w:sz="4"/>
              <w:left w:val="single" w:color="DCDCD6" w:sz="4"/>
              <w:bottom w:val="single" w:color="DCDCD6" w:sz="4"/>
              <w:right w:val="single" w:color="DCDCD6" w:sz="4"/>
            </w:tcBorders>
            <w:tcMar>
              <w:top w:type="dxa" w:w="80"/>
              <w:left w:type="dxa" w:w="100"/>
              <w:bottom w:type="dxa" w:w="80"/>
              <w:right w:type="dxa" w:w="100"/>
            </w:tcMar>
          </w:tcPr>
          <w:p>
            <w:r>
              <w:t xml:space="preserve">Préstamo responsable para todo el que preste, incluidas fintech y billeteras; límites a la cobranza. Oficina de renegociación: audiencia única con todos los acreedores, plan de hasta 5 años y piso de un salario mínimo.</w:t>
            </w:r>
          </w:p>
        </w:tc>
        <w:tc>
          <w:tcPr>
            <w:tcW w:type="dxa" w:w="1700"/>
            <w:tcBorders>
              <w:top w:val="single" w:color="DCDCD6" w:sz="4"/>
              <w:left w:val="single" w:color="DCDCD6" w:sz="4"/>
              <w:bottom w:val="single" w:color="DCDCD6" w:sz="4"/>
              <w:right w:val="single" w:color="DCDCD6" w:sz="4"/>
            </w:tcBorders>
            <w:tcMar>
              <w:top w:type="dxa" w:w="80"/>
              <w:left w:type="dxa" w:w="100"/>
              <w:bottom w:type="dxa" w:w="80"/>
              <w:right w:type="dxa" w:w="100"/>
            </w:tcMar>
          </w:tcPr>
          <w:p>
            <w:r>
              <w:t xml:space="preserve">En la Legislatura; sin aprobación según la prensa.</w:t>
            </w:r>
          </w:p>
        </w:tc>
      </w:tr>
      <w:tr>
        <w:trPr>
          <w:tblHeader w:val="false"/>
        </w:trPr>
        <w:tc>
          <w:tcPr>
            <w:tcW w:type="dxa" w:w="2700"/>
            <w:tcBorders>
              <w:top w:val="single" w:color="DCDCD6" w:sz="4"/>
              <w:left w:val="single" w:color="DCDCD6" w:sz="4"/>
              <w:bottom w:val="single" w:color="DCDCD6" w:sz="4"/>
              <w:right w:val="single" w:color="DCDCD6" w:sz="4"/>
            </w:tcBorders>
            <w:tcMar>
              <w:top w:type="dxa" w:w="80"/>
              <w:left w:type="dxa" w:w="100"/>
              <w:bottom w:type="dxa" w:w="80"/>
              <w:right w:type="dxa" w:w="100"/>
            </w:tcMar>
          </w:tcPr>
          <w:p>
            <w:r>
              <w:rPr>
                <w:b/>
                <w:bCs/>
              </w:rPr>
              <w:t xml:space="preserve">Refinanciación de deudas</w:t>
            </w:r>
          </w:p>
        </w:tc>
        <w:tc>
          <w:tcPr>
            <w:tcW w:type="dxa" w:w="4626"/>
            <w:tcBorders>
              <w:top w:val="single" w:color="DCDCD6" w:sz="4"/>
              <w:left w:val="single" w:color="DCDCD6" w:sz="4"/>
              <w:bottom w:val="single" w:color="DCDCD6" w:sz="4"/>
              <w:right w:val="single" w:color="DCDCD6" w:sz="4"/>
            </w:tcBorders>
            <w:tcMar>
              <w:top w:type="dxa" w:w="80"/>
              <w:left w:type="dxa" w:w="100"/>
              <w:bottom w:type="dxa" w:w="80"/>
              <w:right w:type="dxa" w:w="100"/>
            </w:tcMar>
          </w:tcPr>
          <w:p>
            <w:r>
              <w:t xml:space="preserve">Créditos para refinanciar con tasa fija máxima de 35% TNA y plazo mínimo de 24 meses, con incentivos fiscales para las entidades que adhieran. Límites a la cobranza digital y obligación de informar el costo financiero total.</w:t>
            </w:r>
          </w:p>
        </w:tc>
        <w:tc>
          <w:tcPr>
            <w:tcW w:type="dxa" w:w="1700"/>
            <w:tcBorders>
              <w:top w:val="single" w:color="DCDCD6" w:sz="4"/>
              <w:left w:val="single" w:color="DCDCD6" w:sz="4"/>
              <w:bottom w:val="single" w:color="DCDCD6" w:sz="4"/>
              <w:right w:val="single" w:color="DCDCD6" w:sz="4"/>
            </w:tcBorders>
            <w:tcMar>
              <w:top w:type="dxa" w:w="80"/>
              <w:left w:type="dxa" w:w="100"/>
              <w:bottom w:type="dxa" w:w="80"/>
              <w:right w:type="dxa" w:w="100"/>
            </w:tcMar>
          </w:tcPr>
          <w:p>
            <w:r>
              <w:t xml:space="preserve">Presentado (agosto de 2026).</w:t>
            </w:r>
          </w:p>
        </w:tc>
      </w:tr>
      <w:tr>
        <w:trPr>
          <w:tblHeader w:val="false"/>
        </w:trPr>
        <w:tc>
          <w:tcPr>
            <w:tcW w:type="dxa" w:w="2700"/>
            <w:tcBorders>
              <w:top w:val="single" w:color="DCDCD6" w:sz="4"/>
              <w:left w:val="single" w:color="DCDCD6" w:sz="4"/>
              <w:bottom w:val="single" w:color="DCDCD6" w:sz="4"/>
              <w:right w:val="single" w:color="DCDCD6" w:sz="4"/>
            </w:tcBorders>
            <w:tcMar>
              <w:top w:type="dxa" w:w="80"/>
              <w:left w:type="dxa" w:w="100"/>
              <w:bottom w:type="dxa" w:w="80"/>
              <w:right w:type="dxa" w:w="100"/>
            </w:tcMar>
          </w:tcPr>
          <w:p>
            <w:r>
              <w:rPr>
                <w:b/>
                <w:bCs/>
              </w:rPr>
              <w:t xml:space="preserve">Sistema provincial de asistencia</w:t>
            </w:r>
          </w:p>
        </w:tc>
        <w:tc>
          <w:tcPr>
            <w:tcW w:type="dxa" w:w="4626"/>
            <w:tcBorders>
              <w:top w:val="single" w:color="DCDCD6" w:sz="4"/>
              <w:left w:val="single" w:color="DCDCD6" w:sz="4"/>
              <w:bottom w:val="single" w:color="DCDCD6" w:sz="4"/>
              <w:right w:val="single" w:color="DCDCD6" w:sz="4"/>
            </w:tcBorders>
            <w:tcMar>
              <w:top w:type="dxa" w:w="80"/>
              <w:left w:type="dxa" w:w="100"/>
              <w:bottom w:type="dxa" w:w="80"/>
              <w:right w:type="dxa" w:w="100"/>
            </w:tcMar>
          </w:tcPr>
          <w:p>
            <w:r>
              <w:t xml:space="preserve">Línea gratuita de asesoramiento, mesa de mediación entre deudores y acreedores, y protección frente a la cobranza abusiva.</w:t>
            </w:r>
          </w:p>
        </w:tc>
        <w:tc>
          <w:tcPr>
            <w:tcW w:type="dxa" w:w="1700"/>
            <w:tcBorders>
              <w:top w:val="single" w:color="DCDCD6" w:sz="4"/>
              <w:left w:val="single" w:color="DCDCD6" w:sz="4"/>
              <w:bottom w:val="single" w:color="DCDCD6" w:sz="4"/>
              <w:right w:val="single" w:color="DCDCD6" w:sz="4"/>
            </w:tcBorders>
            <w:tcMar>
              <w:top w:type="dxa" w:w="80"/>
              <w:left w:type="dxa" w:w="100"/>
              <w:bottom w:type="dxa" w:w="80"/>
              <w:right w:type="dxa" w:w="100"/>
            </w:tcMar>
          </w:tcPr>
          <w:p>
            <w:r>
              <w:t xml:space="preserve">Presentado.</w:t>
            </w:r>
          </w:p>
        </w:tc>
      </w:tr>
    </w:tbl>
    <w:p>
      <w:pPr>
        <w:spacing w:after="120" w:before="160"/>
      </w:pPr>
      <w:r>
        <w:t xml:space="preserve">La reforma constitucional santafesina de 2025 incorporó la protección frente a las prácticas abusivas y el sobreendeudamiento, y es el respaldo que invoca el Código. Un estudio del Centro DEMOS citado en la presentación del proyecto estima que 6 de cada 10 santafesinos tienen alguna deuda tomada.</w:t>
      </w:r>
    </w:p>
    <w:p>
      <w:pPr>
        <w:spacing w:after="100" w:before="240"/>
      </w:pPr>
      <w:r>
        <w:rPr>
          <w:b/>
          <w:bCs/>
          <w:color w:val="1D1F24"/>
          <w:sz w:val="26"/>
          <w:szCs w:val="26"/>
        </w:rPr>
        <w:t xml:space="preserve">A nivel nacional</w:t>
      </w:r>
    </w:p>
    <w:p>
      <w:pPr>
        <w:spacing w:after="120"/>
      </w:pPr>
      <w:r>
        <w:t xml:space="preserve">Las comisiones de Finanzas y de Defensa del Consumidor de Diputados abrieron una ronda de reuniones sobre morosidad de los hogares, con cerca de 50 proyectos en espera de consenso. Legisladores santafesinos llevaron allí el caso de la provincia.</w:t>
      </w:r>
    </w:p>
    <w:p>
      <w:pPr>
        <w:spacing w:after="100" w:before="240"/>
      </w:pPr>
      <w:r>
        <w:rPr>
          <w:b/>
          <w:bCs/>
          <w:color w:val="1D1F24"/>
          <w:sz w:val="26"/>
          <w:szCs w:val="26"/>
        </w:rPr>
        <w:t xml:space="preserve">Para tener en cuenta</w:t>
      </w:r>
    </w:p>
    <w:p>
      <w:pPr>
        <w:pStyle w:val="ListParagraph"/>
        <w:numPr>
          <w:ilvl w:val="0"/>
          <w:numId w:val="2"/>
        </w:numPr>
        <w:spacing w:after="80"/>
      </w:pPr>
      <w:r>
        <w:t xml:space="preserve">Revisamos el texto del Código; los otros dos proyectos, solo por notas de prensa. No verificamos el estado de cada expediente.</w:t>
      </w:r>
    </w:p>
    <w:p>
      <w:pPr>
        <w:pStyle w:val="ListParagraph"/>
        <w:numPr>
          <w:ilvl w:val="0"/>
          <w:numId w:val="2"/>
        </w:numPr>
        <w:spacing w:after="80"/>
      </w:pPr>
      <w:r>
        <w:t xml:space="preserve">Conviene confirmar con el Banco Santa Fe si el plan sigue abierto después del 30 de septiembre.</w:t>
      </w:r>
    </w:p>
    <w:p>
      <w:pPr>
        <w:spacing w:after="60" w:before="240"/>
      </w:pPr>
      <w:r>
        <w:rPr>
          <w:b/>
          <w:bCs/>
          <w:color w:val="767A83"/>
          <w:sz w:val="18"/>
          <w:szCs w:val="18"/>
        </w:rPr>
        <w:t xml:space="preserve">Fuentes</w:t>
      </w:r>
    </w:p>
    <w:p>
      <w:pPr>
        <w:spacing w:after="40"/>
      </w:pPr>
      <w:hyperlink w:history="1" r:id="rIdvgah3hnr2m60xcvvxz8qx">
        <w:r>
          <w:rPr>
            <w:rStyle w:val="Hyperlink"/>
            <w:sz w:val="18"/>
            <w:szCs w:val="18"/>
          </w:rPr>
          <w:t xml:space="preserve">El Litoral: Código de Protección de Consumidores y sobreendeudamiento</w:t>
        </w:r>
      </w:hyperlink>
    </w:p>
    <w:p>
      <w:pPr>
        <w:spacing w:after="40"/>
      </w:pPr>
      <w:hyperlink w:history="1" r:id="rIdptw8mvolbdvg0pohnr3ku">
        <w:r>
          <w:rPr>
            <w:rStyle w:val="Hyperlink"/>
            <w:sz w:val="18"/>
            <w:szCs w:val="18"/>
          </w:rPr>
          <w:t xml:space="preserve">Pausa: el sobreendeudamiento santafesino llegó al Congreso</w:t>
        </w:r>
      </w:hyperlink>
    </w:p>
    <w:p>
      <w:pPr>
        <w:spacing w:after="40"/>
      </w:pPr>
      <w:hyperlink w:history="1" r:id="rIdby4fxrhzob4yox6z9nbqr">
        <w:r>
          <w:rPr>
            <w:rStyle w:val="Hyperlink"/>
            <w:sz w:val="18"/>
            <w:szCs w:val="18"/>
          </w:rPr>
          <w:t xml:space="preserve">El Litoral: las provincias salen al rescate de las familias endeudadas</w:t>
        </w:r>
      </w:hyperlink>
    </w:p>
    <w:p>
      <w:pPr>
        <w:spacing w:after="40"/>
      </w:pPr>
      <w:hyperlink w:history="1" r:id="rIdvx3gsl0ichde4qd91mkoi">
        <w:r>
          <w:rPr>
            <w:rStyle w:val="Hyperlink"/>
            <w:sz w:val="18"/>
            <w:szCs w:val="18"/>
          </w:rPr>
          <w:t xml:space="preserve">Infocielo: ley para refinanciar deudas de familias</w:t>
        </w:r>
      </w:hyperlink>
    </w:p>
    <w:p>
      <w:pPr>
        <w:spacing w:after="40"/>
      </w:pPr>
      <w:hyperlink w:history="1" r:id="rIdyucv5qtlzkwpybfxhranp">
        <w:r>
          <w:rPr>
            <w:rStyle w:val="Hyperlink"/>
            <w:sz w:val="18"/>
            <w:szCs w:val="18"/>
          </w:rPr>
          <w:t xml:space="preserve">Parlamentario: asistencia a familias sobreendeudadas y contra la cobranza abusiva</w:t>
        </w:r>
      </w:hyperlink>
    </w:p>
    <w:p>
      <w:pPr>
        <w:spacing w:after="40"/>
      </w:pPr>
      <w:hyperlink w:history="1" r:id="rIdc6cj2gpdngns-dgmbcy0x">
        <w:r>
          <w:rPr>
            <w:rStyle w:val="Hyperlink"/>
            <w:sz w:val="18"/>
            <w:szCs w:val="18"/>
          </w:rPr>
          <w:t xml:space="preserve">La Capital: Banco Santa Fe ofrece hasta 60 cuotas y tasas preferenciales</w:t>
        </w:r>
      </w:hyperlink>
    </w:p>
    <w:p>
      <w:pPr>
        <w:spacing w:after="40"/>
      </w:pPr>
      <w:hyperlink w:history="1" r:id="rIdwpblvlw0siwzww_9jl52g">
        <w:r>
          <w:rPr>
            <w:rStyle w:val="Hyperlink"/>
            <w:sz w:val="18"/>
            <w:szCs w:val="18"/>
          </w:rPr>
          <w:t xml:space="preserve">Gobierno de Santa Fe: noticia oficial del plan</w:t>
        </w:r>
      </w:hyperlink>
    </w:p>
    <w:sectPr>
      <w:pgSz w:w="11906" w:h="16838" w:orient="portrait"/>
      <w:pgMar w:top="720" w:right="1440" w:bottom="72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D1F24"/>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vgah3hnr2m60xcvvxz8qx" Type="http://schemas.openxmlformats.org/officeDocument/2006/relationships/hyperlink" Target="https://www.ellitoral.com/politica/codigo-proteccion-consumidores-usuarios-gisel-mahmud-sobreendeudamiento-santa-fe-fundacion-demos-proyecto-ley-educacion-financiera_0_RWClVOQkFE.html" TargetMode="External"/><Relationship Id="rIdptw8mvolbdvg0pohnr3ku" Type="http://schemas.openxmlformats.org/officeDocument/2006/relationships/hyperlink" Target="https://www.pausa.com.ar/2026/09/mahmud-llevo-al-congreso-nacional-la-problematica-del-sobreendeudamiento-de-las-familias-santafesinas/" TargetMode="External"/><Relationship Id="rIdby4fxrhzob4yox6z9nbqr" Type="http://schemas.openxmlformats.org/officeDocument/2006/relationships/hyperlink" Target="https://www.ellitoral.com/politica/morosidad-sobreendeudamiento-proyectos-congreso-santa-fe_0_gPSpDGDPKs.html" TargetMode="External"/><Relationship Id="rIdvx3gsl0ichde4qd91mkoi" Type="http://schemas.openxmlformats.org/officeDocument/2006/relationships/hyperlink" Target="https://www.infocielo.com/santa-fe/sobreendeudamiento-impulsan-en-santa-fe-una-ley-para-refinanciar-deudas-de-familias" TargetMode="External"/><Relationship Id="rIdyucv5qtlzkwpybfxhranp" Type="http://schemas.openxmlformats.org/officeDocument/2006/relationships/hyperlink" Target="https://www.parlamentario.com/2026/08/20/santa-fe-impulsan-un-sistema-de-asistencia-para-familias-sobreendeudadas-y-contra-las-cobranzas-abusivas/" TargetMode="External"/><Relationship Id="rIdc6cj2gpdngns-dgmbcy0x" Type="http://schemas.openxmlformats.org/officeDocument/2006/relationships/hyperlink" Target="https://www.lacapital.com.ar/economia/plan-desendeudamiento-provincial-el-banco-santa-fe-ofrece-60-cuotas-y-tasas-preferenciales-n10259697.html" TargetMode="External"/><Relationship Id="rIdwpblvlw0siwzww_9jl52g" Type="http://schemas.openxmlformats.org/officeDocument/2006/relationships/hyperlink" Target="https://www.santafe.gob.ar/noticias/noticia/286994/" TargetMode="External"/><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Santa Fe frente al sobreendeudamiento</dc:title>
  <dc:creator>Fundar</dc:creator>
  <cp:lastModifiedBy>Un-named</cp:lastModifiedBy>
  <cp:revision>1</cp:revision>
  <dcterms:created xsi:type="dcterms:W3CDTF">2026-10-19T14:04:33.368Z</dcterms:created>
  <dcterms:modified xsi:type="dcterms:W3CDTF">2026-10-19T14:04:33.368Z</dcterms:modified>
</cp:coreProperties>
</file>

<file path=docProps/custom.xml><?xml version="1.0" encoding="utf-8"?>
<Properties xmlns="http://schemas.openxmlformats.org/officeDocument/2006/custom-properties" xmlns:vt="http://schemas.openxmlformats.org/officeDocument/2006/docPropsVTypes"/>
</file>