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2857500" cy="507248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7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2857500" cy="507248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7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 app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Choose preferences.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Sync folder path is the place incoming folders will be stored.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My folder path is the folder that will be sent to other devices.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Start time is the time the sync will start, it should be the same on all devices in a specific location.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Max sync duration is the time in which the controller will abort the sync, even if not all devices synced.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Alarm Cycle is the cycle of the sync, which default to one 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Sync test folder, if checked will sync the auto created test folder, and not the "my folder" (from 3).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After setting the preferences, you can select the start alarm (from the options menu), and the sync will run on the device daily (or according to the set Alam cycle).</w:t>
      </w: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Sync app .png" id="2" name="image04.png"/>
            <a:graphic>
              <a:graphicData uri="http://schemas.openxmlformats.org/drawingml/2006/picture">
                <pic:pic>
                  <pic:nvPicPr>
                    <pic:cNvPr descr="Sync app 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