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t>Документ</w:t>
            </w:r>
          </w:p>
        </w:tc>
        <w:tc>
          <w:tcPr>
            <w:tcW w:type="dxa" w:w="7285"/>
          </w:tcPr>
          <w:p>
            <w:r>
              <w:t>Правила оптимизации планирования экипажей</w:t>
            </w:r>
          </w:p>
        </w:tc>
      </w:tr>
      <w:tr>
        <w:tc>
          <w:tcPr>
            <w:tcW w:type="dxa" w:w="7285"/>
          </w:tcPr>
          <w:p>
            <w:r>
              <w:t>Авиакомпания</w:t>
            </w:r>
          </w:p>
        </w:tc>
        <w:tc>
          <w:tcPr>
            <w:tcW w:type="dxa" w:w="7285"/>
          </w:tcPr>
          <w:p>
            <w:r>
              <w:t>«Полярис» (PLR)</w:t>
            </w:r>
          </w:p>
        </w:tc>
      </w:tr>
      <w:tr>
        <w:tc>
          <w:tcPr>
            <w:tcW w:type="dxa" w:w="7285"/>
          </w:tcPr>
          <w:p>
            <w:r>
              <w:t>Версия</w:t>
            </w:r>
          </w:p>
        </w:tc>
        <w:tc>
          <w:tcPr>
            <w:tcW w:type="dxa" w:w="7285"/>
          </w:tcPr>
          <w:p>
            <w:r>
              <w:t>1.0</w:t>
            </w:r>
          </w:p>
        </w:tc>
      </w:tr>
      <w:tr>
        <w:tc>
          <w:tcPr>
            <w:tcW w:type="dxa" w:w="7285"/>
          </w:tcPr>
          <w:p>
            <w:r>
              <w:t>Дата</w:t>
            </w:r>
          </w:p>
        </w:tc>
        <w:tc>
          <w:tcPr>
            <w:tcW w:type="dxa" w:w="7285"/>
          </w:tcPr>
          <w:p>
            <w:r>
              <w:t>01.08.2026</w:t>
            </w:r>
          </w:p>
        </w:tc>
      </w:tr>
      <w:tr>
        <w:tc>
          <w:tcPr>
            <w:tcW w:type="dxa" w:w="7285"/>
          </w:tcPr>
          <w:p>
            <w:r>
              <w:t>Подразделение</w:t>
            </w:r>
          </w:p>
        </w:tc>
        <w:tc>
          <w:tcPr>
            <w:tcW w:type="dxa" w:w="7285"/>
          </w:tcPr>
          <w:p>
            <w:r>
              <w:t>Отдел планирования экипажей</w:t>
            </w:r>
          </w:p>
        </w:tc>
      </w:tr>
    </w:tbl>
    <w:p>
      <w:pPr>
        <w:pStyle w:val="Heading2"/>
      </w:pPr>
      <w:r>
        <w:t>Правила оптимизации планирования экипажей авиакомпании «Полярис»</w:t>
      </w:r>
    </w:p>
    <w:p>
      <w:pPr>
        <w:pStyle w:val="Heading2"/>
      </w:pPr>
      <w:r>
        <w:t>Раздел 1. Общие положения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1.1</w:t>
            </w:r>
          </w:p>
        </w:tc>
        <w:tc>
          <w:tcPr>
            <w:tcW w:type="dxa" w:w="2428"/>
          </w:tcPr>
          <w:p>
            <w:r>
              <w:t>Полётная смена</w:t>
            </w:r>
          </w:p>
        </w:tc>
        <w:tc>
          <w:tcPr>
            <w:tcW w:type="dxa" w:w="2428"/>
          </w:tcPr>
          <w:p>
            <w:r>
              <w:t>Под полётной сменой понимается период от времени явки члена экипажа на брифинг до момента окончания послеполётных работ.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1.2</w:t>
            </w:r>
          </w:p>
        </w:tc>
        <w:tc>
          <w:tcPr>
            <w:tcW w:type="dxa" w:w="2428"/>
          </w:tcPr>
          <w:p>
            <w:r>
              <w:t>Базы приписки</w:t>
            </w:r>
          </w:p>
        </w:tc>
        <w:tc>
          <w:tcPr>
            <w:tcW w:type="dxa" w:w="2428"/>
          </w:tcPr>
          <w:p>
            <w:r>
              <w:t>Экипажи приписаны к базам Северогорск (SVG), Полярный (PLY) и Гранитный (GRT). Главной базой авиакомпании является Полярный.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SVG, PLY, GRT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1.3</w:t>
            </w:r>
          </w:p>
        </w:tc>
        <w:tc>
          <w:tcPr>
            <w:tcW w:type="dxa" w:w="2428"/>
          </w:tcPr>
          <w:p>
            <w:r>
              <w:t>Состав экипажа</w:t>
            </w:r>
          </w:p>
        </w:tc>
        <w:tc>
          <w:tcPr>
            <w:tcW w:type="dxa" w:w="2428"/>
          </w:tcPr>
          <w:p>
            <w:r>
              <w:t>В состав экипажа полётной смены входят два пилота.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2 пилота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2. Полётные смены, стыковки и отдых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2.1</w:t>
            </w:r>
          </w:p>
        </w:tc>
        <w:tc>
          <w:tcPr>
            <w:tcW w:type="dxa" w:w="2428"/>
          </w:tcPr>
          <w:p>
            <w:r>
              <w:t>Предельная продолжительность смены</w:t>
            </w:r>
          </w:p>
        </w:tc>
        <w:tc>
          <w:tcPr>
            <w:tcW w:type="dxa" w:w="2428"/>
          </w:tcPr>
          <w:p>
            <w:r>
              <w:t>Продолжительность полётной смены не должна превышать 12 часов 00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>
              <w:t>продление — см. следующий пункт</w:t>
            </w:r>
          </w:p>
        </w:tc>
      </w:tr>
      <w:tr>
        <w:tc>
          <w:tcPr>
            <w:tcW w:type="dxa" w:w="2428"/>
          </w:tcPr>
          <w:p>
            <w:r>
              <w:t>2.2</w:t>
            </w:r>
          </w:p>
        </w:tc>
        <w:tc>
          <w:tcPr>
            <w:tcW w:type="dxa" w:w="2428"/>
          </w:tcPr>
          <w:p>
            <w:r>
              <w:t>Число посадок за смену</w:t>
            </w:r>
          </w:p>
        </w:tc>
        <w:tc>
          <w:tcPr>
            <w:tcW w:type="dxa" w:w="2428"/>
          </w:tcPr>
          <w:p>
            <w:r>
              <w:t>Количество посадок в пределах одной полётной смены — как правило, не более шести.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6</w:t>
            </w:r>
          </w:p>
        </w:tc>
        <w:tc>
          <w:tcPr>
            <w:tcW w:type="dxa" w:w="2428"/>
          </w:tcPr>
          <w:p>
            <w:r>
              <w:t>короткие плечи</w:t>
            </w:r>
          </w:p>
        </w:tc>
      </w:tr>
      <w:tr>
        <w:tc>
          <w:tcPr>
            <w:tcW w:type="dxa" w:w="2428"/>
          </w:tcPr>
          <w:p>
            <w:r>
              <w:t>2.3</w:t>
            </w:r>
          </w:p>
        </w:tc>
        <w:tc>
          <w:tcPr>
            <w:tcW w:type="dxa" w:w="2428"/>
          </w:tcPr>
          <w:p>
            <w:r>
              <w:t>Явка на брифинг</w:t>
            </w:r>
          </w:p>
        </w:tc>
        <w:tc>
          <w:tcPr>
            <w:tcW w:type="dxa" w:w="2428"/>
          </w:tcPr>
          <w:p>
            <w:r>
              <w:t>Явка экипажа (check-in) назначается за 60 минут до планового вылета первого рейса смены; брифинг входит в полётную смену.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2.4</w:t>
            </w:r>
          </w:p>
        </w:tc>
        <w:tc>
          <w:tcPr>
            <w:tcW w:type="dxa" w:w="2428"/>
          </w:tcPr>
          <w:p>
            <w:r>
              <w:t>Стыковка в базе</w:t>
            </w:r>
          </w:p>
        </w:tc>
        <w:tc>
          <w:tcPr>
            <w:tcW w:type="dxa" w:w="2428"/>
          </w:tcPr>
          <w:p>
            <w:r>
              <w:t>Минимальное время между рейсами в аэропорту базы — 45 минут.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0:45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2.5</w:t>
            </w:r>
          </w:p>
        </w:tc>
        <w:tc>
          <w:tcPr>
            <w:tcW w:type="dxa" w:w="2428"/>
          </w:tcPr>
          <w:p>
            <w:r>
              <w:t>Отдых в базе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 базе приписки — не менее 12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12:00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2.6</w:t>
            </w:r>
          </w:p>
        </w:tc>
        <w:tc>
          <w:tcPr>
            <w:tcW w:type="dxa" w:w="2428"/>
          </w:tcPr>
          <w:p>
            <w:r>
              <w:t>Отдых вне базы</w:t>
            </w:r>
          </w:p>
        </w:tc>
        <w:tc>
          <w:tcPr>
            <w:tcW w:type="dxa" w:w="2428"/>
          </w:tcPr>
          <w:p>
            <w:r>
              <w:t>Продолжительность отдыха между полётными сменами во внебазововом аэропорту — не менее 10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2.7</w:t>
            </w:r>
          </w:p>
        </w:tc>
        <w:tc>
          <w:tcPr>
            <w:tcW w:type="dxa" w:w="2428"/>
          </w:tcPr>
          <w:p>
            <w:r>
              <w:t>Отдых после продлённой смены</w:t>
            </w:r>
          </w:p>
        </w:tc>
        <w:tc>
          <w:tcPr>
            <w:tcW w:type="dxa" w:w="2428"/>
          </w:tcPr>
          <w:p>
            <w:r>
              <w:t>После полётной смены продолжительностью свыше 12 часов предоставляется отдых не менее 14 часов согласно п. 9.4 настоящих Правил.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14:00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2.8</w:t>
            </w:r>
          </w:p>
        </w:tc>
        <w:tc>
          <w:tcPr>
            <w:tcW w:type="dxa" w:w="2428"/>
          </w:tcPr>
          <w:p>
            <w:r>
              <w:t>Дополнительно</w:t>
            </w:r>
          </w:p>
        </w:tc>
        <w:tc>
          <w:tcPr>
            <w:tcW w:type="dxa" w:w="2428"/>
          </w:tcPr>
          <w:p>
            <w:r>
              <w:t>Нормы предоставления питания экипажу в полёте устанавливаются приложением 2 к настоящим Правилам.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r>
              <w:t>2.9</w:t>
            </w:r>
          </w:p>
        </w:tc>
        <w:tc>
          <w:tcPr>
            <w:tcW w:type="dxa" w:w="2428"/>
          </w:tcPr>
          <w:p>
            <w:r>
              <w:t>Дополнительно</w:t>
            </w:r>
          </w:p>
        </w:tc>
        <w:tc>
          <w:tcPr>
            <w:tcW w:type="dxa" w:w="2428"/>
          </w:tcPr>
          <w:p>
            <w:r>
              <w:t>Напоминание: отдых между сменами в базе приписки — не менее 12 часов 30 минут.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>
      <w:pPr>
        <w:pStyle w:val="Heading2"/>
      </w:pPr>
      <w:r>
        <w:t>Раздел 3. Месячные нормы и ростер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3.1</w:t>
            </w:r>
          </w:p>
        </w:tc>
        <w:tc>
          <w:tcPr>
            <w:tcW w:type="dxa" w:w="2428"/>
          </w:tcPr>
          <w:p>
            <w:r>
              <w:t>Месячный налёт</w:t>
            </w:r>
          </w:p>
        </w:tc>
        <w:tc>
          <w:tcPr>
            <w:tcW w:type="dxa" w:w="2428"/>
          </w:tcPr>
          <w:p>
            <w:r>
              <w:t>Суммарный налёт члена экипажа за календарный месяц не должен превышать 90 часов.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90:00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3.2</w:t>
            </w:r>
          </w:p>
        </w:tc>
        <w:tc>
          <w:tcPr>
            <w:tcW w:type="dxa" w:w="2428"/>
          </w:tcPr>
          <w:p>
            <w:r>
              <w:t>Выходные дни</w:t>
            </w:r>
          </w:p>
        </w:tc>
        <w:tc>
          <w:tcPr>
            <w:tcW w:type="dxa" w:w="2428"/>
          </w:tcPr>
          <w:p>
            <w:r>
              <w:t>Число выходных дней в календарном месяце — не менее восьми.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8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3.3</w:t>
            </w:r>
          </w:p>
        </w:tc>
        <w:tc>
          <w:tcPr>
            <w:tcW w:type="dxa" w:w="2428"/>
          </w:tcPr>
          <w:p>
            <w:r>
              <w:t>Отпуск</w:t>
            </w:r>
          </w:p>
        </w:tc>
        <w:tc>
          <w:tcPr>
            <w:tcW w:type="dxa" w:w="2428"/>
          </w:tcPr>
          <w:p>
            <w:r>
              <w:t>Назначения не планируются на дни утверждённого отпуска.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3.4</w:t>
            </w:r>
          </w:p>
        </w:tc>
        <w:tc>
          <w:tcPr>
            <w:tcW w:type="dxa" w:w="2428"/>
          </w:tcPr>
          <w:p>
            <w:r>
              <w:t>Допуски</w:t>
            </w:r>
          </w:p>
        </w:tc>
        <w:tc>
          <w:tcPr>
            <w:tcW w:type="dxa" w:w="2428"/>
          </w:tcPr>
          <w:p>
            <w:r>
              <w:t>Член экипажа назначается на рейс только при действующем допуске на тип воздушного судна.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—</w:t>
            </w:r>
          </w:p>
        </w:tc>
        <w:tc>
          <w:tcPr>
            <w:tcW w:type="dxa" w:w="2428"/>
          </w:tcPr>
          <w:p>
            <w:r/>
          </w:p>
        </w:tc>
      </w:tr>
      <w:tr>
        <w:tc>
          <w:tcPr>
            <w:tcW w:type="dxa" w:w="2428"/>
          </w:tcPr>
          <w:p>
            <w:r>
              <w:t>3.5</w:t>
            </w:r>
          </w:p>
        </w:tc>
        <w:tc>
          <w:tcPr>
            <w:tcW w:type="dxa" w:w="2428"/>
          </w:tcPr>
          <w:p>
            <w:r>
              <w:t>Справедливость кредита</w:t>
            </w:r>
          </w:p>
        </w:tc>
        <w:tc>
          <w:tcPr>
            <w:tcW w:type="dxa" w:w="2428"/>
          </w:tcPr>
          <w:p>
            <w:r>
              <w:t>Разброс кредитных часов между членами экипажа одной базы подлежит минимизации; вес критерия — 3.</w:t>
            </w:r>
          </w:p>
        </w:tc>
        <w:tc>
          <w:tcPr>
            <w:tcW w:type="dxa" w:w="2428"/>
          </w:tcPr>
          <w:p>
            <w:r>
              <w:t>мягкое</w:t>
            </w:r>
          </w:p>
        </w:tc>
        <w:tc>
          <w:tcPr>
            <w:tcW w:type="dxa" w:w="2428"/>
          </w:tcPr>
          <w:p>
            <w:r>
              <w:t>вес 3</w:t>
            </w:r>
          </w:p>
        </w:tc>
        <w:tc>
          <w:tcPr>
            <w:tcW w:type="dxa" w:w="2428"/>
          </w:tcPr>
          <w:p>
            <w:r/>
          </w:p>
        </w:tc>
      </w:tr>
    </w:tbl>
    <w:p>
      <w:pPr>
        <w:pStyle w:val="Heading2"/>
      </w:pPr>
      <w:r>
        <w:t>Раздел 4. Резерв и оплата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r>
              <w:t>№</w:t>
            </w:r>
          </w:p>
        </w:tc>
        <w:tc>
          <w:tcPr>
            <w:tcW w:type="dxa" w:w="2428"/>
          </w:tcPr>
          <w:p>
            <w:r>
              <w:t>Наименование</w:t>
            </w:r>
          </w:p>
        </w:tc>
        <w:tc>
          <w:tcPr>
            <w:tcW w:type="dxa" w:w="2428"/>
          </w:tcPr>
          <w:p>
            <w:r>
              <w:t>Формулировка</w:t>
            </w:r>
          </w:p>
        </w:tc>
        <w:tc>
          <w:tcPr>
            <w:tcW w:type="dxa" w:w="2428"/>
          </w:tcPr>
          <w:p>
            <w:r>
              <w:t>Характер</w:t>
            </w:r>
          </w:p>
        </w:tc>
        <w:tc>
          <w:tcPr>
            <w:tcW w:type="dxa" w:w="2428"/>
          </w:tcPr>
          <w:p>
            <w:r>
              <w:t>Значение</w:t>
            </w:r>
          </w:p>
        </w:tc>
        <w:tc>
          <w:tcPr>
            <w:tcW w:type="dxa" w:w="2428"/>
          </w:tcPr>
          <w:p>
            <w:r>
              <w:t>Примечание</w:t>
            </w:r>
          </w:p>
        </w:tc>
      </w:tr>
      <w:tr>
        <w:tc>
          <w:tcPr>
            <w:tcW w:type="dxa" w:w="2428"/>
          </w:tcPr>
          <w:p>
            <w:r>
              <w:t>4.1</w:t>
            </w:r>
          </w:p>
        </w:tc>
        <w:tc>
          <w:tcPr>
            <w:tcW w:type="dxa" w:w="2428"/>
          </w:tcPr>
          <w:p>
            <w:r>
              <w:t>Норма резерва</w:t>
            </w:r>
          </w:p>
        </w:tc>
        <w:tc>
          <w:tcPr>
            <w:tcW w:type="dxa" w:w="2428"/>
          </w:tcPr>
          <w:p>
            <w:r>
              <w:t>Ежедневно в резерве находятся: в Полярном — не менее двух экипажей, в Северогорске и Гранитном — не менее одного.</w:t>
            </w:r>
          </w:p>
        </w:tc>
        <w:tc>
          <w:tcPr>
            <w:tcW w:type="dxa" w:w="2428"/>
          </w:tcPr>
          <w:p>
            <w:r>
              <w:t>жёсткое</w:t>
            </w:r>
          </w:p>
        </w:tc>
        <w:tc>
          <w:tcPr>
            <w:tcW w:type="dxa" w:w="2428"/>
          </w:tcPr>
          <w:p>
            <w:r>
              <w:t>PLY 2; SVG 1; GRT 1</w:t>
            </w:r>
          </w:p>
        </w:tc>
        <w:tc>
          <w:tcPr>
            <w:tcW w:type="dxa" w:w="2428"/>
          </w:tcPr>
          <w:p>
            <w:r/>
          </w:p>
        </w:tc>
      </w:tr>
    </w:tbl>
    <w:sectPr w:rsidR="00FC693F" w:rsidRPr="0006063C" w:rsidSect="00034616">
      <w:pgSz w:w="16838" w:h="11906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