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t>Документ</w:t>
            </w:r>
          </w:p>
        </w:tc>
        <w:tc>
          <w:tcPr>
            <w:tcW w:type="dxa" w:w="7285"/>
          </w:tcPr>
          <w:p>
            <w:r>
              <w:t>Правила оптимизации планирования экипажей</w:t>
            </w:r>
          </w:p>
        </w:tc>
      </w:tr>
      <w:tr>
        <w:tc>
          <w:tcPr>
            <w:tcW w:type="dxa" w:w="7285"/>
          </w:tcPr>
          <w:p>
            <w:r>
              <w:t>Авиакомпания</w:t>
            </w:r>
          </w:p>
        </w:tc>
        <w:tc>
          <w:tcPr>
            <w:tcW w:type="dxa" w:w="7285"/>
          </w:tcPr>
          <w:p>
            <w:r>
              <w:t>«Полярис» (PLR)</w:t>
            </w:r>
          </w:p>
        </w:tc>
      </w:tr>
      <w:tr>
        <w:tc>
          <w:tcPr>
            <w:tcW w:type="dxa" w:w="7285"/>
          </w:tcPr>
          <w:p>
            <w:r>
              <w:t>Версия</w:t>
            </w:r>
          </w:p>
        </w:tc>
        <w:tc>
          <w:tcPr>
            <w:tcW w:type="dxa" w:w="7285"/>
          </w:tcPr>
          <w:p>
            <w:r>
              <w:t>1.0</w:t>
            </w:r>
          </w:p>
        </w:tc>
      </w:tr>
      <w:tr>
        <w:tc>
          <w:tcPr>
            <w:tcW w:type="dxa" w:w="7285"/>
          </w:tcPr>
          <w:p>
            <w:r>
              <w:t>Дата</w:t>
            </w:r>
          </w:p>
        </w:tc>
        <w:tc>
          <w:tcPr>
            <w:tcW w:type="dxa" w:w="7285"/>
          </w:tcPr>
          <w:p>
            <w:r>
              <w:t>01.08.2026</w:t>
            </w:r>
          </w:p>
        </w:tc>
      </w:tr>
      <w:tr>
        <w:tc>
          <w:tcPr>
            <w:tcW w:type="dxa" w:w="7285"/>
          </w:tcPr>
          <w:p>
            <w:r>
              <w:t>Подразделение</w:t>
            </w:r>
          </w:p>
        </w:tc>
        <w:tc>
          <w:tcPr>
            <w:tcW w:type="dxa" w:w="7285"/>
          </w:tcPr>
          <w:p>
            <w:r>
              <w:t>Отдел планирования экипажей</w:t>
            </w:r>
          </w:p>
        </w:tc>
      </w:tr>
    </w:tbl>
    <w:p>
      <w:pPr>
        <w:pStyle w:val="Heading2"/>
      </w:pPr>
      <w:r>
        <w:t>Правила оптимизации планирования экипажей авиакомпании «Полярис»</w:t>
      </w:r>
    </w:p>
    <w:p>
      <w:pPr>
        <w:pStyle w:val="Heading2"/>
      </w:pPr>
      <w:r>
        <w:t>Раздел 1. Общие положения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1.1</w:t>
            </w:r>
          </w:p>
        </w:tc>
        <w:tc>
          <w:tcPr>
            <w:tcW w:type="dxa" w:w="2428"/>
          </w:tcPr>
          <w:p>
            <w:r>
              <w:t>Базы приписки</w:t>
            </w:r>
          </w:p>
        </w:tc>
        <w:tc>
          <w:tcPr>
            <w:tcW w:type="dxa" w:w="2428"/>
          </w:tcPr>
          <w:p>
            <w:r>
              <w:t>Экипажи приписаны к базам Северогорск (SVG), Полярный (PLY) и Гранитный (GRT). Главной базой авиакомпании является Полярный.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SVG, PLY, GRT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1.2</w:t>
            </w:r>
          </w:p>
        </w:tc>
        <w:tc>
          <w:tcPr>
            <w:tcW w:type="dxa" w:w="2428"/>
          </w:tcPr>
          <w:p>
            <w:r>
              <w:t>Состав экипажа</w:t>
            </w:r>
          </w:p>
        </w:tc>
        <w:tc>
          <w:tcPr>
            <w:tcW w:type="dxa" w:w="2428"/>
          </w:tcPr>
          <w:p>
            <w:r>
              <w:t>В состав экипажа полётной смены входят два пилота.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 пилота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2. Полётные смены, стыковки и отдых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2.1</w:t>
            </w:r>
          </w:p>
        </w:tc>
        <w:tc>
          <w:tcPr>
            <w:tcW w:type="dxa" w:w="2428"/>
          </w:tcPr>
          <w:p>
            <w:r>
              <w:t>Предельная продолжительность смены</w:t>
            </w:r>
          </w:p>
        </w:tc>
        <w:tc>
          <w:tcPr>
            <w:tcW w:type="dxa" w:w="2428"/>
          </w:tcPr>
          <w:p>
            <w:r>
              <w:t>Продолжительность полётной смены не должна превышать 12 часов 00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>
              <w:t>продление — см. следующий пункт</w:t>
            </w:r>
          </w:p>
        </w:tc>
      </w:tr>
      <w:tr>
        <w:tc>
          <w:tcPr>
            <w:tcW w:type="dxa" w:w="2428"/>
          </w:tcPr>
          <w:p>
            <w:r>
              <w:t>2.2</w:t>
            </w:r>
          </w:p>
        </w:tc>
        <w:tc>
          <w:tcPr>
            <w:tcW w:type="dxa" w:w="2428"/>
          </w:tcPr>
          <w:p>
            <w:r>
              <w:t>Число посадок за смену</w:t>
            </w:r>
          </w:p>
        </w:tc>
        <w:tc>
          <w:tcPr>
            <w:tcW w:type="dxa" w:w="2428"/>
          </w:tcPr>
          <w:p>
            <w:r>
              <w:t>Количество посадок в пределах одной полётной смены — как правило, не более шести.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6</w:t>
            </w:r>
          </w:p>
        </w:tc>
        <w:tc>
          <w:tcPr>
            <w:tcW w:type="dxa" w:w="2428"/>
          </w:tcPr>
          <w:p>
            <w:r>
              <w:t>короткие плечи</w:t>
            </w:r>
          </w:p>
        </w:tc>
      </w:tr>
      <w:tr>
        <w:tc>
          <w:tcPr>
            <w:tcW w:type="dxa" w:w="2428"/>
          </w:tcPr>
          <w:p>
            <w:r>
              <w:t>2.3</w:t>
            </w:r>
          </w:p>
        </w:tc>
        <w:tc>
          <w:tcPr>
            <w:tcW w:type="dxa" w:w="2428"/>
          </w:tcPr>
          <w:p>
            <w:r>
              <w:t>Стыковка в базе</w:t>
            </w:r>
          </w:p>
        </w:tc>
        <w:tc>
          <w:tcPr>
            <w:tcW w:type="dxa" w:w="2428"/>
          </w:tcPr>
          <w:p>
            <w:r>
              <w:t>Минимальное время между рейсами в аэропорту базы — 45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0:45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2.4</w:t>
            </w:r>
          </w:p>
        </w:tc>
        <w:tc>
          <w:tcPr>
            <w:tcW w:type="dxa" w:w="2428"/>
          </w:tcPr>
          <w:p>
            <w:r>
              <w:t>Отдых в базе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 базе приписки — не менее 12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2.5</w:t>
            </w:r>
          </w:p>
        </w:tc>
        <w:tc>
          <w:tcPr>
            <w:tcW w:type="dxa" w:w="2428"/>
          </w:tcPr>
          <w:p>
            <w:r>
              <w:t>Отдых вне базы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во внебазововом аэропорту — не менее 10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2.6</w:t>
            </w:r>
          </w:p>
        </w:tc>
        <w:tc>
          <w:tcPr>
            <w:tcW w:type="dxa" w:w="2428"/>
          </w:tcPr>
          <w:p>
            <w:r>
              <w:t>Ночи вне базы</w:t>
            </w:r>
          </w:p>
        </w:tc>
        <w:tc>
          <w:tcPr>
            <w:tcW w:type="dxa" w:w="2428"/>
          </w:tcPr>
          <w:p>
            <w:r>
              <w:t>Ночёвки вне базы приписки нежелательны: за каждую ночь вне базы планировщику начисляется штраф; величина штрафа настоящими документами не установлена.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2.7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Напоминание: отдых между сменами в базе приписки — не менее 12 часов 30 минут.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>
      <w:pPr>
        <w:pStyle w:val="Heading2"/>
      </w:pPr>
      <w:r>
        <w:t>Раздел 3. Месячные нормы и ростер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3.1</w:t>
            </w:r>
          </w:p>
        </w:tc>
        <w:tc>
          <w:tcPr>
            <w:tcW w:type="dxa" w:w="2428"/>
          </w:tcPr>
          <w:p>
            <w:r>
              <w:t>Справедливость кредита</w:t>
            </w:r>
          </w:p>
        </w:tc>
        <w:tc>
          <w:tcPr>
            <w:tcW w:type="dxa" w:w="2428"/>
          </w:tcPr>
          <w:p>
            <w:r>
              <w:t>Кредитные часы желательно распределять между членами экипажа одной базы равномерно; за существенный разброс начисляется штраф, величина которого настоящими документами не установлена.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4. Резерв и оплата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4.1</w:t>
            </w:r>
          </w:p>
        </w:tc>
        <w:tc>
          <w:tcPr>
            <w:tcW w:type="dxa" w:w="2428"/>
          </w:tcPr>
          <w:p>
            <w:r>
              <w:t>Норма резерва</w:t>
            </w:r>
          </w:p>
        </w:tc>
        <w:tc>
          <w:tcPr>
            <w:tcW w:type="dxa" w:w="2428"/>
          </w:tcPr>
          <w:p>
            <w:r>
              <w:t>Ежедневно в резерве находятся: в Полярном — не менее двух экипажей, в Северогорске и Гранитном — не менее одного.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PLY 2; SVG 1; GRT 1</w:t>
            </w:r>
          </w:p>
        </w:tc>
        <w:tc>
          <w:tcPr>
            <w:tcW w:type="dxa" w:w="2428"/>
          </w:tcPr>
          <w:p>
            <w:r/>
          </w:p>
        </w:tc>
      </w:tr>
    </w:tbl>
    <w:sectPr w:rsidR="00FC693F" w:rsidRPr="0006063C" w:rsidSect="00034616">
      <w:pgSz w:w="16838" w:h="11906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