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t>Документ</w:t>
            </w:r>
          </w:p>
        </w:tc>
        <w:tc>
          <w:tcPr>
            <w:tcW w:type="dxa" w:w="7285"/>
          </w:tcPr>
          <w:p>
            <w:r>
              <w:t>Правила оптимизации планирования экипажей</w:t>
            </w:r>
          </w:p>
        </w:tc>
      </w:tr>
      <w:tr>
        <w:tc>
          <w:tcPr>
            <w:tcW w:type="dxa" w:w="7285"/>
          </w:tcPr>
          <w:p>
            <w:r>
              <w:t>Авиакомпания</w:t>
            </w:r>
          </w:p>
        </w:tc>
        <w:tc>
          <w:tcPr>
            <w:tcW w:type="dxa" w:w="7285"/>
          </w:tcPr>
          <w:p>
            <w:r>
              <w:t>«Полярис» (PLR)</w:t>
            </w:r>
          </w:p>
        </w:tc>
      </w:tr>
      <w:tr>
        <w:tc>
          <w:tcPr>
            <w:tcW w:type="dxa" w:w="7285"/>
          </w:tcPr>
          <w:p>
            <w:r>
              <w:t>Версия</w:t>
            </w:r>
          </w:p>
        </w:tc>
        <w:tc>
          <w:tcPr>
            <w:tcW w:type="dxa" w:w="7285"/>
          </w:tcPr>
          <w:p>
            <w:r>
              <w:t>1.0</w:t>
            </w:r>
          </w:p>
        </w:tc>
      </w:tr>
      <w:tr>
        <w:tc>
          <w:tcPr>
            <w:tcW w:type="dxa" w:w="7285"/>
          </w:tcPr>
          <w:p>
            <w:r>
              <w:t>Дата</w:t>
            </w:r>
          </w:p>
        </w:tc>
        <w:tc>
          <w:tcPr>
            <w:tcW w:type="dxa" w:w="7285"/>
          </w:tcPr>
          <w:p>
            <w:r>
              <w:t>01.08.2026</w:t>
            </w:r>
          </w:p>
        </w:tc>
      </w:tr>
      <w:tr>
        <w:tc>
          <w:tcPr>
            <w:tcW w:type="dxa" w:w="7285"/>
          </w:tcPr>
          <w:p>
            <w:r>
              <w:t>Подразделение</w:t>
            </w:r>
          </w:p>
        </w:tc>
        <w:tc>
          <w:tcPr>
            <w:tcW w:type="dxa" w:w="7285"/>
          </w:tcPr>
          <w:p>
            <w:r>
              <w:t>Отдел планирования экипажей</w:t>
            </w:r>
          </w:p>
        </w:tc>
      </w:tr>
    </w:tbl>
    <w:p>
      <w:pPr>
        <w:pStyle w:val="Heading2"/>
      </w:pPr>
      <w:r>
        <w:t>Правила оптимизации планирования экипажей авиакомпании «Полярис»</w:t>
      </w:r>
    </w:p>
    <w:p>
      <w:pPr>
        <w:pStyle w:val="Heading2"/>
      </w:pPr>
      <w:r>
        <w:t>Раздел 1. Общие положения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1.1</w:t>
            </w:r>
          </w:p>
        </w:tc>
        <w:tc>
          <w:tcPr>
            <w:tcW w:type="dxa" w:w="2428"/>
          </w:tcPr>
          <w:p>
            <w:r>
              <w:t>Полётная смена</w:t>
            </w:r>
          </w:p>
        </w:tc>
        <w:tc>
          <w:tcPr>
            <w:tcW w:type="dxa" w:w="2428"/>
          </w:tcPr>
          <w:p>
            <w:r>
              <w:t>Под полётной сменой понимается период от времени явки члена экипажа на брифинг до момента окончания послеполётных работ.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1.2</w:t>
            </w:r>
          </w:p>
        </w:tc>
        <w:tc>
          <w:tcPr>
            <w:tcW w:type="dxa" w:w="2428"/>
          </w:tcPr>
          <w:p>
            <w:r>
              <w:t>Кредитный час</w:t>
            </w:r>
          </w:p>
        </w:tc>
        <w:tc>
          <w:tcPr>
            <w:tcW w:type="dxa" w:w="2428"/>
          </w:tcPr>
          <w:p>
            <w:r>
              <w:t>Кредитные часы начисляются по наибольшей из двух величин: фактический налёт либо гарантия полётной смены.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>
              <w:t>см. также раздел 4</w:t>
            </w:r>
          </w:p>
        </w:tc>
      </w:tr>
      <w:tr>
        <w:tc>
          <w:tcPr>
            <w:tcW w:type="dxa" w:w="2428"/>
          </w:tcPr>
          <w:p>
            <w:r>
              <w:t>1.3</w:t>
            </w:r>
          </w:p>
        </w:tc>
        <w:tc>
          <w:tcPr>
            <w:tcW w:type="dxa" w:w="2428"/>
          </w:tcPr>
          <w:p>
            <w:r>
              <w:t>Базы приписки</w:t>
            </w:r>
          </w:p>
        </w:tc>
        <w:tc>
          <w:tcPr>
            <w:tcW w:type="dxa" w:w="2428"/>
          </w:tcPr>
          <w:p>
            <w:r>
              <w:t>Экипажи приписаны к базам Северогорск (SVG), Полярный (PLY) и Гранитный (GRT). Главной базой авиакомпании является Полярный.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SVG, PLY, GRT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1.4</w:t>
            </w:r>
          </w:p>
        </w:tc>
        <w:tc>
          <w:tcPr>
            <w:tcW w:type="dxa" w:w="2428"/>
          </w:tcPr>
          <w:p>
            <w:r>
              <w:t>Шкала времени</w:t>
            </w:r>
          </w:p>
        </w:tc>
        <w:tc>
          <w:tcPr>
            <w:tcW w:type="dxa" w:w="2428"/>
          </w:tcPr>
          <w:p>
            <w:r>
              <w:t>Всё планирование ведётся по местному времени главной базы (PLY).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1.5</w:t>
            </w:r>
          </w:p>
        </w:tc>
        <w:tc>
          <w:tcPr>
            <w:tcW w:type="dxa" w:w="2428"/>
          </w:tcPr>
          <w:p>
            <w:r>
              <w:t>Горизонт планирования</w:t>
            </w:r>
          </w:p>
        </w:tc>
        <w:tc>
          <w:tcPr>
            <w:tcW w:type="dxa" w:w="2428"/>
          </w:tcPr>
          <w:p>
            <w:r>
              <w:t>Ростер составляется на календарный месяц.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 месяц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1.6</w:t>
            </w:r>
          </w:p>
        </w:tc>
        <w:tc>
          <w:tcPr>
            <w:tcW w:type="dxa" w:w="2428"/>
          </w:tcPr>
          <w:p>
            <w:r>
              <w:t>Парк воздушных судов</w:t>
            </w:r>
          </w:p>
        </w:tc>
        <w:tc>
          <w:tcPr>
            <w:tcW w:type="dxa" w:w="2428"/>
          </w:tcPr>
          <w:p>
            <w:r>
              <w:t>Полёты выполняются на воздушных судах одного типа — «Полярис-Р200».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Полярис-Р200</w:t>
            </w:r>
          </w:p>
        </w:tc>
        <w:tc>
          <w:tcPr>
            <w:tcW w:type="dxa" w:w="2428"/>
          </w:tcPr>
          <w:p>
            <w:r>
              <w:t>один тип — один допуск</w:t>
            </w:r>
          </w:p>
        </w:tc>
      </w:tr>
      <w:tr>
        <w:tc>
          <w:tcPr>
            <w:tcW w:type="dxa" w:w="2428"/>
          </w:tcPr>
          <w:p>
            <w:r>
              <w:t>1.7</w:t>
            </w:r>
          </w:p>
        </w:tc>
        <w:tc>
          <w:tcPr>
            <w:tcW w:type="dxa" w:w="2428"/>
          </w:tcPr>
          <w:p>
            <w:r>
              <w:t>Состав экипажа</w:t>
            </w:r>
          </w:p>
        </w:tc>
        <w:tc>
          <w:tcPr>
            <w:tcW w:type="dxa" w:w="2428"/>
          </w:tcPr>
          <w:p>
            <w:r>
              <w:t>В состав экипажа полётной смены входят два пилота.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 пилота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1.8</w:t>
            </w:r>
          </w:p>
        </w:tc>
        <w:tc>
          <w:tcPr>
            <w:tcW w:type="dxa" w:w="2428"/>
          </w:tcPr>
          <w:p>
            <w:r>
              <w:t>Перемещение экипажей</w:t>
            </w:r>
          </w:p>
        </w:tc>
        <w:tc>
          <w:tcPr>
            <w:tcW w:type="dxa" w:w="2428"/>
          </w:tcPr>
          <w:p>
            <w:r>
              <w:t>Перемещение экипажей между аэропортами допускается только рейсами собственного расписания; перегоны наземным транспортом не планируются.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1.9</w:t>
            </w:r>
          </w:p>
        </w:tc>
        <w:tc>
          <w:tcPr>
            <w:tcW w:type="dxa" w:w="2428"/>
          </w:tcPr>
          <w:p>
            <w:r>
              <w:t>Пассажирские перегоны на рейсе</w:t>
            </w:r>
          </w:p>
        </w:tc>
        <w:tc>
          <w:tcPr>
            <w:tcW w:type="dxa" w:w="2428"/>
          </w:tcPr>
          <w:p>
            <w:r>
              <w:t>На одном рейсе допускается не более 2 пассажирских перегонов членов экипажа.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1.10</w:t>
            </w:r>
          </w:p>
        </w:tc>
        <w:tc>
          <w:tcPr>
            <w:tcW w:type="dxa" w:w="2428"/>
          </w:tcPr>
          <w:p>
            <w:r>
              <w:t>Перегоны сотрудника за сутки</w:t>
            </w:r>
          </w:p>
        </w:tc>
        <w:tc>
          <w:tcPr>
            <w:tcW w:type="dxa" w:w="2428"/>
          </w:tcPr>
          <w:p>
            <w:r>
              <w:t>Одному члену экипажа допускается не более 2 пассажирских перегонов в сутки.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1.11</w:t>
            </w:r>
          </w:p>
        </w:tc>
        <w:tc>
          <w:tcPr>
            <w:tcW w:type="dxa" w:w="2428"/>
          </w:tcPr>
          <w:p>
            <w:r>
              <w:t>Зачёт пассажирского перегона</w:t>
            </w:r>
          </w:p>
        </w:tc>
        <w:tc>
          <w:tcPr>
            <w:tcW w:type="dxa" w:w="2428"/>
          </w:tcPr>
          <w:p>
            <w:r>
              <w:t>Пассажирский перегон входит в продолжительность полётной смены (размах) и не входит в налёт; минимальные стыковки вокруг перегона — по общим порогам стыковок.</w:t>
            </w:r>
          </w:p>
        </w:tc>
        <w:tc>
          <w:tcPr>
            <w:tcW w:type="dxa" w:w="2428"/>
          </w:tcPr>
          <w:p>
            <w:r>
              <w:t>определение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2. Полётные смены, стыковки и отдых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2.1</w:t>
            </w:r>
          </w:p>
        </w:tc>
        <w:tc>
          <w:tcPr>
            <w:tcW w:type="dxa" w:w="2428"/>
          </w:tcPr>
          <w:p>
            <w:r>
              <w:t>Предельная продолжительность смены</w:t>
            </w:r>
          </w:p>
        </w:tc>
        <w:tc>
          <w:tcPr>
            <w:tcW w:type="dxa" w:w="2428"/>
          </w:tcPr>
          <w:p>
            <w:r>
              <w:t>Продолжительность полётной смены не должна превышать 12 часов 00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>
              <w:t>продление — см. следующий пункт</w:t>
            </w:r>
          </w:p>
        </w:tc>
      </w:tr>
      <w:tr>
        <w:tc>
          <w:tcPr>
            <w:tcW w:type="dxa" w:w="2428"/>
          </w:tcPr>
          <w:p>
            <w:r>
              <w:t>2.2</w:t>
            </w:r>
          </w:p>
        </w:tc>
        <w:tc>
          <w:tcPr>
            <w:tcW w:type="dxa" w:w="2428"/>
          </w:tcPr>
          <w:p>
            <w:r>
              <w:t>Продлённая смена</w:t>
            </w:r>
          </w:p>
        </w:tc>
        <w:tc>
          <w:tcPr>
            <w:tcW w:type="dxa" w:w="2428"/>
          </w:tcPr>
          <w:p>
            <w:r>
              <w:t>С письменного согласия экипажа допускается продление полётной смены до 13 часов 00 минут, но не более двух раз в течение календарного месяца.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13:00; 2 раза/мес</w:t>
            </w:r>
          </w:p>
        </w:tc>
        <w:tc>
          <w:tcPr>
            <w:tcW w:type="dxa" w:w="2428"/>
          </w:tcPr>
          <w:p>
            <w:r>
              <w:t>условие: согласие</w:t>
            </w:r>
          </w:p>
        </w:tc>
      </w:tr>
      <w:tr>
        <w:tc>
          <w:tcPr>
            <w:tcW w:type="dxa" w:w="2428"/>
          </w:tcPr>
          <w:p>
            <w:r>
              <w:t>2.3</w:t>
            </w:r>
          </w:p>
        </w:tc>
        <w:tc>
          <w:tcPr>
            <w:tcW w:type="dxa" w:w="2428"/>
          </w:tcPr>
          <w:p>
            <w:r>
              <w:t>Налёт за смену</w:t>
            </w:r>
          </w:p>
        </w:tc>
        <w:tc>
          <w:tcPr>
            <w:tcW w:type="dxa" w:w="2428"/>
          </w:tcPr>
          <w:p>
            <w:r>
              <w:t>Суммарный налётв пределах одной полётной смены не должен превышать 8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8:00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2.4</w:t>
            </w:r>
          </w:p>
        </w:tc>
        <w:tc>
          <w:tcPr>
            <w:tcW w:type="dxa" w:w="2428"/>
          </w:tcPr>
          <w:p>
            <w:r>
              <w:t>Число посадок за смену</w:t>
            </w:r>
          </w:p>
        </w:tc>
        <w:tc>
          <w:tcPr>
            <w:tcW w:type="dxa" w:w="2428"/>
          </w:tcPr>
          <w:p>
            <w:r>
              <w:t>Количество посадок в пределах одной полётной смены — как правило, не более шести.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6</w:t>
            </w:r>
          </w:p>
        </w:tc>
        <w:tc>
          <w:tcPr>
            <w:tcW w:type="dxa" w:w="2428"/>
          </w:tcPr>
          <w:p>
            <w:r>
              <w:t>короткие плечи</w:t>
            </w:r>
          </w:p>
        </w:tc>
      </w:tr>
      <w:tr>
        <w:tc>
          <w:tcPr>
            <w:tcW w:type="dxa" w:w="2428"/>
          </w:tcPr>
          <w:p>
            <w:r>
              <w:t>2.5</w:t>
            </w:r>
          </w:p>
        </w:tc>
        <w:tc>
          <w:tcPr>
            <w:tcW w:type="dxa" w:w="2428"/>
          </w:tcPr>
          <w:p>
            <w:r>
              <w:t>Явка на брифинг</w:t>
            </w:r>
          </w:p>
        </w:tc>
        <w:tc>
          <w:tcPr>
            <w:tcW w:type="dxa" w:w="2428"/>
          </w:tcPr>
          <w:p>
            <w:r>
              <w:t>Явка экипажа (check-in) назначается за 60 минут до планового вылета первого рейса смены; брифинг входит в полётную смену.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2.6</w:t>
            </w:r>
          </w:p>
        </w:tc>
        <w:tc>
          <w:tcPr>
            <w:tcW w:type="dxa" w:w="2428"/>
          </w:tcPr>
          <w:p>
            <w:r>
              <w:t>Послеполётные работы</w:t>
            </w:r>
          </w:p>
        </w:tc>
        <w:tc>
          <w:tcPr>
            <w:tcW w:type="dxa" w:w="2428"/>
          </w:tcPr>
          <w:p>
            <w:r>
              <w:t>Послеполётные работы составляют 30 минут после заруливания последнего рейса смены.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0:30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2.7</w:t>
            </w:r>
          </w:p>
        </w:tc>
        <w:tc>
          <w:tcPr>
            <w:tcW w:type="dxa" w:w="2428"/>
          </w:tcPr>
          <w:p>
            <w:r>
              <w:t>Ночная смена</w:t>
            </w:r>
          </w:p>
        </w:tc>
        <w:tc>
          <w:tcPr>
            <w:tcW w:type="dxa" w:w="2428"/>
          </w:tcPr>
          <w:p>
            <w:r>
              <w:t>Ночной считается полётная смена, любая часть которой приходится на период с 02:00 до 05:59 местного времени.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02:00–05:59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2.8</w:t>
            </w:r>
          </w:p>
        </w:tc>
        <w:tc>
          <w:tcPr>
            <w:tcW w:type="dxa" w:w="2428"/>
          </w:tcPr>
          <w:p>
            <w:r>
              <w:t>Ночные смены подряд</w:t>
            </w:r>
          </w:p>
        </w:tc>
        <w:tc>
          <w:tcPr>
            <w:tcW w:type="dxa" w:w="2428"/>
          </w:tcPr>
          <w:p>
            <w:r>
              <w:t>Не допускается планирование более двух ночных смен подряд.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2.9</w:t>
            </w:r>
          </w:p>
        </w:tc>
        <w:tc>
          <w:tcPr>
            <w:tcW w:type="dxa" w:w="2428"/>
          </w:tcPr>
          <w:p>
            <w:r>
              <w:t>Стыковка в базе</w:t>
            </w:r>
          </w:p>
        </w:tc>
        <w:tc>
          <w:tcPr>
            <w:tcW w:type="dxa" w:w="2428"/>
          </w:tcPr>
          <w:p>
            <w:r>
              <w:t>Минимальное время между рейсами в аэропорту базы — 45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0:45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2.10</w:t>
            </w:r>
          </w:p>
        </w:tc>
        <w:tc>
          <w:tcPr>
            <w:tcW w:type="dxa" w:w="2428"/>
          </w:tcPr>
          <w:p>
            <w:r>
              <w:t>Стыковка вне базы</w:t>
            </w:r>
          </w:p>
        </w:tc>
        <w:tc>
          <w:tcPr>
            <w:tcW w:type="dxa" w:w="2428"/>
          </w:tcPr>
          <w:p>
            <w:r>
              <w:t>Минимальное время между рейсами во внебазовом аэропорту — 40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0:40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2.11</w:t>
            </w:r>
          </w:p>
        </w:tc>
        <w:tc>
          <w:tcPr>
            <w:tcW w:type="dxa" w:w="2428"/>
          </w:tcPr>
          <w:p>
            <w:r>
              <w:t>Предельная стыковка</w:t>
            </w:r>
          </w:p>
        </w:tc>
        <w:tc>
          <w:tcPr>
            <w:tcW w:type="dxa" w:w="2428"/>
          </w:tcPr>
          <w:p>
            <w:r>
              <w:t>Стыковка продолжительностью более 4 в одну полётную смену не включается: смена подлежит разрыву нормируемым отдыхом.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4:00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2.12</w:t>
            </w:r>
          </w:p>
        </w:tc>
        <w:tc>
          <w:tcPr>
            <w:tcW w:type="dxa" w:w="2428"/>
          </w:tcPr>
          <w:p>
            <w:r>
              <w:t>Отдых в базе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 базе приписки — не менее 12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2.13</w:t>
            </w:r>
          </w:p>
        </w:tc>
        <w:tc>
          <w:tcPr>
            <w:tcW w:type="dxa" w:w="2428"/>
          </w:tcPr>
          <w:p>
            <w:r>
              <w:t>Отдых вне базы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во внебазововом аэропорту — не менее 10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2.14</w:t>
            </w:r>
          </w:p>
        </w:tc>
        <w:tc>
          <w:tcPr>
            <w:tcW w:type="dxa" w:w="2428"/>
          </w:tcPr>
          <w:p>
            <w:r>
              <w:t>Отдых после продлённой смены</w:t>
            </w:r>
          </w:p>
        </w:tc>
        <w:tc>
          <w:tcPr>
            <w:tcW w:type="dxa" w:w="2428"/>
          </w:tcPr>
          <w:p>
            <w:r>
              <w:t>После полётной смены продолжительностью свыше 12 часов предоставляется отдых не менее 14 часов согласно п. 9.4 настоящих Правил.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14:00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2.15</w:t>
            </w:r>
          </w:p>
        </w:tc>
        <w:tc>
          <w:tcPr>
            <w:tcW w:type="dxa" w:w="2428"/>
          </w:tcPr>
          <w:p>
            <w:r>
              <w:t>Длительность цепочки</w:t>
            </w:r>
          </w:p>
        </w:tc>
        <w:tc>
          <w:tcPr>
            <w:tcW w:type="dxa" w:w="2428"/>
          </w:tcPr>
          <w:p>
            <w:r>
              <w:t>Продолжительность цепочки полётных смен (пейринга) — не более четырёх календарных дней.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4 дня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2.16</w:t>
            </w:r>
          </w:p>
        </w:tc>
        <w:tc>
          <w:tcPr>
            <w:tcW w:type="dxa" w:w="2428"/>
          </w:tcPr>
          <w:p>
            <w:r>
              <w:t>Замыкание цепочки</w:t>
            </w:r>
          </w:p>
        </w:tc>
        <w:tc>
          <w:tcPr>
            <w:tcW w:type="dxa" w:w="2428"/>
          </w:tcPr>
          <w:p>
            <w:r>
              <w:t>Цепочка начинается и заканчивается в базе приписки экипажа.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2.17</w:t>
            </w:r>
          </w:p>
        </w:tc>
        <w:tc>
          <w:tcPr>
            <w:tcW w:type="dxa" w:w="2428"/>
          </w:tcPr>
          <w:p>
            <w:r>
              <w:t>Рабочие дни подряд</w:t>
            </w:r>
          </w:p>
        </w:tc>
        <w:tc>
          <w:tcPr>
            <w:tcW w:type="dxa" w:w="2428"/>
          </w:tcPr>
          <w:p>
            <w:r>
              <w:t>Не допускаетя более пяти рабочих дней подряд.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2.18</w:t>
            </w:r>
          </w:p>
        </w:tc>
        <w:tc>
          <w:tcPr>
            <w:tcW w:type="dxa" w:w="2428"/>
          </w:tcPr>
          <w:p>
            <w:r>
              <w:t>Отдых внутри цепочки</w:t>
            </w:r>
          </w:p>
        </w:tc>
        <w:tc>
          <w:tcPr>
            <w:tcW w:type="dxa" w:w="2428"/>
          </w:tcPr>
          <w:p>
            <w:r>
              <w:t>Между полётными сменами одной цепочки предоставляется отдых по нормам пунктов о минимальном отдыхе в базе и вне базы.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>
              <w:t>ссылка на нормы отдыха</w:t>
            </w:r>
          </w:p>
        </w:tc>
      </w:tr>
      <w:tr>
        <w:tc>
          <w:tcPr>
            <w:tcW w:type="dxa" w:w="2428"/>
          </w:tcPr>
          <w:p>
            <w:r>
              <w:t>2.19</w:t>
            </w:r>
          </w:p>
        </w:tc>
        <w:tc>
          <w:tcPr>
            <w:tcW w:type="dxa" w:w="2428"/>
          </w:tcPr>
          <w:p>
            <w:r>
              <w:t>Ночи вне базы</w:t>
            </w:r>
          </w:p>
        </w:tc>
        <w:tc>
          <w:tcPr>
            <w:tcW w:type="dxa" w:w="2428"/>
          </w:tcPr>
          <w:p>
            <w:r>
              <w:t>При построении цепочек следует стремиться к минимальному числу ночей вне базы; каждая ночь вне базы штрафуется 10 баллами.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10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2.20</w:t>
            </w:r>
          </w:p>
        </w:tc>
        <w:tc>
          <w:tcPr>
            <w:tcW w:type="dxa" w:w="2428"/>
          </w:tcPr>
          <w:p>
            <w:r>
              <w:t>Длинные стыковки</w:t>
            </w:r>
          </w:p>
        </w:tc>
        <w:tc>
          <w:tcPr>
            <w:tcW w:type="dxa" w:w="2428"/>
          </w:tcPr>
          <w:p>
            <w:r>
              <w:t>Стыковки сверх одного часа нежелательны: за каждые полные 30 минут сверх часа начисляется 1 штрафной балл.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1 балл / 0:30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2.21</w:t>
            </w:r>
          </w:p>
        </w:tc>
        <w:tc>
          <w:tcPr>
            <w:tcW w:type="dxa" w:w="2428"/>
          </w:tcPr>
          <w:p>
            <w:r>
              <w:t>Гарантия смены</w:t>
            </w:r>
          </w:p>
        </w:tc>
        <w:tc>
          <w:tcPr>
            <w:tcW w:type="dxa" w:w="2428"/>
          </w:tcPr>
          <w:p>
            <w:r>
              <w:t>За полётную смену начисляется не менее 4 кредитных часов независимо от фактического налёта.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4:00</w:t>
            </w:r>
          </w:p>
        </w:tc>
        <w:tc>
          <w:tcPr>
            <w:tcW w:type="dxa" w:w="2428"/>
          </w:tcPr>
          <w:p>
            <w:r>
              <w:t>гарантия оплаты</w:t>
            </w:r>
          </w:p>
        </w:tc>
      </w:tr>
      <w:tr>
        <w:tc>
          <w:tcPr>
            <w:tcW w:type="dxa" w:w="2428"/>
          </w:tcPr>
          <w:p>
            <w:r>
              <w:t>2.22</w:t>
            </w:r>
          </w:p>
        </w:tc>
        <w:tc>
          <w:tcPr>
            <w:tcW w:type="dxa" w:w="2428"/>
          </w:tcPr>
          <w:p>
            <w:r>
              <w:t>Разрыв смены</w:t>
            </w:r>
          </w:p>
        </w:tc>
        <w:tc>
          <w:tcPr>
            <w:tcW w:type="dxa" w:w="2428"/>
          </w:tcPr>
          <w:p>
            <w:r>
              <w:t>Разрыв полётной смены стыковкой свыше 4 часов штрафуется 20 баллами.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20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2.23</w:t>
            </w:r>
          </w:p>
        </w:tc>
        <w:tc>
          <w:tcPr>
            <w:tcW w:type="dxa" w:w="2428"/>
          </w:tcPr>
          <w:p>
            <w:r>
              <w:t>Однородность цепочки</w:t>
            </w:r>
          </w:p>
        </w:tc>
        <w:tc>
          <w:tcPr>
            <w:tcW w:type="dxa" w:w="2428"/>
          </w:tcPr>
          <w:p>
            <w:r>
              <w:t>Смешение ночных и дневных смен в одной цепочке нежелательно и штрафуется 5 баллами.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2.24</w:t>
            </w:r>
          </w:p>
        </w:tc>
        <w:tc>
          <w:tcPr>
            <w:tcW w:type="dxa" w:w="2428"/>
          </w:tcPr>
          <w:p>
            <w:r>
              <w:t>Критерий оптимизации пейринга</w:t>
            </w:r>
          </w:p>
        </w:tc>
        <w:tc>
          <w:tcPr>
            <w:tcW w:type="dxa" w:w="2428"/>
          </w:tcPr>
          <w:p>
            <w:r>
              <w:t>Критерий оптимизации пейринга: минимум человеко-дней командировок; цена рабочего дня (смены) — 100 условных единиц.</w:t>
            </w:r>
          </w:p>
        </w:tc>
        <w:tc>
          <w:tcPr>
            <w:tcW w:type="dxa" w:w="2428"/>
          </w:tcPr>
          <w:p>
            <w:r>
              <w:t>целевая</w:t>
            </w:r>
          </w:p>
        </w:tc>
        <w:tc>
          <w:tcPr>
            <w:tcW w:type="dxa" w:w="2428"/>
          </w:tcPr>
          <w:p>
            <w:r>
              <w:t>100</w:t>
            </w:r>
          </w:p>
        </w:tc>
        <w:tc>
          <w:tcPr>
            <w:tcW w:type="dxa" w:w="2428"/>
          </w:tcPr>
          <w:p>
            <w:r>
              <w:t>один критерий — одна оптимизационная задача</w:t>
            </w:r>
          </w:p>
        </w:tc>
      </w:tr>
      <w:tr>
        <w:tc>
          <w:tcPr>
            <w:tcW w:type="dxa" w:w="2428"/>
          </w:tcPr>
          <w:p>
            <w:r>
              <w:t>2.25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При задержках рейсов экипажу предоставляется достаточное время на отдых.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r>
              <w:t>2.26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Нормы предоставления питания экипажу в полёте устанавливаются приложением 2 к настоящим Правилам.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>
      <w:pPr>
        <w:pStyle w:val="Heading2"/>
      </w:pPr>
      <w:r>
        <w:t>Раздел 3. Месячные нормы и ростер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3.1</w:t>
            </w:r>
          </w:p>
        </w:tc>
        <w:tc>
          <w:tcPr>
            <w:tcW w:type="dxa" w:w="2428"/>
          </w:tcPr>
          <w:p>
            <w:r>
              <w:t>Месячный налёт</w:t>
            </w:r>
          </w:p>
        </w:tc>
        <w:tc>
          <w:tcPr>
            <w:tcW w:type="dxa" w:w="2428"/>
          </w:tcPr>
          <w:p>
            <w:r>
              <w:t>Суммарный налёт члена экипажа за календарныймесяц не должен превышать 90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90:00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3.2</w:t>
            </w:r>
          </w:p>
        </w:tc>
        <w:tc>
          <w:tcPr>
            <w:tcW w:type="dxa" w:w="2428"/>
          </w:tcPr>
          <w:p>
            <w:r>
              <w:t>Месячный кредит</w:t>
            </w:r>
          </w:p>
        </w:tc>
        <w:tc>
          <w:tcPr>
            <w:tcW w:type="dxa" w:w="2428"/>
          </w:tcPr>
          <w:p>
            <w:r>
              <w:t>Сумма кредитных часов за календарный месяц не должна превышать 85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85:00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3.3</w:t>
            </w:r>
          </w:p>
        </w:tc>
        <w:tc>
          <w:tcPr>
            <w:tcW w:type="dxa" w:w="2428"/>
          </w:tcPr>
          <w:p>
            <w:r>
              <w:t>Еженедельный отдых</w:t>
            </w:r>
          </w:p>
        </w:tc>
        <w:tc>
          <w:tcPr>
            <w:tcW w:type="dxa" w:w="2428"/>
          </w:tcPr>
          <w:p>
            <w:r>
              <w:t>В любые семь последовательных суток экипажу предоставляется непрерыный отдых не менее 36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36:00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3.4</w:t>
            </w:r>
          </w:p>
        </w:tc>
        <w:tc>
          <w:tcPr>
            <w:tcW w:type="dxa" w:w="2428"/>
          </w:tcPr>
          <w:p>
            <w:r>
              <w:t>Выходные дни</w:t>
            </w:r>
          </w:p>
        </w:tc>
        <w:tc>
          <w:tcPr>
            <w:tcW w:type="dxa" w:w="2428"/>
          </w:tcPr>
          <w:p>
            <w:r>
              <w:t>Число выходных дней в календарном месяце — не менее восьми.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8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3.5</w:t>
            </w:r>
          </w:p>
        </w:tc>
        <w:tc>
          <w:tcPr>
            <w:tcW w:type="dxa" w:w="2428"/>
          </w:tcPr>
          <w:p>
            <w:r>
              <w:t>Выходной после ночных</w:t>
            </w:r>
          </w:p>
        </w:tc>
        <w:tc>
          <w:tcPr>
            <w:tcW w:type="dxa" w:w="2428"/>
          </w:tcPr>
          <w:p>
            <w:r>
              <w:t>После двух ночных смен подряд предоставляется выходной день.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 день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3.6</w:t>
            </w:r>
          </w:p>
        </w:tc>
        <w:tc>
          <w:tcPr>
            <w:tcW w:type="dxa" w:w="2428"/>
          </w:tcPr>
          <w:p>
            <w:r>
              <w:t>Отпуск</w:t>
            </w:r>
          </w:p>
        </w:tc>
        <w:tc>
          <w:tcPr>
            <w:tcW w:type="dxa" w:w="2428"/>
          </w:tcPr>
          <w:p>
            <w:r>
              <w:t>Назначения не планируются на дни утверждённого отпуска.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3.7</w:t>
            </w:r>
          </w:p>
        </w:tc>
        <w:tc>
          <w:tcPr>
            <w:tcW w:type="dxa" w:w="2428"/>
          </w:tcPr>
          <w:p>
            <w:r>
              <w:t>Недоступность</w:t>
            </w:r>
          </w:p>
        </w:tc>
        <w:tc>
          <w:tcPr>
            <w:tcW w:type="dxa" w:w="2428"/>
          </w:tcPr>
          <w:p>
            <w:r>
              <w:t>Назначения не планируются на дни зафиксированной недоступности члена экипажа (болезнь, наземные задачи).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3.8</w:t>
            </w:r>
          </w:p>
        </w:tc>
        <w:tc>
          <w:tcPr>
            <w:tcW w:type="dxa" w:w="2428"/>
          </w:tcPr>
          <w:p>
            <w:r>
              <w:t>Допуски</w:t>
            </w:r>
          </w:p>
        </w:tc>
        <w:tc>
          <w:tcPr>
            <w:tcW w:type="dxa" w:w="2428"/>
          </w:tcPr>
          <w:p>
            <w:r>
              <w:t>Член экипажа назначается на рейс только при действующем допуске на тип воздушного судна.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3.9</w:t>
            </w:r>
          </w:p>
        </w:tc>
        <w:tc>
          <w:tcPr>
            <w:tcW w:type="dxa" w:w="2428"/>
          </w:tcPr>
          <w:p>
            <w:r>
              <w:t>Непересечение назначений</w:t>
            </w:r>
          </w:p>
        </w:tc>
        <w:tc>
          <w:tcPr>
            <w:tcW w:type="dxa" w:w="2428"/>
          </w:tcPr>
          <w:p>
            <w:r>
              <w:t>Назначения одного члена экипажа не могут пересекаться во времени.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3.10</w:t>
            </w:r>
          </w:p>
        </w:tc>
        <w:tc>
          <w:tcPr>
            <w:tcW w:type="dxa" w:w="2428"/>
          </w:tcPr>
          <w:p>
            <w:r>
              <w:t>Справедливость кредита</w:t>
            </w:r>
          </w:p>
        </w:tc>
        <w:tc>
          <w:tcPr>
            <w:tcW w:type="dxa" w:w="2428"/>
          </w:tcPr>
          <w:p>
            <w:r>
              <w:t>Разброс кредитных часов между членами экипажа одной базы подлежит минимизации; вес критерия — 3.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3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3.11</w:t>
            </w:r>
          </w:p>
        </w:tc>
        <w:tc>
          <w:tcPr>
            <w:tcW w:type="dxa" w:w="2428"/>
          </w:tcPr>
          <w:p>
            <w:r>
              <w:t>Баланс баз</w:t>
            </w:r>
          </w:p>
        </w:tc>
        <w:tc>
          <w:tcPr>
            <w:tcW w:type="dxa" w:w="2428"/>
          </w:tcPr>
          <w:p>
            <w:r>
              <w:t>Распределение суммарного кредита между базами должно соответствовать целевым долям согласно таблице ниже с отклонением не более 3 процентных пунктов.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±3 п.п.</w:t>
            </w:r>
          </w:p>
        </w:tc>
        <w:tc>
          <w:tcPr>
            <w:tcW w:type="dxa" w:w="2428"/>
          </w:tcPr>
          <w:p>
            <w:r>
              <w:t>доли — во вложенной таблице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14"/>
              <w:gridCol w:w="1214"/>
            </w:tblGrid>
            <w:tr>
              <w:tc>
                <w:tcPr>
                  <w:tcW w:type="dxa" w:w="1214"/>
                </w:tcPr>
                <w:p>
                  <w:r>
                    <w:t>База</w:t>
                  </w:r>
                </w:p>
              </w:tc>
              <w:tc>
                <w:tcPr>
                  <w:tcW w:type="dxa" w:w="1214"/>
                </w:tcPr>
                <w:p>
                  <w:r>
                    <w:t>Доля кредита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Северогорск (SVG)</w:t>
                  </w:r>
                </w:p>
              </w:tc>
              <w:tc>
                <w:tcPr>
                  <w:tcW w:type="dxa" w:w="1214"/>
                </w:tcPr>
                <w:p>
                  <w:r>
                    <w:t>16%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Полярный (PLY)</w:t>
                  </w:r>
                </w:p>
              </w:tc>
              <w:tc>
                <w:tcPr>
                  <w:tcW w:type="dxa" w:w="1214"/>
                </w:tcPr>
                <w:p>
                  <w:r>
                    <w:t>64%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Гранитный (GRT)</w:t>
                  </w:r>
                </w:p>
              </w:tc>
              <w:tc>
                <w:tcPr>
                  <w:tcW w:type="dxa" w:w="1214"/>
                </w:tcPr>
                <w:p>
                  <w:r>
                    <w:t>19%</w:t>
                  </w:r>
                </w:p>
              </w:tc>
            </w:tr>
          </w:tbl>
          <w:p/>
        </w:tc>
      </w:tr>
      <w:tr>
        <w:tc>
          <w:tcPr>
            <w:tcW w:type="dxa" w:w="2428"/>
          </w:tcPr>
          <w:p>
            <w:r>
              <w:t>3.12</w:t>
            </w:r>
          </w:p>
        </w:tc>
        <w:tc>
          <w:tcPr>
            <w:tcW w:type="dxa" w:w="2428"/>
          </w:tcPr>
          <w:p>
            <w:r>
              <w:t>Предпочтения экипажей</w:t>
            </w:r>
          </w:p>
        </w:tc>
        <w:tc>
          <w:tcPr>
            <w:tcW w:type="dxa" w:w="2428"/>
          </w:tcPr>
          <w:p>
            <w:r>
              <w:t>Заявки экипажей на конкретные дни учитываются при наличии возможности; вес критерия — 2.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2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3.13</w:t>
            </w:r>
          </w:p>
        </w:tc>
        <w:tc>
          <w:tcPr>
            <w:tcW w:type="dxa" w:w="2428"/>
          </w:tcPr>
          <w:p>
            <w:r>
              <w:t>Стабильность ростера</w:t>
            </w:r>
          </w:p>
        </w:tc>
        <w:tc>
          <w:tcPr>
            <w:tcW w:type="dxa" w:w="2428"/>
          </w:tcPr>
          <w:p>
            <w:r>
              <w:t>Изменение опубликованного назначения штрафуется 15 баллами.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15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3.14</w:t>
            </w:r>
          </w:p>
        </w:tc>
        <w:tc>
          <w:tcPr>
            <w:tcW w:type="dxa" w:w="2428"/>
          </w:tcPr>
          <w:p>
            <w:r>
              <w:t>Равномерность выходных</w:t>
            </w:r>
          </w:p>
        </w:tc>
        <w:tc>
          <w:tcPr>
            <w:tcW w:type="dxa" w:w="2428"/>
          </w:tcPr>
          <w:p>
            <w:r>
              <w:t>Более десяти рабочих дней между парами выходных нежелательно; штраф — 2 балла.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2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3.15</w:t>
            </w:r>
          </w:p>
        </w:tc>
        <w:tc>
          <w:tcPr>
            <w:tcW w:type="dxa" w:w="2428"/>
          </w:tcPr>
          <w:p>
            <w:r>
              <w:t>Избыточный резерв</w:t>
            </w:r>
          </w:p>
        </w:tc>
        <w:tc>
          <w:tcPr>
            <w:tcW w:type="dxa" w:w="2428"/>
          </w:tcPr>
          <w:p>
            <w:r>
              <w:t>Резервные смены сверх нормы покрытия подлежат минимизации; вес критерия — 1.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1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3.16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Напоминание: отдых между сменами в базе приписки — не менее 12 часов 30 минут.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>
      <w:pPr>
        <w:pStyle w:val="Heading2"/>
      </w:pPr>
      <w:r>
        <w:t>Раздел 4. Резерв и оплата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4.1</w:t>
            </w:r>
          </w:p>
        </w:tc>
        <w:tc>
          <w:tcPr>
            <w:tcW w:type="dxa" w:w="2428"/>
          </w:tcPr>
          <w:p>
            <w:r>
              <w:t>Норма резерва</w:t>
            </w:r>
          </w:p>
        </w:tc>
        <w:tc>
          <w:tcPr>
            <w:tcW w:type="dxa" w:w="2428"/>
          </w:tcPr>
          <w:p>
            <w:r>
              <w:t>Ежедневно в резерве находятся: в Полярном — не менее двух экипажей, в Северогорске и Гранитном — не менее одного.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PLY 2; SVG 1; GRT 1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4.2</w:t>
            </w:r>
          </w:p>
        </w:tc>
        <w:tc>
          <w:tcPr>
            <w:tcW w:type="dxa" w:w="2428"/>
          </w:tcPr>
          <w:p>
            <w:r>
              <w:t>Резервная смена</w:t>
            </w:r>
          </w:p>
        </w:tc>
        <w:tc>
          <w:tcPr>
            <w:tcW w:type="dxa" w:w="2428"/>
          </w:tcPr>
          <w:p>
            <w:r>
              <w:t>Продолжительность резервной (reserve) смены — не более 10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4.3</w:t>
            </w:r>
          </w:p>
        </w:tc>
        <w:tc>
          <w:tcPr>
            <w:tcW w:type="dxa" w:w="2428"/>
          </w:tcPr>
          <w:p>
            <w:r>
              <w:t>Гарантированный кредит</w:t>
            </w:r>
          </w:p>
        </w:tc>
        <w:tc>
          <w:tcPr>
            <w:tcW w:type="dxa" w:w="2428"/>
          </w:tcPr>
          <w:p>
            <w:r>
              <w:t>При полной занятости члену экипажа гарантируется оплата не менее 60 кредитных часов за месяц.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60:00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4.4</w:t>
            </w:r>
          </w:p>
        </w:tc>
        <w:tc>
          <w:tcPr>
            <w:tcW w:type="dxa" w:w="2428"/>
          </w:tcPr>
          <w:p>
            <w:r>
              <w:t>Сверхнормативный кредит</w:t>
            </w:r>
          </w:p>
        </w:tc>
        <w:tc>
          <w:tcPr>
            <w:tcW w:type="dxa" w:w="2428"/>
          </w:tcPr>
          <w:p>
            <w:r>
              <w:t>Кредитные часы сверх месячной нормы 85 часов оплачиваются с коэффициентом 1,5.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1.5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4.5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Предельная длительность резервного ожидания устанавливается отдельным распоряжением директора по производству.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sectPr w:rsidR="00FC693F" w:rsidRPr="0006063C" w:rsidSect="00034616">
      <w:pgSz w:w="16838" w:h="11906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