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ind w:hanging="0" w:start="0" w:end="0"/>
        <w:jc w:val="start"/>
        <w:rPr>
          <w:lang w:val="es-CO"/>
        </w:rPr>
      </w:pPr>
      <w:r>
        <w:rPr>
          <w:color w:val="000000"/>
        </w:rPr>
        <w:t>Arquitectura de Base de Datos de Nexo</w:t>
      </w:r>
    </w:p>
    <w:p>
      <w:pPr>
        <w:pStyle w:val="BodyText"/>
        <w:bidi w:val="0"/>
        <w:spacing w:before="0" w:after="283"/>
        <w:jc w:val="start"/>
        <w:rPr/>
      </w:pPr>
      <w:r>
        <w:rPr>
          <w:color w:val="000000"/>
          <w:lang w:val="es-CO"/>
        </w:rPr>
        <w:t xml:space="preserve">Documento orientado al desarrollo a partir de las </w:t>
      </w:r>
      <w:r>
        <w:rPr>
          <w:rStyle w:val="Strong"/>
          <w:color w:val="000000"/>
          <w:lang w:val="es-CO"/>
        </w:rPr>
        <w:t>migrations</w:t>
      </w:r>
      <w:r>
        <w:rPr>
          <w:color w:val="000000"/>
          <w:lang w:val="es-CO"/>
        </w:rPr>
        <w:t xml:space="preserve"> de Laravel y contrastado con el esquema MySQL actualmente materializado.</w:t>
      </w:r>
    </w:p>
    <w:p>
      <w:pPr>
        <w:pStyle w:val="BodyText"/>
        <w:bidi w:val="0"/>
        <w:jc w:val="start"/>
        <w:rPr>
          <w:color w:val="000000"/>
          <w:lang w:val="es-CO"/>
        </w:rPr>
      </w:pPr>
      <w:r>
        <w:rPr>
          <w:color w:val="000000"/>
          <w:lang w:val="es-CO"/>
        </w:rPr>
        <w:t>Fecha de generación: 9 de junio de 2026</w:t>
      </w:r>
    </w:p>
    <w:p>
      <w:pPr>
        <w:pStyle w:val="BodyText"/>
        <w:bidi w:val="0"/>
        <w:spacing w:before="0" w:after="283"/>
        <w:jc w:val="start"/>
        <w:rPr/>
      </w:pPr>
      <w:r>
        <w:rPr>
          <w:color w:val="000000"/>
          <w:lang w:val="es-CO"/>
        </w:rPr>
        <w:t xml:space="preserve">La base de datos de Nexo está diseñada como una plataforma de gestión comercial y financiera con proyección clara hacia multiempresa, multiequipo, cumplimiento documental, trazabilidad y generación automatizada de documentos. El núcleo operativo está en el ciclo </w:t>
      </w:r>
      <w:r>
        <w:rPr>
          <w:rStyle w:val="Strong"/>
          <w:color w:val="000000"/>
          <w:lang w:val="es-CO"/>
        </w:rPr>
        <w:t>cotización → propuesta → cuenta de cobro / factura → pago</w:t>
      </w:r>
      <w:r>
        <w:rPr>
          <w:color w:val="000000"/>
          <w:lang w:val="es-CO"/>
        </w:rPr>
        <w:t>.</w:t>
      </w:r>
    </w:p>
    <w:tbl>
      <w:tblPr>
        <w:tblW w:w="1020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81"/>
        <w:gridCol w:w="2478"/>
        <w:gridCol w:w="2582"/>
        <w:gridCol w:w="2658"/>
      </w:tblGrid>
      <w:tr>
        <w:trPr/>
        <w:tc>
          <w:tcPr>
            <w:tcW w:w="2481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color w:val="000000"/>
                <w:lang w:val="es-CO"/>
              </w:rPr>
            </w:pPr>
            <w:r>
              <w:rPr>
                <w:b/>
                <w:color w:val="000000"/>
                <w:sz w:val="38"/>
                <w:lang w:val="es-CO"/>
              </w:rPr>
              <w:t>61</w:t>
            </w:r>
          </w:p>
          <w:p>
            <w:pPr>
              <w:pStyle w:val="TableContents"/>
              <w:bidi w:val="0"/>
              <w:spacing w:before="0" w:after="0"/>
              <w:jc w:val="start"/>
              <w:rPr>
                <w:color w:val="000000"/>
                <w:lang w:val="es-CO"/>
              </w:rPr>
            </w:pPr>
            <w:r>
              <w:rPr>
                <w:color w:val="000000"/>
                <w:lang w:val="es-CO"/>
              </w:rPr>
              <w:t xml:space="preserve">Tablas definidas en `migrations` </w:t>
            </w:r>
          </w:p>
        </w:tc>
        <w:tc>
          <w:tcPr>
            <w:tcW w:w="2478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color w:val="000000"/>
                <w:lang w:val="es-CO"/>
              </w:rPr>
            </w:pPr>
            <w:r>
              <w:rPr>
                <w:b/>
                <w:color w:val="000000"/>
                <w:sz w:val="38"/>
                <w:lang w:val="es-CO"/>
              </w:rPr>
              <w:t>45</w:t>
            </w:r>
          </w:p>
          <w:p>
            <w:pPr>
              <w:pStyle w:val="TableContents"/>
              <w:bidi w:val="0"/>
              <w:spacing w:before="0" w:after="0"/>
              <w:jc w:val="start"/>
              <w:rPr>
                <w:color w:val="000000"/>
                <w:lang w:val="es-CO"/>
              </w:rPr>
            </w:pPr>
            <w:r>
              <w:rPr>
                <w:color w:val="000000"/>
                <w:lang w:val="es-CO"/>
              </w:rPr>
              <w:t xml:space="preserve">Tablas existentes hoy en MySQL </w:t>
            </w:r>
          </w:p>
        </w:tc>
        <w:tc>
          <w:tcPr>
            <w:tcW w:w="2582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color w:val="000000"/>
                <w:lang w:val="es-CO"/>
              </w:rPr>
            </w:pPr>
            <w:r>
              <w:rPr>
                <w:b/>
                <w:color w:val="000000"/>
                <w:sz w:val="38"/>
                <w:lang w:val="es-CO"/>
              </w:rPr>
              <w:t>17</w:t>
            </w:r>
          </w:p>
          <w:p>
            <w:pPr>
              <w:pStyle w:val="TableContents"/>
              <w:bidi w:val="0"/>
              <w:spacing w:before="0" w:after="0"/>
              <w:jc w:val="start"/>
              <w:rPr>
                <w:color w:val="000000"/>
                <w:lang w:val="es-CO"/>
              </w:rPr>
            </w:pPr>
            <w:r>
              <w:rPr>
                <w:color w:val="000000"/>
                <w:lang w:val="es-CO"/>
              </w:rPr>
              <w:t xml:space="preserve">Tablas pendientes de materializar </w:t>
            </w:r>
          </w:p>
        </w:tc>
        <w:tc>
          <w:tcPr>
            <w:tcW w:w="2658" w:type="dxa"/>
            <w:tcBorders/>
            <w:vAlign w:val="center"/>
          </w:tcPr>
          <w:p>
            <w:pPr>
              <w:pStyle w:val="TableContents"/>
              <w:bidi w:val="0"/>
              <w:spacing w:before="0" w:after="0"/>
              <w:ind w:hanging="0" w:start="0" w:end="0"/>
              <w:jc w:val="start"/>
              <w:rPr>
                <w:color w:val="000000"/>
                <w:lang w:val="es-CO"/>
              </w:rPr>
            </w:pPr>
            <w:r>
              <w:rPr>
                <w:b/>
                <w:color w:val="000000"/>
                <w:sz w:val="38"/>
                <w:lang w:val="es-CO"/>
              </w:rPr>
              <w:t>11</w:t>
            </w:r>
          </w:p>
          <w:p>
            <w:pPr>
              <w:pStyle w:val="TableContents"/>
              <w:bidi w:val="0"/>
              <w:spacing w:before="0" w:after="0"/>
              <w:jc w:val="start"/>
              <w:rPr>
                <w:color w:val="000000"/>
                <w:lang w:val="es-CO"/>
              </w:rPr>
            </w:pPr>
            <w:r>
              <w:rPr>
                <w:color w:val="000000"/>
                <w:lang w:val="es-CO"/>
              </w:rPr>
              <w:t xml:space="preserve">Módulos funcionales identificados </w:t>
            </w:r>
          </w:p>
        </w:tc>
      </w:tr>
    </w:tbl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color w:val="000000"/>
          <w:bdr w:val="single" w:sz="30" w:space="1" w:color="D08B00"/>
          <w:shd w:fill="FFF7E8" w:val="clear"/>
          <w:lang w:val="es-CO"/>
        </w:rPr>
        <w:t>Lectura importante:</w:t>
      </w:r>
      <w:r>
        <w:rPr>
          <w:color w:val="000000"/>
          <w:bdr w:val="single" w:sz="30" w:space="1" w:color="D08B00"/>
          <w:shd w:fill="FFF7E8" w:val="clear"/>
          <w:lang w:val="es-CO"/>
        </w:rPr>
        <w:t xml:space="preserve"> la aplicación ya tiene un núcleo comercial funcional en la base actual, pero las `migrations` muestran una evolución relevante hacia cumplimiento, auditoría, secuencias internas, tarifas por servicio, retenciones y paquetes documentales. Para orientar el desarrollo conviene tomar las `migrations` como la visión objetivo y la base actual como el estado implementado. </w:t>
      </w:r>
    </w:p>
    <w:p>
      <w:pPr>
        <w:pStyle w:val="Heading2"/>
        <w:numPr>
          <w:ilvl w:val="0"/>
          <w:numId w:val="0"/>
        </w:numPr>
        <w:pBdr>
          <w:bottom w:val="single" w:sz="12" w:space="1" w:color="D7E6EF"/>
        </w:pBdr>
        <w:bidi w:val="0"/>
        <w:spacing w:before="200" w:after="120"/>
        <w:ind w:hanging="0" w:start="0"/>
        <w:jc w:val="start"/>
        <w:rPr>
          <w:color w:val="000000"/>
          <w:lang w:val="es-CO"/>
        </w:rPr>
      </w:pPr>
      <w:r>
        <w:rPr>
          <w:color w:val="000000"/>
          <w:lang w:val="es-CO"/>
        </w:rPr>
        <w:t>1. Resumen Ejecutivo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color w:val="000000"/>
          <w:lang w:val="es-CO"/>
        </w:rPr>
        <w:t>Dominio principal:</w:t>
      </w:r>
      <w:r>
        <w:rPr>
          <w:color w:val="000000"/>
          <w:lang w:val="es-CO"/>
        </w:rPr>
        <w:t xml:space="preserve"> venta de servicios/planes, emisión documental y recaudo.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color w:val="000000"/>
          <w:lang w:val="es-CO"/>
        </w:rPr>
        <w:t>Actores centrales:</w:t>
      </w:r>
      <w:r>
        <w:rPr>
          <w:color w:val="000000"/>
          <w:lang w:val="es-CO"/>
        </w:rPr>
        <w:t xml:space="preserve"> `enterprises` representa empresas del sistema; `parties` representa terceros; `contacts` representa contactos por tercero.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color w:val="000000"/>
          <w:lang w:val="es-CO"/>
        </w:rPr>
        <w:t>Núcleo transaccional:</w:t>
      </w:r>
      <w:r>
        <w:rPr>
          <w:color w:val="000000"/>
          <w:lang w:val="es-CO"/>
        </w:rPr>
        <w:t xml:space="preserve"> `quotations`, `proposals`, `collection_accounts`, `invoices` y `payments`.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color w:val="000000"/>
          <w:lang w:val="es-CO"/>
        </w:rPr>
        <w:t>Catálogos transversales:</w:t>
      </w:r>
      <w:r>
        <w:rPr>
          <w:color w:val="000000"/>
          <w:lang w:val="es-CO"/>
        </w:rPr>
        <w:t xml:space="preserve"> tipos de documento, estados documentales, monedas, impuestos, bancos y medios de pago.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color w:val="000000"/>
          <w:lang w:val="es-CO"/>
        </w:rPr>
        <w:t>Evolución arquitectónica:</w:t>
      </w:r>
      <w:r>
        <w:rPr>
          <w:color w:val="000000"/>
          <w:lang w:val="es-CO"/>
        </w:rPr>
        <w:t xml:space="preserve"> casi todas las tablas de negocio reciben `team_id`, `created_by` y `updated_by`, lo que introduce segregación por equipo y trazabilidad básica.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color w:val="000000"/>
          <w:lang w:val="es-CO"/>
        </w:rPr>
        <w:t>Expansión prevista:</w:t>
      </w:r>
      <w:r>
        <w:rPr>
          <w:color w:val="000000"/>
          <w:lang w:val="es-CO"/>
        </w:rPr>
        <w:t xml:space="preserve"> matrices de cumplimiento, uploads aprobables, generación de PDFs, empaquetado documental y secuencias internas/externas. </w:t>
      </w:r>
    </w:p>
    <w:p>
      <w:pPr>
        <w:pStyle w:val="Heading2"/>
        <w:numPr>
          <w:ilvl w:val="0"/>
          <w:numId w:val="0"/>
        </w:numPr>
        <w:pBdr>
          <w:bottom w:val="single" w:sz="12" w:space="1" w:color="D7E6EF"/>
        </w:pBdr>
        <w:bidi w:val="0"/>
        <w:spacing w:before="200" w:after="120"/>
        <w:ind w:hanging="0" w:start="0"/>
        <w:jc w:val="start"/>
        <w:rPr>
          <w:color w:val="000000"/>
          <w:lang w:val="es-CO"/>
        </w:rPr>
      </w:pPr>
      <w:r>
        <w:rPr>
          <w:color w:val="000000"/>
          <w:lang w:val="es-CO"/>
        </w:rPr>
        <w:t>2. Gráfico de Módulos</w:t>
      </w:r>
    </w:p>
    <w:p>
      <w:pPr>
        <w:pStyle w:val="BodyText"/>
        <w:bidi w:val="0"/>
        <w:spacing w:before="0" w:after="283"/>
        <w:jc w:val="start"/>
        <w:rPr>
          <w:color w:val="000000"/>
          <w:lang w:val="es-CO"/>
        </w:rPr>
      </w:pPr>
      <w:r>
        <w:rPr>
          <w:color w:val="000000"/>
          <w:lang w:val="es-CO"/>
        </w:rPr>
        <w:t>El siguiente gráfico agrupa las tablas definidas por responsabilidad funcional. Sirve para dimensionar dónde está la mayor complejidad de desarrollo.</w:t>
      </w:r>
    </w:p>
    <w:p>
      <w:pPr>
        <w:pStyle w:val="BodyText"/>
        <w:bidi w:val="0"/>
        <w:ind w:hanging="0" w:start="0" w:end="0"/>
        <w:jc w:val="start"/>
        <w:rPr>
          <w:color w:val="000000"/>
          <w:lang w:val="es-CO"/>
        </w:rPr>
      </w:pPr>
      <w:r>
        <w:rPr>
          <w:color w:val="000000"/>
          <w:bdr w:val="single" w:sz="2" w:space="1" w:color="D8E1E7"/>
          <w:shd w:fill="FFFFFF" w:val="clear"/>
          <w:lang w:val="es-CO"/>
        </w:rPr>
        <w:t xml:space="preserve">Distribución de tablas por módulo 0 1 2 3 4 5 6 7 8 Identidad y acceso 7 Catálogos base 7 Geografía 3 Terceros y empresa 4 Oferta comercial 5 Documentos comerciales 8 Pagos y recaudo 5 Plantillas y generación 5 Cumplimiento 6 Secuencias y trazabilidad 6 Infraestructura Laravel 6 </w:t>
      </w:r>
    </w:p>
    <w:p>
      <w:pPr>
        <w:pStyle w:val="Heading2"/>
        <w:numPr>
          <w:ilvl w:val="0"/>
          <w:numId w:val="0"/>
        </w:numPr>
        <w:pBdr>
          <w:bottom w:val="single" w:sz="12" w:space="1" w:color="D7E6EF"/>
        </w:pBdr>
        <w:bidi w:val="0"/>
        <w:spacing w:before="200" w:after="120"/>
        <w:ind w:hanging="0" w:start="0"/>
        <w:jc w:val="start"/>
        <w:rPr>
          <w:color w:val="000000"/>
          <w:lang w:val="es-CO"/>
        </w:rPr>
      </w:pPr>
      <w:r>
        <w:rPr>
          <w:color w:val="000000"/>
          <w:lang w:val="es-CO"/>
        </w:rPr>
        <w:t>3. Flujo Funcional del Negocio</w:t>
      </w:r>
    </w:p>
    <w:p>
      <w:pPr>
        <w:pStyle w:val="BodyText"/>
        <w:bidi w:val="0"/>
        <w:spacing w:before="0" w:after="283"/>
        <w:jc w:val="start"/>
        <w:rPr>
          <w:color w:val="000000"/>
          <w:lang w:val="es-CO"/>
        </w:rPr>
      </w:pPr>
      <w:r>
        <w:rPr>
          <w:color w:val="000000"/>
          <w:lang w:val="es-CO"/>
        </w:rPr>
        <w:t>Este flujo resume cómo se encadenan las tablas del proceso comercial.</w:t>
      </w:r>
    </w:p>
    <w:p>
      <w:pPr>
        <w:pStyle w:val="BodyText"/>
        <w:bidi w:val="0"/>
        <w:spacing w:before="0" w:after="0"/>
        <w:ind w:hanging="0" w:start="0" w:end="0"/>
        <w:jc w:val="start"/>
        <w:rPr>
          <w:color w:val="000000"/>
          <w:lang w:val="es-CO"/>
        </w:rPr>
      </w:pPr>
      <w:r>
        <w:rPr>
          <w:color w:val="000000"/>
          <w:bdr w:val="single" w:sz="2" w:space="1" w:color="D8E1E7"/>
          <w:shd w:fill="FFFFFF" w:val="clear"/>
          <w:lang w:val="es-CO"/>
        </w:rPr>
        <w:t xml:space="preserve">Ciclo documental y de recaudo Catálogos document_types currencies, taxes, statuses Actores enterprises, parties, contacts teams y ownership Oferta services, plans, plan_items service_rates, retention_rates Cotización quotations quotation_items Propuesta proposals proposal_items Cuenta de cobro collection_accounts collection_account_items Factura invoices invoice_items Pago payments destinations y methods Cumplimiento uploaded_documents matrices y validaciones 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color w:val="000000"/>
          <w:bdr w:val="single" w:sz="30" w:space="1" w:color="1B5F87"/>
          <w:shd w:fill="F3F8FB" w:val="clear"/>
          <w:lang w:val="es-CO"/>
        </w:rPr>
        <w:t>Conclusión de negocio:</w:t>
      </w:r>
      <w:r>
        <w:rPr>
          <w:color w:val="000000"/>
          <w:bdr w:val="single" w:sz="30" w:space="1" w:color="1B5F87"/>
          <w:shd w:fill="F3F8FB" w:val="clear"/>
          <w:lang w:val="es-CO"/>
        </w:rPr>
        <w:t xml:space="preserve"> la base está pensada para vender servicios y planes, convertir esa oferta en documentos formales, recaudar pagos y más adelante validar cumplimiento documental antes de liberar documentación final o avanzar en ciertos procesos. </w:t>
      </w:r>
    </w:p>
    <w:p>
      <w:pPr>
        <w:pStyle w:val="Heading2"/>
        <w:bidi w:val="0"/>
        <w:ind w:hanging="0" w:start="0" w:end="0"/>
        <w:jc w:val="start"/>
        <w:rPr>
          <w:color w:val="000000"/>
          <w:lang w:val="es-CO"/>
        </w:rPr>
      </w:pPr>
      <w:r>
        <w:rPr>
          <w:color w:val="000000"/>
          <w:lang w:val="es-CO"/>
        </w:rPr>
        <w:t>4. Diagrama Relacional del Núcleo Comercial</w:t>
      </w:r>
    </w:p>
    <w:p>
      <w:pPr>
        <w:pStyle w:val="BodyText"/>
        <w:bidi w:val="0"/>
        <w:spacing w:before="0" w:after="283"/>
        <w:jc w:val="start"/>
        <w:rPr>
          <w:color w:val="000000"/>
          <w:lang w:val="es-CO"/>
        </w:rPr>
      </w:pPr>
      <w:r>
        <w:rPr>
          <w:color w:val="000000"/>
          <w:lang w:val="es-CO"/>
        </w:rPr>
        <w:t>Este diagrama muestra las relaciones más importantes para implementar casos de uso CRUD, consultas, reporting y automatizaciones.</w:t>
      </w:r>
    </w:p>
    <w:p>
      <w:pPr>
        <w:pStyle w:val="BodyText"/>
        <w:bidi w:val="0"/>
        <w:ind w:hanging="0" w:start="0" w:end="0"/>
        <w:jc w:val="start"/>
        <w:rPr>
          <w:color w:val="000000"/>
          <w:lang w:val="es-CO"/>
        </w:rPr>
      </w:pPr>
      <w:r>
        <w:rPr>
          <w:color w:val="000000"/>
          <w:bdr w:val="single" w:sz="2" w:space="1" w:color="D8E1E7"/>
          <w:shd w:fill="FFFFFF" w:val="clear"/>
          <w:lang w:val="es-CO"/>
        </w:rPr>
        <w:t xml:space="preserve">Relaciones clave enterprises PK: Id FK: document_types_Id FK: countries_Id, states_Id, cities_Id parties PK: Id FK: document_types_Id Cliente / proveedor contacts PK: Id FK: parties_Id Contacto principal u operativo services / plans PK: Id plan_items enlaza ambos taxes y tarifas complementan quotations FK: enterprise, party, contact FK: currency, document_status number, dates, totals proposals FK opcional: quotations_Id enterprise, party, contact title, scope, term, totals collection_accounts FK opcional: proposals_Id paid_total, balance concept y vencimiento invoices FK: proposal o collection authorization_number paid_total, balance quotation_items servicio/plan/impuesto cantidad y total proposal_items servicio/plan/impuesto cantidad y total collection_account_items servicio/plan/impuesto cantidad y total invoice_items servicio/plan/impuesto cantidad y total payments FK: payment_methods_Id FK: payment_destinations_Id Check: collection XOR invoice payment_destinations enterprise + method + bank_account define dónde recaudar bank_accounts empresa + banco + moneda cuenta destino </w:t>
      </w:r>
    </w:p>
    <w:p>
      <w:pPr>
        <w:pStyle w:val="Heading2"/>
        <w:numPr>
          <w:ilvl w:val="0"/>
          <w:numId w:val="0"/>
        </w:numPr>
        <w:pBdr>
          <w:bottom w:val="single" w:sz="12" w:space="1" w:color="D7E6EF"/>
        </w:pBdr>
        <w:bidi w:val="0"/>
        <w:spacing w:before="200" w:after="120"/>
        <w:ind w:hanging="0" w:start="0"/>
        <w:jc w:val="start"/>
        <w:rPr>
          <w:color w:val="000000"/>
          <w:lang w:val="es-CO"/>
        </w:rPr>
      </w:pPr>
      <w:r>
        <w:rPr>
          <w:color w:val="000000"/>
          <w:lang w:val="es-CO"/>
        </w:rPr>
        <w:t>5. Módulos y Tablas</w:t>
      </w:r>
    </w:p>
    <w:tbl>
      <w:tblPr>
        <w:tblW w:w="10200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57"/>
        <w:gridCol w:w="4495"/>
        <w:gridCol w:w="3948"/>
      </w:tblGrid>
      <w:tr>
        <w:trPr>
          <w:tblHeader w:val="true"/>
        </w:trPr>
        <w:tc>
          <w:tcPr>
            <w:tcW w:w="1757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>
                <w:color w:val="000000"/>
                <w:lang w:val="es-CO"/>
              </w:rPr>
            </w:pPr>
            <w:r>
              <w:rPr>
                <w:color w:val="000000"/>
                <w:lang w:val="es-CO"/>
              </w:rPr>
              <w:t>Módulo</w:t>
            </w:r>
          </w:p>
        </w:tc>
        <w:tc>
          <w:tcPr>
            <w:tcW w:w="449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>
                <w:color w:val="000000"/>
                <w:lang w:val="es-CO"/>
              </w:rPr>
            </w:pPr>
            <w:r>
              <w:rPr>
                <w:color w:val="000000"/>
                <w:lang w:val="es-CO"/>
              </w:rPr>
              <w:t>Tablas</w:t>
            </w:r>
          </w:p>
        </w:tc>
        <w:tc>
          <w:tcPr>
            <w:tcW w:w="394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>
                <w:color w:val="000000"/>
                <w:lang w:val="es-CO"/>
              </w:rPr>
            </w:pPr>
            <w:r>
              <w:rPr>
                <w:color w:val="000000"/>
                <w:lang w:val="es-CO"/>
              </w:rPr>
              <w:t>Propósito para desarrollo</w:t>
            </w:r>
          </w:p>
        </w:tc>
      </w:tr>
      <w:tr>
        <w:trPr/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color w:val="000000"/>
                <w:lang w:val="es-CO"/>
              </w:rPr>
            </w:pPr>
            <w:r>
              <w:rPr>
                <w:color w:val="000000"/>
                <w:lang w:val="es-CO"/>
              </w:rPr>
              <w:t>Identidad y acceso</w:t>
            </w:r>
          </w:p>
        </w:tc>
        <w:tc>
          <w:tcPr>
            <w:tcW w:w="44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color w:val="000000"/>
                <w:lang w:val="es-CO"/>
              </w:rPr>
            </w:pPr>
            <w:r>
              <w:rPr>
                <w:color w:val="000000"/>
                <w:lang w:val="es-CO"/>
              </w:rPr>
              <w:t>`users`, `password_reset_tokens`, `sessions`, `teams`, `team_members`, `team_invitations`, `menus`</w:t>
            </w:r>
          </w:p>
        </w:tc>
        <w:tc>
          <w:tcPr>
            <w:tcW w:w="39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color w:val="000000"/>
                <w:lang w:val="es-CO"/>
              </w:rPr>
            </w:pPr>
            <w:r>
              <w:rPr>
                <w:color w:val="000000"/>
                <w:lang w:val="es-CO"/>
              </w:rPr>
              <w:t>Autenticación, equipos, membresías y navegación. `current_team_id` en `users` indica el contexto activo.</w:t>
            </w:r>
          </w:p>
        </w:tc>
      </w:tr>
      <w:tr>
        <w:trPr/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color w:val="000000"/>
                <w:lang w:val="es-CO"/>
              </w:rPr>
            </w:pPr>
            <w:r>
              <w:rPr>
                <w:color w:val="000000"/>
                <w:lang w:val="es-CO"/>
              </w:rPr>
              <w:t>Catálogos base</w:t>
            </w:r>
          </w:p>
        </w:tc>
        <w:tc>
          <w:tcPr>
            <w:tcW w:w="44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color w:val="000000"/>
                <w:lang w:val="es-CO"/>
              </w:rPr>
            </w:pPr>
            <w:r>
              <w:rPr>
                <w:color w:val="000000"/>
                <w:lang w:val="es-CO"/>
              </w:rPr>
              <w:t>`document_types`, `document_statuses`, `currencies`, `taxes`, `banks`, `payment_methods`, `document_classes`</w:t>
            </w:r>
          </w:p>
        </w:tc>
        <w:tc>
          <w:tcPr>
            <w:tcW w:w="39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color w:val="000000"/>
                <w:lang w:val="es-CO"/>
              </w:rPr>
            </w:pPr>
            <w:r>
              <w:rPr>
                <w:color w:val="000000"/>
                <w:lang w:val="es-CO"/>
              </w:rPr>
              <w:t>Maestros reutilizados por casi todo el dominio. Deben sembrarse y mantenerse consistentes.</w:t>
            </w:r>
          </w:p>
        </w:tc>
      </w:tr>
      <w:tr>
        <w:trPr/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color w:val="000000"/>
                <w:lang w:val="es-CO"/>
              </w:rPr>
            </w:pPr>
            <w:r>
              <w:rPr>
                <w:color w:val="000000"/>
                <w:lang w:val="es-CO"/>
              </w:rPr>
              <w:t>Geografía</w:t>
            </w:r>
          </w:p>
        </w:tc>
        <w:tc>
          <w:tcPr>
            <w:tcW w:w="44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color w:val="000000"/>
                <w:lang w:val="es-CO"/>
              </w:rPr>
            </w:pPr>
            <w:r>
              <w:rPr>
                <w:color w:val="000000"/>
                <w:lang w:val="es-CO"/>
              </w:rPr>
              <w:t>`countries`, `states`, `cities`</w:t>
            </w:r>
          </w:p>
        </w:tc>
        <w:tc>
          <w:tcPr>
            <w:tcW w:w="39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color w:val="000000"/>
                <w:lang w:val="es-CO"/>
              </w:rPr>
            </w:pPr>
            <w:r>
              <w:rPr>
                <w:color w:val="000000"/>
                <w:lang w:val="es-CO"/>
              </w:rPr>
              <w:t>Normalización geográfica para `enterprises`; permite validaciones y reporting territorial.</w:t>
            </w:r>
          </w:p>
        </w:tc>
      </w:tr>
      <w:tr>
        <w:trPr/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color w:val="000000"/>
                <w:lang w:val="es-CO"/>
              </w:rPr>
            </w:pPr>
            <w:r>
              <w:rPr>
                <w:color w:val="000000"/>
                <w:lang w:val="es-CO"/>
              </w:rPr>
              <w:t>Terceros y empresa</w:t>
            </w:r>
          </w:p>
        </w:tc>
        <w:tc>
          <w:tcPr>
            <w:tcW w:w="44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color w:val="000000"/>
                <w:lang w:val="es-CO"/>
              </w:rPr>
            </w:pPr>
            <w:r>
              <w:rPr>
                <w:color w:val="000000"/>
                <w:lang w:val="es-CO"/>
              </w:rPr>
              <w:t>`enterprises`, `parties`, `contacts`, `people`</w:t>
            </w:r>
          </w:p>
        </w:tc>
        <w:tc>
          <w:tcPr>
            <w:tcW w:w="39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color w:val="000000"/>
                <w:lang w:val="es-CO"/>
              </w:rPr>
            </w:pPr>
            <w:r>
              <w:rPr>
                <w:color w:val="000000"/>
                <w:lang w:val="es-CO"/>
              </w:rPr>
              <w:t>`enterprises` representa empresas del sistema o clientes empresariales; `parties` representa terceros comerciales; `contacts` cuelga de `parties`.</w:t>
            </w:r>
          </w:p>
        </w:tc>
      </w:tr>
      <w:tr>
        <w:trPr/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color w:val="000000"/>
                <w:lang w:val="es-CO"/>
              </w:rPr>
            </w:pPr>
            <w:r>
              <w:rPr>
                <w:color w:val="000000"/>
                <w:lang w:val="es-CO"/>
              </w:rPr>
              <w:t>Oferta comercial</w:t>
            </w:r>
          </w:p>
        </w:tc>
        <w:tc>
          <w:tcPr>
            <w:tcW w:w="44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color w:val="000000"/>
                <w:lang w:val="es-CO"/>
              </w:rPr>
            </w:pPr>
            <w:r>
              <w:rPr>
                <w:color w:val="000000"/>
                <w:lang w:val="es-CO"/>
              </w:rPr>
              <w:t>`services`, `plans`, `plan_items`, `service_rates`, `retention_rates`</w:t>
            </w:r>
          </w:p>
        </w:tc>
        <w:tc>
          <w:tcPr>
            <w:tcW w:w="39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color w:val="000000"/>
                <w:lang w:val="es-CO"/>
              </w:rPr>
            </w:pPr>
            <w:r>
              <w:rPr>
                <w:color w:val="000000"/>
                <w:lang w:val="es-CO"/>
              </w:rPr>
              <w:t>Catálogo de lo que se vende. `plans` agrupa `services`; `service_rates` y `retention_rates` amplían la lógica financiera.</w:t>
            </w:r>
          </w:p>
        </w:tc>
      </w:tr>
      <w:tr>
        <w:trPr/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color w:val="000000"/>
                <w:lang w:val="es-CO"/>
              </w:rPr>
            </w:pPr>
            <w:r>
              <w:rPr>
                <w:color w:val="000000"/>
                <w:lang w:val="es-CO"/>
              </w:rPr>
              <w:t>Documentos comerciales</w:t>
            </w:r>
          </w:p>
        </w:tc>
        <w:tc>
          <w:tcPr>
            <w:tcW w:w="44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color w:val="000000"/>
                <w:lang w:val="es-CO"/>
              </w:rPr>
            </w:pPr>
            <w:r>
              <w:rPr>
                <w:color w:val="000000"/>
                <w:lang w:val="es-CO"/>
              </w:rPr>
              <w:t>`quotations`, `quotation_items`, `proposals`, `proposal_items`, `collection_accounts`, `collection_account_items`, `invoices`, `invoice_items`</w:t>
            </w:r>
          </w:p>
        </w:tc>
        <w:tc>
          <w:tcPr>
            <w:tcW w:w="39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color w:val="000000"/>
                <w:lang w:val="es-CO"/>
              </w:rPr>
            </w:pPr>
            <w:r>
              <w:rPr>
                <w:color w:val="000000"/>
                <w:lang w:val="es-CO"/>
              </w:rPr>
              <w:t>Corazón transaccional. Cada documento tiene encabezado e ítems, con totales calculables y estado documental.</w:t>
            </w:r>
          </w:p>
        </w:tc>
      </w:tr>
      <w:tr>
        <w:trPr/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color w:val="000000"/>
                <w:lang w:val="es-CO"/>
              </w:rPr>
            </w:pPr>
            <w:r>
              <w:rPr>
                <w:color w:val="000000"/>
                <w:lang w:val="es-CO"/>
              </w:rPr>
              <w:t>Pagos y recaudo</w:t>
            </w:r>
          </w:p>
        </w:tc>
        <w:tc>
          <w:tcPr>
            <w:tcW w:w="44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color w:val="000000"/>
                <w:lang w:val="es-CO"/>
              </w:rPr>
            </w:pPr>
            <w:r>
              <w:rPr>
                <w:color w:val="000000"/>
                <w:lang w:val="es-CO"/>
              </w:rPr>
              <w:t>`bank_accounts`, `payment_destinations`, `payments`, `collection_account_attachments`, `invoice_attachments`</w:t>
            </w:r>
          </w:p>
        </w:tc>
        <w:tc>
          <w:tcPr>
            <w:tcW w:w="39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color w:val="000000"/>
                <w:lang w:val="es-CO"/>
              </w:rPr>
            </w:pPr>
            <w:r>
              <w:rPr>
                <w:color w:val="000000"/>
                <w:lang w:val="es-CO"/>
              </w:rPr>
              <w:t>Configura dónde se recibe dinero y registra recaudos. Los adjuntos soportan evidencia documental.</w:t>
            </w:r>
          </w:p>
        </w:tc>
      </w:tr>
      <w:tr>
        <w:trPr/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color w:val="000000"/>
                <w:lang w:val="es-CO"/>
              </w:rPr>
            </w:pPr>
            <w:r>
              <w:rPr>
                <w:color w:val="000000"/>
                <w:lang w:val="es-CO"/>
              </w:rPr>
              <w:t>Plantillas y generación</w:t>
            </w:r>
          </w:p>
        </w:tc>
        <w:tc>
          <w:tcPr>
            <w:tcW w:w="44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color w:val="000000"/>
                <w:lang w:val="es-CO"/>
              </w:rPr>
            </w:pPr>
            <w:r>
              <w:rPr>
                <w:color w:val="000000"/>
                <w:lang w:val="es-CO"/>
              </w:rPr>
              <w:t>`document_templates`, `document_template_versions`, `generated_documents`, `document_packages`, `document_package_items`</w:t>
            </w:r>
          </w:p>
        </w:tc>
        <w:tc>
          <w:tcPr>
            <w:tcW w:w="39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color w:val="000000"/>
                <w:lang w:val="es-CO"/>
              </w:rPr>
            </w:pPr>
            <w:r>
              <w:rPr>
                <w:color w:val="000000"/>
                <w:lang w:val="es-CO"/>
              </w:rPr>
              <w:t>Infraestructura para renderizar versiones publicadas, producir PDFs y agrupar documentos finales.</w:t>
            </w:r>
          </w:p>
        </w:tc>
      </w:tr>
      <w:tr>
        <w:trPr/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color w:val="000000"/>
                <w:lang w:val="es-CO"/>
              </w:rPr>
            </w:pPr>
            <w:r>
              <w:rPr>
                <w:color w:val="000000"/>
                <w:lang w:val="es-CO"/>
              </w:rPr>
              <w:t>Cumplimiento</w:t>
            </w:r>
          </w:p>
        </w:tc>
        <w:tc>
          <w:tcPr>
            <w:tcW w:w="44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color w:val="000000"/>
                <w:lang w:val="es-CO"/>
              </w:rPr>
            </w:pPr>
            <w:r>
              <w:rPr>
                <w:color w:val="000000"/>
                <w:lang w:val="es-CO"/>
              </w:rPr>
              <w:t>`compliance_matrices`, `compliance_requirements`, `compliance_requirement_conditions`, `uploaded_documents`, `compliance_validation_results`, `compliance_validation_items`</w:t>
            </w:r>
          </w:p>
        </w:tc>
        <w:tc>
          <w:tcPr>
            <w:tcW w:w="39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color w:val="000000"/>
                <w:lang w:val="es-CO"/>
              </w:rPr>
            </w:pPr>
            <w:r>
              <w:rPr>
                <w:color w:val="000000"/>
                <w:lang w:val="es-CO"/>
              </w:rPr>
              <w:t>Motor de cumplimiento documental por cliente/empresa, con uploads, expiración, aprobación y validación.</w:t>
            </w:r>
          </w:p>
        </w:tc>
      </w:tr>
      <w:tr>
        <w:trPr/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color w:val="000000"/>
                <w:lang w:val="es-CO"/>
              </w:rPr>
            </w:pPr>
            <w:r>
              <w:rPr>
                <w:color w:val="000000"/>
                <w:lang w:val="es-CO"/>
              </w:rPr>
              <w:t>Secuencias y trazabilidad</w:t>
            </w:r>
          </w:p>
        </w:tc>
        <w:tc>
          <w:tcPr>
            <w:tcW w:w="44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color w:val="000000"/>
                <w:lang w:val="es-CO"/>
              </w:rPr>
            </w:pPr>
            <w:r>
              <w:rPr>
                <w:color w:val="000000"/>
                <w:lang w:val="es-CO"/>
              </w:rPr>
              <w:t>`internal_sequences`, `sequence_counters`, `sequence_histories`, `external_invoice_numbers`, `activity_logs`, `audit_logs`</w:t>
            </w:r>
          </w:p>
        </w:tc>
        <w:tc>
          <w:tcPr>
            <w:tcW w:w="39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color w:val="000000"/>
                <w:lang w:val="es-CO"/>
              </w:rPr>
            </w:pPr>
            <w:r>
              <w:rPr>
                <w:color w:val="000000"/>
                <w:lang w:val="es-CO"/>
              </w:rPr>
              <w:t>Numeración interna, correlativos externos y registro de eventos/cambios.</w:t>
            </w:r>
          </w:p>
        </w:tc>
      </w:tr>
      <w:tr>
        <w:trPr/>
        <w:tc>
          <w:tcPr>
            <w:tcW w:w="1757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color w:val="000000"/>
                <w:lang w:val="es-CO"/>
              </w:rPr>
            </w:pPr>
            <w:r>
              <w:rPr>
                <w:color w:val="000000"/>
                <w:lang w:val="es-CO"/>
              </w:rPr>
              <w:t>Infraestructura Laravel</w:t>
            </w:r>
          </w:p>
        </w:tc>
        <w:tc>
          <w:tcPr>
            <w:tcW w:w="449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color w:val="000000"/>
                <w:lang w:val="es-CO"/>
              </w:rPr>
            </w:pPr>
            <w:r>
              <w:rPr>
                <w:color w:val="000000"/>
                <w:lang w:val="es-CO"/>
              </w:rPr>
              <w:t>`cache`, `cache_locks`, `jobs`, `job_batches`, `failed_jobs`, `migrations`</w:t>
            </w:r>
          </w:p>
        </w:tc>
        <w:tc>
          <w:tcPr>
            <w:tcW w:w="394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>
                <w:color w:val="000000"/>
                <w:lang w:val="es-CO"/>
              </w:rPr>
            </w:pPr>
            <w:r>
              <w:rPr>
                <w:color w:val="000000"/>
                <w:lang w:val="es-CO"/>
              </w:rPr>
              <w:t>Soporte técnico del framework; no modela negocio, pero sí operación y despliegue.</w:t>
            </w:r>
          </w:p>
        </w:tc>
      </w:tr>
    </w:tbl>
    <w:p>
      <w:pPr>
        <w:pStyle w:val="Heading2"/>
        <w:bidi w:val="0"/>
        <w:ind w:hanging="0" w:start="0" w:end="0"/>
        <w:jc w:val="start"/>
        <w:rPr>
          <w:color w:val="000000"/>
          <w:lang w:val="es-CO"/>
        </w:rPr>
      </w:pPr>
      <w:r>
        <w:rPr>
          <w:color w:val="000000"/>
          <w:lang w:val="es-CO"/>
        </w:rPr>
        <w:t>6. Relaciones Más Importantes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>
          <w:color w:val="000000"/>
          <w:lang w:val="es-CO"/>
        </w:rPr>
      </w:pPr>
      <w:r>
        <w:rPr>
          <w:color w:val="000000"/>
          <w:lang w:val="es-CO"/>
        </w:rPr>
        <w:t>6.1 Actores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>
          <w:color w:val="000000"/>
          <w:lang w:val="es-CO"/>
        </w:rPr>
      </w:pPr>
      <w:r>
        <w:rPr>
          <w:color w:val="000000"/>
          <w:lang w:val="es-CO"/>
        </w:rPr>
        <w:t xml:space="preserve">`enterprises` depende de `document_types` y luego puede quedar enlazada a `countries`, `states` y `cities`.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>
          <w:color w:val="000000"/>
          <w:lang w:val="es-CO"/>
        </w:rPr>
      </w:pPr>
      <w:r>
        <w:rPr>
          <w:color w:val="000000"/>
          <w:lang w:val="es-CO"/>
        </w:rPr>
        <w:t xml:space="preserve">`parties` también depende de `document_types`, pero modela el tercero comercial con banderas `is_customer` y `is_supplier`.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>
          <w:color w:val="000000"/>
          <w:lang w:val="es-CO"/>
        </w:rPr>
      </w:pPr>
      <w:r>
        <w:rPr>
          <w:color w:val="000000"/>
          <w:lang w:val="es-CO"/>
        </w:rPr>
        <w:t xml:space="preserve">`contacts` depende de `parties`; no depende directamente de `enterprises`.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>
          <w:color w:val="000000"/>
          <w:lang w:val="es-CO"/>
        </w:rPr>
      </w:pPr>
      <w:r>
        <w:rPr>
          <w:color w:val="000000"/>
          <w:lang w:val="es-CO"/>
        </w:rPr>
        <w:t>6.2 Oferta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>
          <w:color w:val="000000"/>
          <w:lang w:val="es-CO"/>
        </w:rPr>
      </w:pPr>
      <w:r>
        <w:rPr>
          <w:color w:val="000000"/>
          <w:lang w:val="es-CO"/>
        </w:rPr>
        <w:t xml:space="preserve">`services` es la unidad básica vendible.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>
          <w:color w:val="000000"/>
          <w:lang w:val="es-CO"/>
        </w:rPr>
      </w:pPr>
      <w:r>
        <w:rPr>
          <w:color w:val="000000"/>
          <w:lang w:val="es-CO"/>
        </w:rPr>
        <w:t xml:space="preserve">`plans` es un empaquetado comercial.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>
          <w:color w:val="000000"/>
          <w:lang w:val="es-CO"/>
        </w:rPr>
      </w:pPr>
      <w:r>
        <w:rPr>
          <w:color w:val="000000"/>
          <w:lang w:val="es-CO"/>
        </w:rPr>
        <w:t xml:space="preserve">`plan_items` resuelve la relación entre `plans` y `services` con cantidad y precio.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>
          <w:color w:val="000000"/>
          <w:lang w:val="es-CO"/>
        </w:rPr>
      </w:pPr>
      <w:r>
        <w:rPr>
          <w:color w:val="000000"/>
          <w:lang w:val="es-CO"/>
        </w:rPr>
        <w:t xml:space="preserve">La migración financiera añade `currency_id`, `pricing_type`, `service_rates` y `retention_rates`.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>
          <w:color w:val="000000"/>
          <w:lang w:val="es-CO"/>
        </w:rPr>
      </w:pPr>
      <w:r>
        <w:rPr>
          <w:color w:val="000000"/>
          <w:lang w:val="es-CO"/>
        </w:rPr>
        <w:t>6.3 Cadena documental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>
          <w:color w:val="000000"/>
          <w:lang w:val="es-CO"/>
        </w:rPr>
      </w:pPr>
      <w:r>
        <w:rPr>
          <w:color w:val="000000"/>
          <w:lang w:val="es-CO"/>
        </w:rPr>
        <w:t xml:space="preserve">`quotations` puede originar `proposals` por medio de `quotations_Id`.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>
          <w:color w:val="000000"/>
          <w:lang w:val="es-CO"/>
        </w:rPr>
      </w:pPr>
      <w:r>
        <w:rPr>
          <w:color w:val="000000"/>
          <w:lang w:val="es-CO"/>
        </w:rPr>
        <w:t xml:space="preserve">`proposals` puede originar `collection_accounts` y también `invoices`.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>
          <w:color w:val="000000"/>
          <w:lang w:val="es-CO"/>
        </w:rPr>
      </w:pPr>
      <w:r>
        <w:rPr>
          <w:color w:val="000000"/>
          <w:lang w:val="es-CO"/>
        </w:rPr>
        <w:t xml:space="preserve">`invoices` además puede referenciar `collection_accounts_Id`, lo que sugiere facturación derivada de una cuenta de cobro.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>
          <w:color w:val="000000"/>
          <w:lang w:val="es-CO"/>
        </w:rPr>
      </w:pPr>
      <w:r>
        <w:rPr>
          <w:color w:val="000000"/>
          <w:lang w:val="es-CO"/>
        </w:rPr>
        <w:t xml:space="preserve">Todos los encabezados documentales referencian empresa, tercero, contacto, moneda y estado documental.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>
          <w:color w:val="000000"/>
          <w:lang w:val="es-CO"/>
        </w:rPr>
      </w:pPr>
      <w:r>
        <w:rPr>
          <w:color w:val="000000"/>
          <w:lang w:val="es-CO"/>
        </w:rPr>
        <w:t>6.4 Recaudo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>
          <w:color w:val="000000"/>
          <w:lang w:val="es-CO"/>
        </w:rPr>
      </w:pPr>
      <w:r>
        <w:rPr>
          <w:color w:val="000000"/>
          <w:lang w:val="es-CO"/>
        </w:rPr>
        <w:t xml:space="preserve">`payment_destinations` define el canal de recaudo de una empresa: medio de pago, cuenta bancaria opcional e instrucciones.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>
          <w:color w:val="000000"/>
          <w:lang w:val="es-CO"/>
        </w:rPr>
      </w:pPr>
      <w:r>
        <w:rPr>
          <w:color w:val="000000"/>
          <w:lang w:val="es-CO"/>
        </w:rPr>
        <w:t xml:space="preserve">`payments` referencia el método, el destino, la moneda y exactamente un documento cobrable.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color w:val="000000"/>
          <w:lang w:val="es-CO"/>
        </w:rPr>
        <w:t xml:space="preserve">Existe una restricción `CHECK` que obliga a asociar un pago a </w:t>
      </w:r>
      <w:r>
        <w:rPr>
          <w:rStyle w:val="Strong"/>
          <w:color w:val="000000"/>
          <w:lang w:val="es-CO"/>
        </w:rPr>
        <w:t>cuenta de cobro o factura, pero no a ambas</w:t>
      </w:r>
      <w:r>
        <w:rPr>
          <w:color w:val="000000"/>
          <w:lang w:val="es-CO"/>
        </w:rPr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>
          <w:color w:val="000000"/>
          <w:lang w:val="es-CO"/>
        </w:rPr>
      </w:pPr>
      <w:r>
        <w:rPr>
          <w:color w:val="000000"/>
          <w:lang w:val="es-CO"/>
        </w:rPr>
        <w:t>6.5 Plantillas, archivos y cumplimiento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>
          <w:color w:val="000000"/>
          <w:lang w:val="es-CO"/>
        </w:rPr>
      </w:pPr>
      <w:r>
        <w:rPr>
          <w:color w:val="000000"/>
          <w:lang w:val="es-CO"/>
        </w:rPr>
        <w:t xml:space="preserve">`document_templates` y `document_template_versions` desacoplan la definición del documento respecto del documento emitido.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>
          <w:color w:val="000000"/>
          <w:lang w:val="es-CO"/>
        </w:rPr>
      </w:pPr>
      <w:r>
        <w:rPr>
          <w:color w:val="000000"/>
          <w:lang w:val="es-CO"/>
        </w:rPr>
        <w:t xml:space="preserve">`generated_documents` y `document_packages` preparan una capa de salida documental persistida en disco.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>
          <w:color w:val="000000"/>
          <w:lang w:val="es-CO"/>
        </w:rPr>
      </w:pPr>
      <w:r>
        <w:rPr>
          <w:color w:val="000000"/>
          <w:lang w:val="es-CO"/>
        </w:rPr>
        <w:t xml:space="preserve">`uploaded_documents` usa relación polimórfica (`documentable`) y puede enlazar documentos cargados a distintas entidades.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>
          <w:color w:val="000000"/>
          <w:lang w:val="es-CO"/>
        </w:rPr>
      </w:pPr>
      <w:r>
        <w:rPr>
          <w:color w:val="000000"/>
          <w:lang w:val="es-CO"/>
        </w:rPr>
        <w:t xml:space="preserve">`compliance_validation_results` también usa una relación polimórfica para validar cualquier tipo documental relevante. </w:t>
      </w:r>
    </w:p>
    <w:p>
      <w:pPr>
        <w:pStyle w:val="Heading2"/>
        <w:numPr>
          <w:ilvl w:val="0"/>
          <w:numId w:val="0"/>
        </w:numPr>
        <w:pBdr>
          <w:bottom w:val="single" w:sz="12" w:space="1" w:color="D7E6EF"/>
        </w:pBdr>
        <w:bidi w:val="0"/>
        <w:spacing w:before="200" w:after="120"/>
        <w:ind w:hanging="0" w:start="0"/>
        <w:jc w:val="start"/>
        <w:rPr>
          <w:color w:val="000000"/>
          <w:lang w:val="es-CO"/>
        </w:rPr>
      </w:pPr>
      <w:r>
        <w:rPr>
          <w:color w:val="000000"/>
          <w:lang w:val="es-CO"/>
        </w:rPr>
        <w:t>7. Tablas Pendientes de Materializar</w:t>
      </w:r>
    </w:p>
    <w:p>
      <w:pPr>
        <w:pStyle w:val="BodyText"/>
        <w:bidi w:val="0"/>
        <w:spacing w:before="0" w:after="283"/>
        <w:jc w:val="start"/>
        <w:rPr>
          <w:color w:val="000000"/>
          <w:lang w:val="es-CO"/>
        </w:rPr>
      </w:pPr>
      <w:r>
        <w:rPr>
          <w:color w:val="000000"/>
          <w:lang w:val="es-CO"/>
        </w:rPr>
        <w:t>Estas tablas aparecen definidas en `migrations`, pero no existen aún en la base MySQL actual. Representan la hoja de ruta inmediata del modelo.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>
          <w:color w:val="000000"/>
          <w:lang w:val="es-CO"/>
        </w:rPr>
      </w:pPr>
      <w:r>
        <w:rPr>
          <w:color w:val="000000"/>
          <w:lang w:val="es-CO"/>
        </w:rPr>
        <w:t xml:space="preserve">`activity_logs`, `audit_logs`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>
          <w:color w:val="000000"/>
          <w:lang w:val="es-CO"/>
        </w:rPr>
      </w:pPr>
      <w:r>
        <w:rPr>
          <w:color w:val="000000"/>
          <w:lang w:val="es-CO"/>
        </w:rPr>
        <w:t xml:space="preserve">`compliance_matrices`, `compliance_requirements`, `compliance_requirement_conditions`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>
          <w:color w:val="000000"/>
          <w:lang w:val="es-CO"/>
        </w:rPr>
      </w:pPr>
      <w:r>
        <w:rPr>
          <w:color w:val="000000"/>
          <w:lang w:val="es-CO"/>
        </w:rPr>
        <w:t xml:space="preserve">`compliance_validation_results`, `compliance_validation_items`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>
          <w:color w:val="000000"/>
          <w:lang w:val="es-CO"/>
        </w:rPr>
      </w:pPr>
      <w:r>
        <w:rPr>
          <w:color w:val="000000"/>
          <w:lang w:val="es-CO"/>
        </w:rPr>
        <w:t xml:space="preserve">`generated_documents`, `document_packages`, `document_package_items`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>
          <w:color w:val="000000"/>
          <w:lang w:val="es-CO"/>
        </w:rPr>
      </w:pPr>
      <w:r>
        <w:rPr>
          <w:color w:val="000000"/>
          <w:lang w:val="es-CO"/>
        </w:rPr>
        <w:t xml:space="preserve">`external_invoice_numbers`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>
          <w:color w:val="000000"/>
          <w:lang w:val="es-CO"/>
        </w:rPr>
      </w:pPr>
      <w:r>
        <w:rPr>
          <w:color w:val="000000"/>
          <w:lang w:val="es-CO"/>
        </w:rPr>
        <w:t xml:space="preserve">`internal_sequences`, `sequence_counters`, `sequence_histories`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>
          <w:color w:val="000000"/>
          <w:lang w:val="es-CO"/>
        </w:rPr>
      </w:pPr>
      <w:r>
        <w:rPr>
          <w:color w:val="000000"/>
          <w:lang w:val="es-CO"/>
        </w:rPr>
        <w:t xml:space="preserve">`retention_rates`, `service_rates`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>
          <w:color w:val="000000"/>
          <w:lang w:val="es-CO"/>
        </w:rPr>
      </w:pPr>
      <w:r>
        <w:rPr>
          <w:color w:val="000000"/>
          <w:lang w:val="es-CO"/>
        </w:rPr>
        <w:t xml:space="preserve">`uploaded_documents` 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  <w:color w:val="000000"/>
          <w:bdr w:val="single" w:sz="30" w:space="1" w:color="1B5F87"/>
          <w:shd w:fill="F3F8FB" w:val="clear"/>
          <w:lang w:val="es-CO"/>
        </w:rPr>
        <w:t>Impacto práctico:</w:t>
      </w:r>
      <w:r>
        <w:rPr>
          <w:color w:val="000000"/>
          <w:bdr w:val="single" w:sz="30" w:space="1" w:color="1B5F87"/>
          <w:shd w:fill="F3F8FB" w:val="clear"/>
          <w:lang w:val="es-CO"/>
        </w:rPr>
        <w:t xml:space="preserve"> si el desarrollo de nuevas pantallas o procesos va a tocar cumplimiento, numeración documental, tarifas por servicio o generación de PDFs, primero conviene alinear el backlog con estas migraciones pendientes y definir qué parte debe activarse en base de datos antes de construir UI o lógica de aplicación. </w:t>
      </w:r>
    </w:p>
    <w:p>
      <w:pPr>
        <w:pStyle w:val="Heading2"/>
        <w:numPr>
          <w:ilvl w:val="0"/>
          <w:numId w:val="0"/>
        </w:numPr>
        <w:pBdr>
          <w:bottom w:val="single" w:sz="12" w:space="1" w:color="D7E6EF"/>
        </w:pBdr>
        <w:bidi w:val="0"/>
        <w:spacing w:before="200" w:after="120"/>
        <w:ind w:hanging="0" w:start="0"/>
        <w:jc w:val="start"/>
        <w:rPr>
          <w:color w:val="000000"/>
          <w:lang w:val="es-CO"/>
        </w:rPr>
      </w:pPr>
      <w:r>
        <w:rPr>
          <w:color w:val="000000"/>
          <w:lang w:val="es-CO"/>
        </w:rPr>
        <w:t>8. Decisiones de Diseño que Debes Tener Presentes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color w:val="000000"/>
          <w:lang w:val="es-CO"/>
        </w:rPr>
        <w:t>Convención mixta de claves:</w:t>
      </w:r>
      <w:r>
        <w:rPr>
          <w:color w:val="000000"/>
          <w:lang w:val="es-CO"/>
        </w:rPr>
        <w:t xml:space="preserve"> muchas tablas del dominio usan `Id` con mayúscula, mientras las tablas más nuevas usan `id`. Esto obliga a ser muy cuidadoso con modelos Eloquent, relaciones y recursos.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color w:val="000000"/>
          <w:lang w:val="es-CO"/>
        </w:rPr>
        <w:t>Multi-tenant progresivo:</w:t>
      </w:r>
      <w:r>
        <w:rPr>
          <w:color w:val="000000"/>
          <w:lang w:val="es-CO"/>
        </w:rPr>
        <w:t xml:space="preserve"> `team_id` se agrega después a tablas de negocio. El dominio está migrando a aislamiento por equipo, pero no todo nació así.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color w:val="000000"/>
          <w:lang w:val="es-CO"/>
        </w:rPr>
        <w:t>Trazabilidad:</w:t>
      </w:r>
      <w:r>
        <w:rPr>
          <w:color w:val="000000"/>
          <w:lang w:val="es-CO"/>
        </w:rPr>
        <w:t xml:space="preserve"> `created_by`, `updated_by` y tablas de auditoría sugieren una necesidad fuerte de accountability.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color w:val="000000"/>
          <w:lang w:val="es-CO"/>
        </w:rPr>
        <w:t>Relaciones polimórficas:</w:t>
      </w:r>
      <w:r>
        <w:rPr>
          <w:color w:val="000000"/>
          <w:lang w:val="es-CO"/>
        </w:rPr>
        <w:t xml:space="preserve"> `uploaded_documents`, `document_package_items`, `sequence_histories` y `compliance_validation_results` abren extensibilidad, pero también complejidad de consulta.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color w:val="000000"/>
          <w:lang w:val="es-CO"/>
        </w:rPr>
        <w:t>Estados documentales compartidos:</w:t>
      </w:r>
      <w:r>
        <w:rPr>
          <w:color w:val="000000"/>
          <w:lang w:val="es-CO"/>
        </w:rPr>
        <w:t xml:space="preserve"> una sola tabla `document_statuses` gobierna varios tipos documentales. Es útil para uniformidad, pero requiere un catálogo bien gobernado.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color w:val="000000"/>
          <w:lang w:val="es-CO"/>
        </w:rPr>
        <w:t>Totales persistidos:</w:t>
      </w:r>
      <w:r>
        <w:rPr>
          <w:color w:val="000000"/>
          <w:lang w:val="es-CO"/>
        </w:rPr>
        <w:t xml:space="preserve"> subtotales, impuestos, descuentos, saldo y pagado están almacenados; no son solo valores calculados al vuelo. Eso exige reglas claras de sincronización. </w:t>
      </w:r>
    </w:p>
    <w:p>
      <w:pPr>
        <w:pStyle w:val="Heading2"/>
        <w:numPr>
          <w:ilvl w:val="0"/>
          <w:numId w:val="0"/>
        </w:numPr>
        <w:pBdr>
          <w:bottom w:val="single" w:sz="12" w:space="1" w:color="D7E6EF"/>
        </w:pBdr>
        <w:bidi w:val="0"/>
        <w:spacing w:before="200" w:after="120"/>
        <w:ind w:hanging="0" w:start="0"/>
        <w:jc w:val="start"/>
        <w:rPr>
          <w:color w:val="000000"/>
          <w:lang w:val="es-CO"/>
        </w:rPr>
      </w:pPr>
      <w:r>
        <w:rPr>
          <w:color w:val="000000"/>
          <w:lang w:val="es-CO"/>
        </w:rPr>
        <w:t>9. Recomendaciones para Orientar el Desarrollo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color w:val="000000"/>
          <w:lang w:val="es-CO"/>
        </w:rPr>
        <w:t xml:space="preserve">Modelar primero el </w:t>
      </w:r>
      <w:r>
        <w:rPr>
          <w:rStyle w:val="Strong"/>
          <w:color w:val="000000"/>
          <w:lang w:val="es-CO"/>
        </w:rPr>
        <w:t>flujo documental completo</w:t>
      </w:r>
      <w:r>
        <w:rPr>
          <w:color w:val="000000"/>
          <w:lang w:val="es-CO"/>
        </w:rPr>
        <w:t xml:space="preserve"> antes de abrir módulos periféricos.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color w:val="000000"/>
          <w:lang w:val="es-CO"/>
        </w:rPr>
        <w:t xml:space="preserve">Definir desde ya qué entidades deben quedar </w:t>
      </w:r>
      <w:r>
        <w:rPr>
          <w:rStyle w:val="Strong"/>
          <w:color w:val="000000"/>
          <w:lang w:val="es-CO"/>
        </w:rPr>
        <w:t>filtradas por `team_id`</w:t>
      </w:r>
      <w:r>
        <w:rPr>
          <w:color w:val="000000"/>
          <w:lang w:val="es-CO"/>
        </w:rPr>
        <w:t xml:space="preserve"> en consultas, políticas y formularios.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>
          <w:color w:val="000000"/>
          <w:lang w:val="es-CO"/>
        </w:rPr>
      </w:pPr>
      <w:r>
        <w:rPr>
          <w:color w:val="000000"/>
          <w:lang w:val="es-CO"/>
        </w:rPr>
        <w:t xml:space="preserve">Normalizar una estrategia Eloquent para tablas con PK `Id` y FKs con sufijo `_Id`.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>
          <w:color w:val="000000"/>
          <w:lang w:val="es-CO"/>
        </w:rPr>
      </w:pPr>
      <w:r>
        <w:rPr>
          <w:color w:val="000000"/>
          <w:lang w:val="es-CO"/>
        </w:rPr>
        <w:t xml:space="preserve">Centralizar cálculo de totales, retenciones e impuestos en servicios de dominio para evitar inconsistencias entre cotización, propuesta, cuenta de cobro y factura.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>
          <w:color w:val="000000"/>
          <w:lang w:val="es-CO"/>
        </w:rPr>
      </w:pPr>
      <w:r>
        <w:rPr>
          <w:color w:val="000000"/>
          <w:lang w:val="es-CO"/>
        </w:rPr>
        <w:t xml:space="preserve">Diseñar el módulo de cumplimiento como una capa transversal: puede bloquear emisión, validación o entrega de documentos.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>
          <w:color w:val="000000"/>
          <w:lang w:val="es-CO"/>
        </w:rPr>
      </w:pPr>
      <w:r>
        <w:rPr>
          <w:color w:val="000000"/>
          <w:lang w:val="es-CO"/>
        </w:rPr>
        <w:t xml:space="preserve">Antes de implementar documentos generados, acordar formato de `content`, `metadata`, versionado y estrategia de almacenamiento en disco. </w:t>
      </w:r>
    </w:p>
    <w:p>
      <w:pPr>
        <w:pStyle w:val="Heading2"/>
        <w:numPr>
          <w:ilvl w:val="0"/>
          <w:numId w:val="0"/>
        </w:numPr>
        <w:pBdr>
          <w:bottom w:val="single" w:sz="12" w:space="1" w:color="D7E6EF"/>
        </w:pBdr>
        <w:bidi w:val="0"/>
        <w:spacing w:before="200" w:after="120"/>
        <w:ind w:hanging="0" w:start="0"/>
        <w:jc w:val="start"/>
        <w:rPr>
          <w:color w:val="000000"/>
          <w:lang w:val="es-CO"/>
        </w:rPr>
      </w:pPr>
      <w:r>
        <w:rPr>
          <w:color w:val="000000"/>
          <w:lang w:val="es-CO"/>
        </w:rPr>
        <w:t>10. Lectura Final</w:t>
      </w:r>
    </w:p>
    <w:p>
      <w:pPr>
        <w:pStyle w:val="BodyText"/>
        <w:bidi w:val="0"/>
        <w:spacing w:before="0" w:after="283"/>
        <w:jc w:val="start"/>
        <w:rPr/>
      </w:pPr>
      <w:r>
        <w:rPr>
          <w:color w:val="000000"/>
          <w:lang w:val="es-CO"/>
        </w:rPr>
        <w:t xml:space="preserve">Nexo no tiene una base de datos genérica; tiene un modelo claramente orientado a </w:t>
      </w:r>
      <w:r>
        <w:rPr>
          <w:rStyle w:val="Strong"/>
          <w:color w:val="000000"/>
          <w:lang w:val="es-CO"/>
        </w:rPr>
        <w:t>operación comercial B2B con fuerte formalización documental</w:t>
      </w:r>
      <w:r>
        <w:rPr>
          <w:color w:val="000000"/>
          <w:lang w:val="es-CO"/>
        </w:rPr>
        <w:t>. La arquitectura ya separa catálogos, actores, oferta, documentos, pagos y trazabilidad. La siguiente fase natural del proyecto es consolidar el esquema multi-equipo y activar el bloque de cumplimiento/generación documental que hoy está descrito en las migraciones pero aún no completamente materializado.</w:t>
      </w:r>
    </w:p>
    <w:p>
      <w:pPr>
        <w:pStyle w:val="BodyTextsmall"/>
        <w:bidi w:val="0"/>
        <w:spacing w:before="0" w:after="283"/>
        <w:jc w:val="start"/>
        <w:rPr>
          <w:color w:val="000000"/>
        </w:rPr>
      </w:pPr>
      <w:r>
        <w:rPr>
          <w:color w:val="000000"/>
        </w:rPr>
        <w:t>Fuente principal: `database/migrations/*.php`, contrastada con el esquema MySQL actual (`SHOW TABLES`) y el estado de la tabla `migrations`.</w:t>
      </w:r>
    </w:p>
    <w:sectPr>
      <w:type w:val="nextPage"/>
      <w:pgSz w:w="12240" w:h="15840"/>
      <w:pgMar w:left="1020" w:right="1020" w:gutter="0" w:header="0" w:top="1020" w:footer="0" w:bottom="1020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false"/>
      <w:bidi w:val="0"/>
      <w:spacing w:lineRule="auto" w:line="348" w:before="0" w:after="0"/>
      <w:jc w:val="start"/>
    </w:pPr>
    <w:rPr>
      <w:rFonts w:ascii="Liberation Sans;Arial;sans-serif" w:hAnsi="Liberation Sans;Arial;sans-serif" w:eastAsia="Liberation Sans;Arial;sans-serif" w:cs="Liberation Sans;Arial;sans-serif"/>
      <w:color w:val="1B1F23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0F3D57"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12" w:space="1" w:color="D7E6EF"/>
      </w:pBdr>
      <w:spacing w:before="200" w:after="120"/>
      <w:outlineLvl w:val="1"/>
    </w:pPr>
    <w:rPr>
      <w:rFonts w:ascii="Liberation Serif" w:hAnsi="Liberation Serif" w:eastAsia="Noto Serif CJK SC" w:cs="Noto Sans Devanagari"/>
      <w:b/>
      <w:bCs/>
      <w:color w:val="0F3D57"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color w:val="0F3D57"/>
      <w:sz w:val="25"/>
      <w:szCs w:val="25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small">
    <w:name w:val="Body Text.small"/>
    <w:basedOn w:val="BodyText"/>
    <w:qFormat/>
    <w:pPr/>
    <w:rPr>
      <w:color w:val="4D5B66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74</TotalTime>
  <Application>LibreOffice/24.2.7.2$Linux_X86_64 LibreOffice_project/420$Build-2</Application>
  <AppVersion>15.0000</AppVersion>
  <Pages>7</Pages>
  <Words>1479</Words>
  <Characters>10595</Characters>
  <CharactersWithSpaces>11965</CharactersWithSpaces>
  <Paragraphs>119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2026-06-09T19:14:47Z</dcterms:modified>
  <cp:revision>1</cp:revision>
  <dc:subject/>
  <dc:title>Arquitectura de Base de Datos - Nexo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