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b/>
          <w:bCs/>
          <w:color w:val="1A1610"/>
          <w:sz w:val="72"/>
          <w:szCs w:val="72"/>
        </w:rPr>
        <w:t xml:space="preserve">IMMO·AI</w:t>
      </w:r>
    </w:p>
    <w:p>
      <w:pPr>
        <w:spacing w:after="400"/>
        <w:jc w:val="center"/>
      </w:pPr>
      <w:r>
        <w:rPr>
          <w:color w:val="B8832A"/>
          <w:sz w:val="32"/>
          <w:szCs w:val="32"/>
        </w:rPr>
        <w:t xml:space="preserve">Documentation Fonctionnelle Complète</w:t>
      </w:r>
    </w:p>
    <w:p>
      <w:pPr>
        <w:spacing w:after="120"/>
        <w:jc w:val="center"/>
      </w:pPr>
      <w:r>
        <w:rPr>
          <w:i/>
          <w:iCs/>
          <w:color w:val="666666"/>
          <w:sz w:val="26"/>
          <w:szCs w:val="26"/>
        </w:rPr>
        <w:t xml:space="preserve">Guide d'utilisation pas à pas</w:t>
      </w:r>
    </w:p>
    <w:p>
      <w:pPr>
        <w:spacing w:after="120"/>
        <w:jc w:val="center"/>
      </w:pPr>
      <w:r>
        <w:rPr>
          <w:color w:val="666666"/>
          <w:sz w:val="22"/>
          <w:szCs w:val="22"/>
        </w:rPr>
        <w:t xml:space="preserve">Version Juin 2026</w:t>
      </w:r>
    </w:p>
    <w:p>
      <w:pPr>
        <w:spacing w:after="160"/>
      </w:pPr>
      <w:r>
        <w:t xml:space="preserve"/>
      </w:r>
    </w:p>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1. Présentation générale</w:t>
      </w:r>
    </w:p>
    <w:p>
      <w:pPr>
        <w:spacing w:after="120"/>
      </w:pPr>
      <w:r>
        <w:rPr>
          <w:b w:val="false"/>
          <w:bCs w:val="false"/>
          <w:i w:val="false"/>
          <w:iCs w:val="false"/>
          <w:color w:val="1A1610"/>
          <w:sz w:val="22"/>
          <w:szCs w:val="22"/>
        </w:rPr>
        <w:t xml:space="preserve">IMMO·AI est une application web d'analyse immobilière avancée. Elle permet d'analyser n'importe quelle adresse en France et fournit des données officielles sur le quartier, les prix du marché, le financement et la stratégie d'achat ou d'investissement.</w:t>
      </w:r>
    </w:p>
    <w:p>
      <w:pPr>
        <w:spacing w:after="160"/>
      </w:pPr>
      <w:r>
        <w:t xml:space="preserve"/>
      </w:r>
    </w:p>
    <w:p>
      <w:pPr>
        <w:spacing w:after="120"/>
      </w:pPr>
      <w:r>
        <w:rPr>
          <w:b/>
          <w:bCs/>
          <w:i w:val="false"/>
          <w:iCs w:val="false"/>
          <w:color w:val="1A1610"/>
          <w:sz w:val="22"/>
          <w:szCs w:val="22"/>
        </w:rPr>
        <w:t xml:space="preserve">L'application s'organise autour de quatre grands axes :</w:t>
      </w:r>
    </w:p>
    <w:p>
      <w:pPr>
        <w:pStyle w:val="ListParagraph"/>
        <w:numPr>
          <w:ilvl w:val="0"/>
          <w:numId w:val="2"/>
        </w:numPr>
        <w:spacing w:after="80"/>
      </w:pPr>
      <w:r>
        <w:rPr>
          <w:color w:val="1A1610"/>
          <w:sz w:val="22"/>
          <w:szCs w:val="22"/>
        </w:rPr>
        <w:t xml:space="preserve">Mon quartier : toutes les données environnementales et socio-économiques de l'adresse</w:t>
      </w:r>
    </w:p>
    <w:p>
      <w:pPr>
        <w:pStyle w:val="ListParagraph"/>
        <w:numPr>
          <w:ilvl w:val="0"/>
          <w:numId w:val="2"/>
        </w:numPr>
        <w:spacing w:after="80"/>
      </w:pPr>
      <w:r>
        <w:rPr>
          <w:color w:val="1A1610"/>
          <w:sz w:val="22"/>
          <w:szCs w:val="22"/>
        </w:rPr>
        <w:t xml:space="preserve">Prix des biens : transactions DVF, loyers estimés, prix par commune</w:t>
      </w:r>
    </w:p>
    <w:p>
      <w:pPr>
        <w:pStyle w:val="ListParagraph"/>
        <w:numPr>
          <w:ilvl w:val="0"/>
          <w:numId w:val="2"/>
        </w:numPr>
        <w:spacing w:after="80"/>
      </w:pPr>
      <w:r>
        <w:rPr>
          <w:color w:val="1A1610"/>
          <w:sz w:val="22"/>
          <w:szCs w:val="22"/>
        </w:rPr>
        <w:t xml:space="preserve">Mon financement : simulateurs de capacité d'emprunt, mensualités, investissement locatif, aides</w:t>
      </w:r>
    </w:p>
    <w:p>
      <w:pPr>
        <w:pStyle w:val="ListParagraph"/>
        <w:numPr>
          <w:ilvl w:val="0"/>
          <w:numId w:val="2"/>
        </w:numPr>
        <w:spacing w:after="80"/>
      </w:pPr>
      <w:r>
        <w:rPr>
          <w:color w:val="1A1610"/>
          <w:sz w:val="22"/>
          <w:szCs w:val="22"/>
        </w:rPr>
        <w:t xml:space="preserve">Ma stratégie : coaching IA, recherche de biens, guide juridique</w:t>
      </w:r>
    </w:p>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2. Prise en main — Première étape obligatoire</w:t>
      </w:r>
    </w:p>
    <w:p>
      <w:pPr>
        <w:spacing w:after="120"/>
      </w:pPr>
      <w:r>
        <w:rPr>
          <w:b w:val="false"/>
          <w:bCs w:val="false"/>
          <w:i w:val="false"/>
          <w:iCs w:val="false"/>
          <w:color w:val="1A1610"/>
          <w:sz w:val="22"/>
          <w:szCs w:val="22"/>
        </w:rPr>
        <w:t xml:space="preserve">Avant toute utilisation, il faut saisir une adresse à analyser. Sans adresse, toutes les cartes affichent N/A.</w:t>
      </w:r>
    </w:p>
    <w:p>
      <w:pPr>
        <w:spacing w:after="160"/>
      </w:pPr>
      <w:r>
        <w:t xml:space="preserve"/>
      </w:r>
    </w:p>
    <w:p>
      <w:pPr>
        <w:pStyle w:val="Heading3"/>
      </w:pPr>
      <w:r>
        <w:rPr>
          <w:b/>
          <w:bCs/>
          <w:color w:val="1A1610"/>
          <w:sz w:val="24"/>
          <w:szCs w:val="24"/>
        </w:rPr>
        <w:t xml:space="preserve">Étapes de démarrage :</w:t>
      </w:r>
    </w:p>
    <w:p>
      <w:pPr>
        <w:pStyle w:val="ListParagraph"/>
        <w:numPr>
          <w:ilvl w:val="0"/>
          <w:numId w:val="3"/>
        </w:numPr>
        <w:spacing w:after="100"/>
      </w:pPr>
      <w:r>
        <w:rPr>
          <w:color w:val="1A1610"/>
          <w:sz w:val="22"/>
          <w:szCs w:val="22"/>
        </w:rPr>
        <w:t xml:space="preserve">Ouvrir l'application — la page d'accueil (onglet 🏠 Accueil) s'affiche.</w:t>
      </w:r>
    </w:p>
    <w:p>
      <w:pPr>
        <w:pStyle w:val="ListParagraph"/>
        <w:numPr>
          <w:ilvl w:val="0"/>
          <w:numId w:val="3"/>
        </w:numPr>
        <w:spacing w:after="100"/>
      </w:pPr>
      <w:r>
        <w:rPr>
          <w:color w:val="1A1610"/>
          <w:sz w:val="22"/>
          <w:szCs w:val="22"/>
        </w:rPr>
        <w:t xml:space="preserve">Taper une adresse complète dans le champ de recherche central.</w:t>
      </w:r>
    </w:p>
    <w:p>
      <w:pPr>
        <w:pStyle w:val="ListParagraph"/>
        <w:numPr>
          <w:ilvl w:val="0"/>
          <w:numId w:val="3"/>
        </w:numPr>
        <w:spacing w:after="100"/>
      </w:pPr>
      <w:r>
        <w:rPr>
          <w:color w:val="1A1610"/>
          <w:sz w:val="22"/>
          <w:szCs w:val="22"/>
        </w:rPr>
        <w:t xml:space="preserve">Sélectionner la suggestion dans la liste déroulante qui apparaît.</w:t>
      </w:r>
    </w:p>
    <w:p>
      <w:pPr>
        <w:pStyle w:val="ListParagraph"/>
        <w:numPr>
          <w:ilvl w:val="0"/>
          <w:numId w:val="3"/>
        </w:numPr>
        <w:spacing w:after="100"/>
      </w:pPr>
      <w:r>
        <w:rPr>
          <w:color w:val="1A1610"/>
          <w:sz w:val="22"/>
          <w:szCs w:val="22"/>
        </w:rPr>
        <w:t xml:space="preserve">L'application charge automatiquement toutes les données disponibles pour cette adresse (cela peut prendre quelques secondes).</w:t>
      </w:r>
    </w:p>
    <w:p>
      <w:pPr>
        <w:pStyle w:val="ListParagraph"/>
        <w:numPr>
          <w:ilvl w:val="0"/>
          <w:numId w:val="3"/>
        </w:numPr>
        <w:spacing w:after="100"/>
      </w:pPr>
      <w:r>
        <w:rPr>
          <w:color w:val="1A1610"/>
          <w:sz w:val="22"/>
          <w:szCs w:val="22"/>
        </w:rPr>
        <w:t xml:space="preserve">La page 'Mon bien' (onglet 🏡) s'ouvre automatiquement avec le tableau de bord complet.</w:t>
      </w:r>
    </w:p>
    <w:p>
      <w:pPr>
        <w:spacing w:after="160"/>
      </w:pPr>
      <w:r>
        <w:t xml:space="preserve"/>
      </w:r>
    </w:p>
    <w:p>
      <w:pPr>
        <w:spacing w:after="120"/>
      </w:pPr>
      <w:r>
        <w:rPr>
          <w:b w:val="false"/>
          <w:bCs w:val="false"/>
          <w:i/>
          <w:iCs/>
          <w:color w:val="B8832A"/>
          <w:sz w:val="22"/>
          <w:szCs w:val="22"/>
        </w:rPr>
        <w:t xml:space="preserve">Conseil : saisir l'adresse exacte du bien souhaité (numéro, rue, ville) pour une analyse précise au niveau de la parcelle.</w:t>
      </w:r>
    </w:p>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3. Navigation</w:t>
      </w:r>
    </w:p>
    <w:p>
      <w:pPr>
        <w:pStyle w:val="Heading2"/>
      </w:pPr>
      <w:r>
        <w:rPr>
          <w:b/>
          <w:bCs/>
          <w:color w:val="B8832A"/>
          <w:sz w:val="28"/>
          <w:szCs w:val="28"/>
        </w:rPr>
        <w:t xml:space="preserve">3.1 Barre d'onglets</w:t>
      </w:r>
    </w:p>
    <w:p>
      <w:pPr>
        <w:spacing w:after="120"/>
      </w:pPr>
      <w:r>
        <w:rPr>
          <w:b w:val="false"/>
          <w:bCs w:val="false"/>
          <w:i w:val="false"/>
          <w:iCs w:val="false"/>
          <w:color w:val="1A1610"/>
          <w:sz w:val="22"/>
          <w:szCs w:val="22"/>
        </w:rPr>
        <w:t xml:space="preserve">En bas sur mobile, en haut sur desktop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238"/>
      </w:tblGrid>
      <w:tr>
        <w:trPr>
          <w:tblHeader/>
        </w:trPr>
        <w:tc>
          <w:tcPr>
            <w:tcW w:type="dxa" w:w="1200"/>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Icône</w:t>
            </w:r>
          </w:p>
        </w:tc>
        <w:tc>
          <w:tcPr>
            <w:tcW w:type="dxa" w:w="2200"/>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Onglet</w:t>
            </w:r>
          </w:p>
        </w:tc>
        <w:tc>
          <w:tcPr>
            <w:tcW w:type="dxa" w:w="6238"/>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Rôle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2"/>
                <w:szCs w:val="22"/>
              </w:rPr>
              <w:t xml:space="preserv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20"/>
                <w:szCs w:val="20"/>
              </w:rPr>
              <w:t xml:space="preserve">Accueil</w:t>
            </w:r>
          </w:p>
        </w:tc>
        <w:tc>
          <w:tcPr>
            <w:tcW w:type="dxa" w:w="62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Page de démarrage, recherche d'adresse</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2"/>
                <w:szCs w:val="22"/>
              </w:rPr>
              <w:t xml:space="preserv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20"/>
                <w:szCs w:val="20"/>
              </w:rPr>
              <w:t xml:space="preserve">Mon bien</w:t>
            </w:r>
          </w:p>
        </w:tc>
        <w:tc>
          <w:tcPr>
            <w:tcW w:type="dxa" w:w="62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Tableau de bord de l'analyse — toutes les cartes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2"/>
                <w:szCs w:val="22"/>
              </w:rPr>
              <w:t xml:space="preserv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20"/>
                <w:szCs w:val="20"/>
              </w:rPr>
              <w:t xml:space="preserve">Financement</w:t>
            </w:r>
          </w:p>
        </w:tc>
        <w:tc>
          <w:tcPr>
            <w:tcW w:type="dxa" w:w="62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Accès direct au simulateur de capacité d'emprunt</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2"/>
                <w:szCs w:val="22"/>
              </w:rPr>
              <w:t xml:space="preserv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sz w:val="20"/>
                <w:szCs w:val="20"/>
              </w:rPr>
              <w:t xml:space="preserve">Avatar IA</w:t>
            </w:r>
          </w:p>
        </w:tc>
        <w:tc>
          <w:tcPr>
            <w:tcW w:type="dxa" w:w="62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Ouvre l'assistante IA vocale Sofia</w:t>
            </w:r>
          </w:p>
        </w:tc>
      </w:tr>
    </w:tbl>
    <w:p>
      <w:pPr>
        <w:spacing w:after="160"/>
      </w:pPr>
      <w:r>
        <w:t xml:space="preserve"/>
      </w:r>
    </w:p>
    <w:p>
      <w:pPr>
        <w:pStyle w:val="Heading2"/>
      </w:pPr>
      <w:r>
        <w:rPr>
          <w:b/>
          <w:bCs/>
          <w:color w:val="B8832A"/>
          <w:sz w:val="28"/>
          <w:szCs w:val="28"/>
        </w:rPr>
        <w:t xml:space="preserve">3.2 Menu latéral (hamburger ☰)</w:t>
      </w:r>
    </w:p>
    <w:p>
      <w:pPr>
        <w:spacing w:after="120"/>
      </w:pPr>
      <w:r>
        <w:rPr>
          <w:b w:val="false"/>
          <w:bCs w:val="false"/>
          <w:i w:val="false"/>
          <w:iCs w:val="false"/>
          <w:color w:val="1A1610"/>
          <w:sz w:val="22"/>
          <w:szCs w:val="22"/>
        </w:rPr>
        <w:t xml:space="preserve">Organisé en 4 sections dépliables : Mon quartier, Prix des biens, Mon financement, Ma stratégie.</w:t>
      </w:r>
    </w:p>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4. Section "Mon quartier" — Tableau de bord</w:t>
      </w:r>
    </w:p>
    <w:p>
      <w:pPr>
        <w:spacing w:after="120"/>
      </w:pPr>
      <w:r>
        <w:rPr>
          <w:b w:val="false"/>
          <w:bCs w:val="false"/>
          <w:i w:val="false"/>
          <w:iCs w:val="false"/>
          <w:color w:val="1A1610"/>
          <w:sz w:val="22"/>
          <w:szCs w:val="22"/>
        </w:rPr>
        <w:t xml:space="preserve">Une fois une adresse analysée, cliquer sur une carte l'ouvre en détail avec toutes les données.</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5038"/>
      </w:tblGrid>
      <w:tr>
        <w:trPr>
          <w:tblHeader/>
        </w:trPr>
        <w:tc>
          <w:tcPr>
            <w:tcW w:type="dxa" w:w="600"/>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
            </w:r>
          </w:p>
        </w:tc>
        <w:tc>
          <w:tcPr>
            <w:tcW w:type="dxa" w:w="2800"/>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Carte</w:t>
            </w:r>
          </w:p>
        </w:tc>
        <w:tc>
          <w:tcPr>
            <w:tcW w:type="dxa" w:w="1200"/>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ID</w:t>
            </w:r>
          </w:p>
        </w:tc>
        <w:tc>
          <w:tcPr>
            <w:tcW w:type="dxa" w:w="5038"/>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Description</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Score global</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score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Score 0-10 synthétisant tous les critères du quartier</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Prix transactions DVF</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dvf</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Prix médian/moyen/min/max au m², nb transactions, vs département</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Loyers estimés</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loyers</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Loyers mensuels estimés par surface + rendement locatif brut</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Population &amp; économie</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insee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Revenus médians, chômage, diplômes, propriétaires vs national</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Logement &amp; habitat</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logement</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Types de logements, ancienneté, vacance, copropriétés</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Mobilité &amp; transports</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mobilite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Transports en commun, vélos, distances à pied</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Météo &amp; ensoleillement</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meteo</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Ensoleillement annuel, précipitations, températures</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Bruit</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bruit</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Niveaux de bruit routier, ferroviaire, aérien</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Risques naturels</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risques</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Inondation, séisme, argiles, risques industriels</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Altitude &amp; topographie</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altitude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Altitude NGF en mètres — précision 1m, source IGN</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Établissements scolaires</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ecoles</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Écoles/collèges/lycées proches avec IPS</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Services &amp; commerces</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services</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Commerces, santé, loisirs à proximité</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Fibre optique</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fibre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Éligibilité fibre — source Arcep</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Démographie</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demographie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Pyramide des âges, évolution population, attractivité</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Urbanisme &amp; PLU</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urbanisme</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Zonage PLU, règles d'urbanisme applicables à la parcelle</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Aides à l'achat</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aides</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Simulateur PTZ, APL et autres aides selon profil</w:t>
            </w:r>
          </w:p>
        </w:tc>
      </w:tr>
      <w:tr>
        <w:tc>
          <w:tcPr>
            <w:tcW w:type="dxa" w:w="600"/>
            <w:tcBorders>
              <w:top w:val="single" w:color="DDDDDD" w:sz="1"/>
              <w:left w:val="single" w:color="DDDDDD" w:sz="1"/>
              <w:bottom w:val="single" w:color="DDDDDD" w:sz="1"/>
              <w:right w:val="single" w:color="DDDDDD" w:sz="1"/>
            </w:tcBorders>
            <w:shd w:fill="FFF8EC" w:val="clear"/>
            <w:tcMar>
              <w:top w:type="dxa" w:w="80"/>
              <w:left w:type="dxa" w:w="100"/>
              <w:bottom w:type="dxa" w:w="80"/>
              <w:right w:type="dxa" w:w="100"/>
            </w:tcMar>
          </w:tcPr>
          <w:p>
            <w:pPr>
              <w:jc w:val="center"/>
            </w:pPr>
            <w:r>
              <w:rPr>
                <w:sz w:val="24"/>
                <w:szCs w:val="24"/>
              </w:rPr>
              <w:t xml:space="preserv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bCs/>
                <w:color w:val="1A1610"/>
                <w:sz w:val="20"/>
                <w:szCs w:val="20"/>
              </w:rPr>
              <w:t xml:space="preserve">MaPrimeRénov'</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b/>
                <w:bCs/>
                <w:color w:val="B8832A"/>
                <w:sz w:val="18"/>
                <w:szCs w:val="18"/>
              </w:rPr>
              <w:t xml:space="preserve">renov</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666666"/>
                <w:sz w:val="19"/>
                <w:szCs w:val="19"/>
              </w:rPr>
              <w:t xml:space="preserve">Aides travaux selon DPE actuel et DPE cible</w:t>
            </w:r>
          </w:p>
        </w:tc>
      </w:tr>
    </w:tbl>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5. Section "Mon financement"</w:t>
      </w:r>
    </w:p>
    <w:p>
      <w:pPr>
        <w:spacing w:after="120"/>
      </w:pPr>
      <w:r>
        <w:rPr>
          <w:b w:val="false"/>
          <w:bCs w:val="false"/>
          <w:i w:val="false"/>
          <w:iCs w:val="false"/>
          <w:color w:val="1A1610"/>
          <w:sz w:val="22"/>
          <w:szCs w:val="22"/>
        </w:rPr>
        <w:t xml:space="preserve">Simulateurs financiers indépendants. Les résultats se propagent automatiquement d'un outil à l'autre (ex : la capacité d'emprunt pré-remplit les mensualités).</w:t>
      </w:r>
    </w:p>
    <w:p>
      <w:pPr>
        <w:spacing w:after="160"/>
      </w:pPr>
      <w:r>
        <w:t xml:space="preserve"/>
      </w:r>
    </w:p>
    <w:p>
      <w:pPr>
        <w:pStyle w:val="Heading2"/>
      </w:pPr>
      <w:r>
        <w:rPr>
          <w:b/>
          <w:bCs/>
          <w:color w:val="B8832A"/>
          <w:sz w:val="28"/>
          <w:szCs w:val="28"/>
        </w:rPr>
        <w:t xml:space="preserve">5.1 Capacité d'emprunt</w:t>
      </w:r>
    </w:p>
    <w:p>
      <w:pPr>
        <w:spacing w:after="120"/>
      </w:pPr>
      <w:r>
        <w:rPr>
          <w:b w:val="false"/>
          <w:bCs w:val="false"/>
          <w:i w:val="false"/>
          <w:iCs w:val="false"/>
          <w:color w:val="1A1610"/>
          <w:sz w:val="22"/>
          <w:szCs w:val="22"/>
        </w:rPr>
        <w:t xml:space="preserve">Calcule le budget d'achat maximum selon les revenus et la règle des 35%.</w:t>
      </w:r>
    </w:p>
    <w:p>
      <w:pPr>
        <w:pStyle w:val="Heading3"/>
      </w:pPr>
      <w:r>
        <w:rPr>
          <w:b/>
          <w:bCs/>
          <w:color w:val="1A1610"/>
          <w:sz w:val="24"/>
          <w:szCs w:val="24"/>
        </w:rPr>
        <w:t xml:space="preserve">Champs à renseigner :</w:t>
      </w:r>
    </w:p>
    <w:p>
      <w:pPr>
        <w:pStyle w:val="ListParagraph"/>
        <w:numPr>
          <w:ilvl w:val="0"/>
          <w:numId w:val="2"/>
        </w:numPr>
        <w:spacing w:after="80"/>
      </w:pPr>
      <w:r>
        <w:rPr>
          <w:color w:val="1A1610"/>
          <w:sz w:val="22"/>
          <w:szCs w:val="22"/>
        </w:rPr>
        <w:t xml:space="preserve">Revenus mensuels nets — emprunteur 1 (et emprunteur 2 si couple)</w:t>
      </w:r>
    </w:p>
    <w:p>
      <w:pPr>
        <w:pStyle w:val="ListParagraph"/>
        <w:numPr>
          <w:ilvl w:val="0"/>
          <w:numId w:val="2"/>
        </w:numPr>
        <w:spacing w:after="80"/>
      </w:pPr>
      <w:r>
        <w:rPr>
          <w:color w:val="1A1610"/>
          <w:sz w:val="22"/>
          <w:szCs w:val="22"/>
        </w:rPr>
        <w:t xml:space="preserve">Crédits en cours — mensualités de crédits existants (auto, conso…)</w:t>
      </w:r>
    </w:p>
    <w:p>
      <w:pPr>
        <w:pStyle w:val="ListParagraph"/>
        <w:numPr>
          <w:ilvl w:val="0"/>
          <w:numId w:val="2"/>
        </w:numPr>
        <w:spacing w:after="80"/>
      </w:pPr>
      <w:r>
        <w:rPr>
          <w:color w:val="1A1610"/>
          <w:sz w:val="22"/>
          <w:szCs w:val="22"/>
        </w:rPr>
        <w:t xml:space="preserve">Apport personnel — économies disponibles</w:t>
      </w:r>
    </w:p>
    <w:p>
      <w:pPr>
        <w:pStyle w:val="ListParagraph"/>
        <w:numPr>
          <w:ilvl w:val="0"/>
          <w:numId w:val="2"/>
        </w:numPr>
        <w:spacing w:after="80"/>
      </w:pPr>
      <w:r>
        <w:rPr>
          <w:color w:val="1A1610"/>
          <w:sz w:val="22"/>
          <w:szCs w:val="22"/>
        </w:rPr>
        <w:t xml:space="preserve">Durée souhaitée — de 10 à 25 ans</w:t>
      </w:r>
    </w:p>
    <w:p>
      <w:pPr>
        <w:pStyle w:val="ListParagraph"/>
        <w:numPr>
          <w:ilvl w:val="0"/>
          <w:numId w:val="2"/>
        </w:numPr>
        <w:spacing w:after="80"/>
      </w:pPr>
      <w:r>
        <w:rPr>
          <w:color w:val="1A1610"/>
          <w:sz w:val="22"/>
          <w:szCs w:val="22"/>
        </w:rPr>
        <w:t xml:space="preserve">Taux d'intérêt — pré-rempli avec le taux du marché actuel</w:t>
      </w:r>
    </w:p>
    <w:p>
      <w:pPr>
        <w:pStyle w:val="ListParagraph"/>
        <w:numPr>
          <w:ilvl w:val="0"/>
          <w:numId w:val="2"/>
        </w:numPr>
        <w:spacing w:after="80"/>
      </w:pPr>
      <w:r>
        <w:rPr>
          <w:color w:val="1A1610"/>
          <w:sz w:val="22"/>
          <w:szCs w:val="22"/>
        </w:rPr>
        <w:t xml:space="preserve">Taux d'assurance emprunteur — par défaut 0,25%</w:t>
      </w:r>
    </w:p>
    <w:p>
      <w:pPr>
        <w:spacing w:after="160"/>
      </w:pPr>
      <w:r>
        <w:t xml:space="preserve"/>
      </w:r>
    </w:p>
    <w:p>
      <w:pPr>
        <w:pStyle w:val="Heading3"/>
      </w:pPr>
      <w:r>
        <w:rPr>
          <w:b/>
          <w:bCs/>
          <w:color w:val="1A1610"/>
          <w:sz w:val="24"/>
          <w:szCs w:val="24"/>
        </w:rPr>
        <w:t xml:space="preserve">Résultats obtenus :</w:t>
      </w:r>
    </w:p>
    <w:p>
      <w:pPr>
        <w:pStyle w:val="ListParagraph"/>
        <w:numPr>
          <w:ilvl w:val="0"/>
          <w:numId w:val="2"/>
        </w:numPr>
        <w:spacing w:after="80"/>
      </w:pPr>
      <w:r>
        <w:rPr>
          <w:color w:val="1A1610"/>
          <w:sz w:val="22"/>
          <w:szCs w:val="22"/>
        </w:rPr>
        <w:t xml:space="preserve">Capacité d'emprunt totale</w:t>
      </w:r>
    </w:p>
    <w:p>
      <w:pPr>
        <w:pStyle w:val="ListParagraph"/>
        <w:numPr>
          <w:ilvl w:val="0"/>
          <w:numId w:val="2"/>
        </w:numPr>
        <w:spacing w:after="80"/>
      </w:pPr>
      <w:r>
        <w:rPr>
          <w:color w:val="1A1610"/>
          <w:sz w:val="22"/>
          <w:szCs w:val="22"/>
        </w:rPr>
        <w:t xml:space="preserve">Budget total (emprunt + apport)</w:t>
      </w:r>
    </w:p>
    <w:p>
      <w:pPr>
        <w:pStyle w:val="ListParagraph"/>
        <w:numPr>
          <w:ilvl w:val="0"/>
          <w:numId w:val="2"/>
        </w:numPr>
        <w:spacing w:after="80"/>
      </w:pPr>
      <w:r>
        <w:rPr>
          <w:color w:val="1A1610"/>
          <w:sz w:val="22"/>
          <w:szCs w:val="22"/>
        </w:rPr>
        <w:t xml:space="preserve">Mensualité maximale (règle des 35% des revenus nets)</w:t>
      </w:r>
    </w:p>
    <w:p>
      <w:pPr>
        <w:pStyle w:val="ListParagraph"/>
        <w:numPr>
          <w:ilvl w:val="0"/>
          <w:numId w:val="2"/>
        </w:numPr>
        <w:spacing w:after="80"/>
      </w:pPr>
      <w:r>
        <w:rPr>
          <w:color w:val="1A1610"/>
          <w:sz w:val="22"/>
          <w:szCs w:val="22"/>
        </w:rPr>
        <w:t xml:space="preserve">Stress test : capacité si les taux montent ou baissent de 0,5% et 1%</w:t>
      </w:r>
    </w:p>
    <w:p>
      <w:pPr>
        <w:pStyle w:val="ListParagraph"/>
        <w:numPr>
          <w:ilvl w:val="0"/>
          <w:numId w:val="2"/>
        </w:numPr>
        <w:spacing w:after="80"/>
      </w:pPr>
      <w:r>
        <w:rPr>
          <w:color w:val="1A1610"/>
          <w:sz w:val="22"/>
          <w:szCs w:val="22"/>
        </w:rPr>
        <w:t xml:space="preserve">Conseil sur l'apport (objectif 20% recommandé par les banques)</w:t>
      </w:r>
    </w:p>
    <w:p>
      <w:pPr>
        <w:spacing w:after="160"/>
      </w:pPr>
      <w:r>
        <w:t xml:space="preserve"/>
      </w:r>
    </w:p>
    <w:p>
      <w:pPr>
        <w:spacing w:after="120"/>
      </w:pPr>
      <w:r>
        <w:rPr>
          <w:b w:val="false"/>
          <w:bCs w:val="false"/>
          <w:i/>
          <w:iCs/>
          <w:color w:val="B8832A"/>
          <w:sz w:val="22"/>
          <w:szCs w:val="22"/>
        </w:rPr>
        <w:t xml:space="preserve">→ Cliquer sur 'Calculer' pour lancer la simulation.</w:t>
      </w:r>
    </w:p>
    <w:p>
      <w:pPr>
        <w:spacing w:after="160"/>
      </w:pPr>
      <w:r>
        <w:t xml:space="preserve"/>
      </w:r>
    </w:p>
    <w:p>
      <w:pPr>
        <w:pStyle w:val="Heading2"/>
      </w:pPr>
      <w:r>
        <w:rPr>
          <w:b/>
          <w:bCs/>
          <w:color w:val="B8832A"/>
          <w:sz w:val="28"/>
          <w:szCs w:val="28"/>
        </w:rPr>
        <w:t xml:space="preserve">5.2 Mensualités &amp; coût total du crédit</w:t>
      </w:r>
    </w:p>
    <w:p>
      <w:pPr>
        <w:spacing w:after="120"/>
      </w:pPr>
      <w:r>
        <w:rPr>
          <w:b w:val="false"/>
          <w:bCs w:val="false"/>
          <w:i w:val="false"/>
          <w:iCs w:val="false"/>
          <w:color w:val="1A1610"/>
          <w:sz w:val="22"/>
          <w:szCs w:val="22"/>
        </w:rPr>
        <w:t xml:space="preserve">Calcule les mensualités et le coût réel du crédit sur la durée.</w:t>
      </w:r>
    </w:p>
    <w:p>
      <w:pPr>
        <w:pStyle w:val="Heading3"/>
      </w:pPr>
      <w:r>
        <w:rPr>
          <w:b/>
          <w:bCs/>
          <w:color w:val="1A1610"/>
          <w:sz w:val="24"/>
          <w:szCs w:val="24"/>
        </w:rPr>
        <w:t xml:space="preserve">Champs à renseigner :</w:t>
      </w:r>
    </w:p>
    <w:p>
      <w:pPr>
        <w:pStyle w:val="ListParagraph"/>
        <w:numPr>
          <w:ilvl w:val="0"/>
          <w:numId w:val="2"/>
        </w:numPr>
        <w:spacing w:after="80"/>
      </w:pPr>
      <w:r>
        <w:rPr>
          <w:color w:val="1A1610"/>
          <w:sz w:val="22"/>
          <w:szCs w:val="22"/>
        </w:rPr>
        <w:t xml:space="preserve">Montant emprunté</w:t>
      </w:r>
    </w:p>
    <w:p>
      <w:pPr>
        <w:pStyle w:val="ListParagraph"/>
        <w:numPr>
          <w:ilvl w:val="0"/>
          <w:numId w:val="2"/>
        </w:numPr>
        <w:spacing w:after="80"/>
      </w:pPr>
      <w:r>
        <w:rPr>
          <w:color w:val="1A1610"/>
          <w:sz w:val="22"/>
          <w:szCs w:val="22"/>
        </w:rPr>
        <w:t xml:space="preserve">Durée, taux, assurance</w:t>
      </w:r>
    </w:p>
    <w:p>
      <w:pPr>
        <w:pStyle w:val="ListParagraph"/>
        <w:numPr>
          <w:ilvl w:val="0"/>
          <w:numId w:val="2"/>
        </w:numPr>
        <w:spacing w:after="80"/>
      </w:pPr>
      <w:r>
        <w:rPr>
          <w:color w:val="1A1610"/>
          <w:sz w:val="22"/>
          <w:szCs w:val="22"/>
        </w:rPr>
        <w:t xml:space="preserve">Frais de notaire (option : inclure dans le prêt ou non)</w:t>
      </w:r>
    </w:p>
    <w:p>
      <w:pPr>
        <w:pStyle w:val="ListParagraph"/>
        <w:numPr>
          <w:ilvl w:val="0"/>
          <w:numId w:val="2"/>
        </w:numPr>
        <w:spacing w:after="80"/>
      </w:pPr>
      <w:r>
        <w:rPr>
          <w:color w:val="1A1610"/>
          <w:sz w:val="22"/>
          <w:szCs w:val="22"/>
        </w:rPr>
        <w:t xml:space="preserve">Travaux financés par la banque (option)</w:t>
      </w:r>
    </w:p>
    <w:p>
      <w:pPr>
        <w:spacing w:after="160"/>
      </w:pPr>
      <w:r>
        <w:t xml:space="preserve"/>
      </w:r>
    </w:p>
    <w:p>
      <w:pPr>
        <w:pStyle w:val="Heading3"/>
      </w:pPr>
      <w:r>
        <w:rPr>
          <w:b/>
          <w:bCs/>
          <w:color w:val="1A1610"/>
          <w:sz w:val="24"/>
          <w:szCs w:val="24"/>
        </w:rPr>
        <w:t xml:space="preserve">Résultats obtenus :</w:t>
      </w:r>
    </w:p>
    <w:p>
      <w:pPr>
        <w:pStyle w:val="ListParagraph"/>
        <w:numPr>
          <w:ilvl w:val="0"/>
          <w:numId w:val="2"/>
        </w:numPr>
        <w:spacing w:after="80"/>
      </w:pPr>
      <w:r>
        <w:rPr>
          <w:color w:val="1A1610"/>
          <w:sz w:val="22"/>
          <w:szCs w:val="22"/>
        </w:rPr>
        <w:t xml:space="preserve">Mensualité totale (capital + intérêts + assurance)</w:t>
      </w:r>
    </w:p>
    <w:p>
      <w:pPr>
        <w:pStyle w:val="ListParagraph"/>
        <w:numPr>
          <w:ilvl w:val="0"/>
          <w:numId w:val="2"/>
        </w:numPr>
        <w:spacing w:after="80"/>
      </w:pPr>
      <w:r>
        <w:rPr>
          <w:color w:val="1A1610"/>
          <w:sz w:val="22"/>
          <w:szCs w:val="22"/>
        </w:rPr>
        <w:t xml:space="preserve">Répartition visuelle capital / intérêts / assurance</w:t>
      </w:r>
    </w:p>
    <w:p>
      <w:pPr>
        <w:pStyle w:val="ListParagraph"/>
        <w:numPr>
          <w:ilvl w:val="0"/>
          <w:numId w:val="2"/>
        </w:numPr>
        <w:spacing w:after="80"/>
      </w:pPr>
      <w:r>
        <w:rPr>
          <w:color w:val="1A1610"/>
          <w:sz w:val="22"/>
          <w:szCs w:val="22"/>
        </w:rPr>
        <w:t xml:space="preserve">Coût total du crédit sur la durée</w:t>
      </w:r>
    </w:p>
    <w:p>
      <w:pPr>
        <w:pStyle w:val="ListParagraph"/>
        <w:numPr>
          <w:ilvl w:val="0"/>
          <w:numId w:val="2"/>
        </w:numPr>
        <w:spacing w:after="80"/>
      </w:pPr>
      <w:r>
        <w:rPr>
          <w:color w:val="1A1610"/>
          <w:sz w:val="22"/>
          <w:szCs w:val="22"/>
        </w:rPr>
        <w:t xml:space="preserve">TAEG approximatif</w:t>
      </w:r>
    </w:p>
    <w:p>
      <w:pPr>
        <w:spacing w:after="160"/>
      </w:pPr>
      <w:r>
        <w:t xml:space="preserve"/>
      </w:r>
    </w:p>
    <w:p>
      <w:pPr>
        <w:pStyle w:val="Heading2"/>
      </w:pPr>
      <w:r>
        <w:rPr>
          <w:b/>
          <w:bCs/>
          <w:color w:val="B8832A"/>
          <w:sz w:val="28"/>
          <w:szCs w:val="28"/>
        </w:rPr>
        <w:t xml:space="preserve">5.3 Investissement locatif</w:t>
      </w:r>
    </w:p>
    <w:p>
      <w:pPr>
        <w:spacing w:after="120"/>
      </w:pPr>
      <w:r>
        <w:rPr>
          <w:b w:val="false"/>
          <w:bCs w:val="false"/>
          <w:i w:val="false"/>
          <w:iCs w:val="false"/>
          <w:color w:val="1A1610"/>
          <w:sz w:val="22"/>
          <w:szCs w:val="22"/>
        </w:rPr>
        <w:t xml:space="preserve">Simulateur complet pour évaluer la rentabilité d'un investissement.</w:t>
      </w:r>
    </w:p>
    <w:p>
      <w:pPr>
        <w:pStyle w:val="Heading3"/>
      </w:pPr>
      <w:r>
        <w:rPr>
          <w:b/>
          <w:bCs/>
          <w:color w:val="1A1610"/>
          <w:sz w:val="24"/>
          <w:szCs w:val="24"/>
        </w:rPr>
        <w:t xml:space="preserve">Champs à renseigner :</w:t>
      </w:r>
    </w:p>
    <w:p>
      <w:pPr>
        <w:pStyle w:val="ListParagraph"/>
        <w:numPr>
          <w:ilvl w:val="0"/>
          <w:numId w:val="2"/>
        </w:numPr>
        <w:spacing w:after="80"/>
      </w:pPr>
      <w:r>
        <w:rPr>
          <w:color w:val="1A1610"/>
          <w:sz w:val="22"/>
          <w:szCs w:val="22"/>
        </w:rPr>
        <w:t xml:space="preserve">Prix du bien, DPE (travaux estimés automatiquement selon classe)</w:t>
      </w:r>
    </w:p>
    <w:p>
      <w:pPr>
        <w:pStyle w:val="ListParagraph"/>
        <w:numPr>
          <w:ilvl w:val="0"/>
          <w:numId w:val="2"/>
        </w:numPr>
        <w:spacing w:after="80"/>
      </w:pPr>
      <w:r>
        <w:rPr>
          <w:color w:val="1A1610"/>
          <w:sz w:val="22"/>
          <w:szCs w:val="22"/>
        </w:rPr>
        <w:t xml:space="preserve">Apport, durée, taux</w:t>
      </w:r>
    </w:p>
    <w:p>
      <w:pPr>
        <w:pStyle w:val="ListParagraph"/>
        <w:numPr>
          <w:ilvl w:val="0"/>
          <w:numId w:val="2"/>
        </w:numPr>
        <w:spacing w:after="80"/>
      </w:pPr>
      <w:r>
        <w:rPr>
          <w:color w:val="1A1610"/>
          <w:sz w:val="22"/>
          <w:szCs w:val="22"/>
        </w:rPr>
        <w:t xml:space="preserve">Loyer mensuel estimé, charges de copropriété, taxe foncière</w:t>
      </w:r>
    </w:p>
    <w:p>
      <w:pPr>
        <w:pStyle w:val="ListParagraph"/>
        <w:numPr>
          <w:ilvl w:val="0"/>
          <w:numId w:val="2"/>
        </w:numPr>
        <w:spacing w:after="80"/>
      </w:pPr>
      <w:r>
        <w:rPr>
          <w:color w:val="1A1610"/>
          <w:sz w:val="22"/>
          <w:szCs w:val="22"/>
        </w:rPr>
        <w:t xml:space="preserve">Régime fiscal : micro-foncier, réel, ou LMNP</w:t>
      </w:r>
    </w:p>
    <w:p>
      <w:pPr>
        <w:pStyle w:val="ListParagraph"/>
        <w:numPr>
          <w:ilvl w:val="0"/>
          <w:numId w:val="2"/>
        </w:numPr>
        <w:spacing w:after="80"/>
      </w:pPr>
      <w:r>
        <w:rPr>
          <w:color w:val="1A1610"/>
          <w:sz w:val="22"/>
          <w:szCs w:val="22"/>
        </w:rPr>
        <w:t xml:space="preserve">TMI (tranche marginale d'imposition)</w:t>
      </w:r>
    </w:p>
    <w:p>
      <w:pPr>
        <w:spacing w:after="160"/>
      </w:pPr>
      <w:r>
        <w:t xml:space="preserve"/>
      </w:r>
    </w:p>
    <w:p>
      <w:pPr>
        <w:pStyle w:val="Heading3"/>
      </w:pPr>
      <w:r>
        <w:rPr>
          <w:b/>
          <w:bCs/>
          <w:color w:val="1A1610"/>
          <w:sz w:val="24"/>
          <w:szCs w:val="24"/>
        </w:rPr>
        <w:t xml:space="preserve">Résultats obtenus :</w:t>
      </w:r>
    </w:p>
    <w:p>
      <w:pPr>
        <w:pStyle w:val="ListParagraph"/>
        <w:numPr>
          <w:ilvl w:val="0"/>
          <w:numId w:val="2"/>
        </w:numPr>
        <w:spacing w:after="80"/>
      </w:pPr>
      <w:r>
        <w:rPr>
          <w:color w:val="1A1610"/>
          <w:sz w:val="22"/>
          <w:szCs w:val="22"/>
        </w:rPr>
        <w:t xml:space="preserve">Rendement brut et rendement net</w:t>
      </w:r>
    </w:p>
    <w:p>
      <w:pPr>
        <w:pStyle w:val="ListParagraph"/>
        <w:numPr>
          <w:ilvl w:val="0"/>
          <w:numId w:val="2"/>
        </w:numPr>
        <w:spacing w:after="80"/>
      </w:pPr>
      <w:r>
        <w:rPr>
          <w:color w:val="1A1610"/>
          <w:sz w:val="22"/>
          <w:szCs w:val="22"/>
        </w:rPr>
        <w:t xml:space="preserve">Cash-flow mensuel avant et après impôts</w:t>
      </w:r>
    </w:p>
    <w:p>
      <w:pPr>
        <w:pStyle w:val="ListParagraph"/>
        <w:numPr>
          <w:ilvl w:val="0"/>
          <w:numId w:val="2"/>
        </w:numPr>
        <w:spacing w:after="80"/>
      </w:pPr>
      <w:r>
        <w:rPr>
          <w:color w:val="1A1610"/>
          <w:sz w:val="22"/>
          <w:szCs w:val="22"/>
        </w:rPr>
        <w:t xml:space="preserve">Graphique d'évolution du cash-flow sur la durée</w:t>
      </w:r>
    </w:p>
    <w:p>
      <w:pPr>
        <w:spacing w:after="160"/>
      </w:pPr>
      <w:r>
        <w:t xml:space="preserve"/>
      </w:r>
    </w:p>
    <w:p>
      <w:pPr>
        <w:pStyle w:val="Heading2"/>
      </w:pPr>
      <w:r>
        <w:rPr>
          <w:b/>
          <w:bCs/>
          <w:color w:val="B8832A"/>
          <w:sz w:val="28"/>
          <w:szCs w:val="28"/>
        </w:rPr>
        <w:t xml:space="preserve">5.4 Location : budget &amp; comparaison</w:t>
      </w:r>
    </w:p>
    <w:p>
      <w:pPr>
        <w:spacing w:after="120"/>
      </w:pPr>
      <w:r>
        <w:rPr>
          <w:b w:val="false"/>
          <w:bCs w:val="false"/>
          <w:i w:val="false"/>
          <w:iCs w:val="false"/>
          <w:color w:val="1A1610"/>
          <w:sz w:val="22"/>
          <w:szCs w:val="22"/>
        </w:rPr>
        <w:t xml:space="preserve">Deux outils dans un même panneau :</w:t>
      </w:r>
    </w:p>
    <w:p>
      <w:pPr>
        <w:pStyle w:val="ListParagraph"/>
        <w:numPr>
          <w:ilvl w:val="0"/>
          <w:numId w:val="2"/>
        </w:numPr>
        <w:spacing w:after="80"/>
      </w:pPr>
      <w:r>
        <w:rPr>
          <w:color w:val="1A1610"/>
          <w:sz w:val="22"/>
          <w:szCs w:val="22"/>
        </w:rPr>
        <w:t xml:space="preserve">Budget loyer : calcule le loyer max selon revenus (règle des 33%)</w:t>
      </w:r>
    </w:p>
    <w:p>
      <w:pPr>
        <w:pStyle w:val="ListParagraph"/>
        <w:numPr>
          <w:ilvl w:val="0"/>
          <w:numId w:val="2"/>
        </w:numPr>
        <w:spacing w:after="80"/>
      </w:pPr>
      <w:r>
        <w:rPr>
          <w:color w:val="1A1610"/>
          <w:sz w:val="22"/>
          <w:szCs w:val="22"/>
        </w:rPr>
        <w:t xml:space="preserve">Louer vs Acheter : compare sur X années le coût total de chaque option</w:t>
      </w:r>
    </w:p>
    <w:p>
      <w:pPr>
        <w:spacing w:after="160"/>
      </w:pPr>
      <w:r>
        <w:t xml:space="preserve"/>
      </w:r>
    </w:p>
    <w:p>
      <w:pPr>
        <w:pStyle w:val="Heading2"/>
      </w:pPr>
      <w:r>
        <w:rPr>
          <w:b/>
          <w:bCs/>
          <w:color w:val="B8832A"/>
          <w:sz w:val="28"/>
          <w:szCs w:val="28"/>
        </w:rPr>
        <w:t xml:space="preserve">5.5 Aides à l'achat (PTZ)</w:t>
      </w:r>
    </w:p>
    <w:p>
      <w:pPr>
        <w:spacing w:after="120"/>
      </w:pPr>
      <w:r>
        <w:rPr>
          <w:b w:val="false"/>
          <w:bCs w:val="false"/>
          <w:i w:val="false"/>
          <w:iCs w:val="false"/>
          <w:color w:val="1A1610"/>
          <w:sz w:val="22"/>
          <w:szCs w:val="22"/>
        </w:rPr>
        <w:t xml:space="preserve">Simulateur du Prêt à Taux Zéro et autres aides. Renseigner : situation familiale, revenus, zone géographique, type de bien (neuf/ancien), primo-accédant ou non.</w:t>
      </w:r>
    </w:p>
    <w:p>
      <w:pPr>
        <w:spacing w:after="160"/>
      </w:pPr>
      <w:r>
        <w:t xml:space="preserve"/>
      </w:r>
    </w:p>
    <w:p>
      <w:pPr>
        <w:pStyle w:val="Heading2"/>
      </w:pPr>
      <w:r>
        <w:rPr>
          <w:b/>
          <w:bCs/>
          <w:color w:val="B8832A"/>
          <w:sz w:val="28"/>
          <w:szCs w:val="28"/>
        </w:rPr>
        <w:t xml:space="preserve">5.6 MaPrimeRénov'</w:t>
      </w:r>
    </w:p>
    <w:p>
      <w:pPr>
        <w:spacing w:after="120"/>
      </w:pPr>
      <w:r>
        <w:rPr>
          <w:b w:val="false"/>
          <w:bCs w:val="false"/>
          <w:i w:val="false"/>
          <w:iCs w:val="false"/>
          <w:color w:val="1A1610"/>
          <w:sz w:val="22"/>
          <w:szCs w:val="22"/>
        </w:rPr>
        <w:t xml:space="preserve">Simulateur des aides à la rénovation énergétique. Renseigner : DPE actuel, DPE visé, revenus du foyer. Résultat : montant estimé de l'aide et tranche de revenus.</w:t>
      </w:r>
    </w:p>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6. Section "Ma stratégie"</w:t>
      </w:r>
    </w:p>
    <w:p>
      <w:pPr>
        <w:spacing w:after="160"/>
      </w:pPr>
      <w:r>
        <w:t xml:space="preserve"/>
      </w:r>
    </w:p>
    <w:p>
      <w:pPr>
        <w:pStyle w:val="Heading2"/>
      </w:pPr>
      <w:r>
        <w:rPr>
          <w:b/>
          <w:bCs/>
          <w:color w:val="B8832A"/>
          <w:sz w:val="28"/>
          <w:szCs w:val="28"/>
        </w:rPr>
        <w:t xml:space="preserve">6.1 Trouver un bien</w:t>
      </w:r>
    </w:p>
    <w:p>
      <w:pPr>
        <w:spacing w:after="120"/>
      </w:pPr>
      <w:r>
        <w:rPr>
          <w:b w:val="false"/>
          <w:bCs w:val="false"/>
          <w:i w:val="false"/>
          <w:iCs w:val="false"/>
          <w:color w:val="1A1610"/>
          <w:sz w:val="22"/>
          <w:szCs w:val="22"/>
        </w:rPr>
        <w:t xml:space="preserve">Liens vers 5 sites immobiliers (SeLoger, LeBonCoin, PAP, Bien'ici, Logic-Immo) pré-filtrés avec la ville analysée. Ouvre directement la recherche avec les critères locaux.</w:t>
      </w:r>
    </w:p>
    <w:p>
      <w:pPr>
        <w:spacing w:after="160"/>
      </w:pPr>
      <w:r>
        <w:t xml:space="preserve"/>
      </w:r>
    </w:p>
    <w:p>
      <w:pPr>
        <w:pStyle w:val="Heading2"/>
      </w:pPr>
      <w:r>
        <w:rPr>
          <w:b/>
          <w:bCs/>
          <w:color w:val="B8832A"/>
          <w:sz w:val="28"/>
          <w:szCs w:val="28"/>
        </w:rPr>
        <w:t xml:space="preserve">6.2 Coaching de l'offre</w:t>
      </w:r>
    </w:p>
    <w:p>
      <w:pPr>
        <w:spacing w:after="120"/>
      </w:pPr>
      <w:r>
        <w:rPr>
          <w:b w:val="false"/>
          <w:bCs w:val="false"/>
          <w:i w:val="false"/>
          <w:iCs w:val="false"/>
          <w:color w:val="1A1610"/>
          <w:sz w:val="22"/>
          <w:szCs w:val="22"/>
        </w:rPr>
        <w:t xml:space="preserve">Outil IA pour préparer une offre d'achat. Comment l'utiliser :</w:t>
      </w:r>
    </w:p>
    <w:p>
      <w:pPr>
        <w:pStyle w:val="ListParagraph"/>
        <w:numPr>
          <w:ilvl w:val="0"/>
          <w:numId w:val="3"/>
        </w:numPr>
        <w:spacing w:after="100"/>
      </w:pPr>
      <w:r>
        <w:rPr>
          <w:color w:val="1A1610"/>
          <w:sz w:val="22"/>
          <w:szCs w:val="22"/>
        </w:rPr>
        <w:t xml:space="preserve">Renseigner l'adresse du bien visé</w:t>
      </w:r>
    </w:p>
    <w:p>
      <w:pPr>
        <w:pStyle w:val="ListParagraph"/>
        <w:numPr>
          <w:ilvl w:val="0"/>
          <w:numId w:val="3"/>
        </w:numPr>
        <w:spacing w:after="100"/>
      </w:pPr>
      <w:r>
        <w:rPr>
          <w:color w:val="1A1610"/>
          <w:sz w:val="22"/>
          <w:szCs w:val="22"/>
        </w:rPr>
        <w:t xml:space="preserve">Indiquer le prix affiché par le vendeur</w:t>
      </w:r>
    </w:p>
    <w:p>
      <w:pPr>
        <w:pStyle w:val="ListParagraph"/>
        <w:numPr>
          <w:ilvl w:val="0"/>
          <w:numId w:val="3"/>
        </w:numPr>
        <w:spacing w:after="100"/>
      </w:pPr>
      <w:r>
        <w:rPr>
          <w:color w:val="1A1610"/>
          <w:sz w:val="22"/>
          <w:szCs w:val="22"/>
        </w:rPr>
        <w:t xml:space="preserve">Préciser votre profil (primo-accédant, investisseur…)</w:t>
      </w:r>
    </w:p>
    <w:p>
      <w:pPr>
        <w:pStyle w:val="ListParagraph"/>
        <w:numPr>
          <w:ilvl w:val="0"/>
          <w:numId w:val="3"/>
        </w:numPr>
        <w:spacing w:after="100"/>
      </w:pPr>
      <w:r>
        <w:rPr>
          <w:color w:val="1A1610"/>
          <w:sz w:val="22"/>
          <w:szCs w:val="22"/>
        </w:rPr>
        <w:t xml:space="preserve">Demander le coaching — l'IA analyse le marché local et conseille sur le prix à proposer, les arguments de négociation et les clauses suspensives à inclure</w:t>
      </w:r>
    </w:p>
    <w:p>
      <w:pPr>
        <w:spacing w:after="160"/>
      </w:pPr>
      <w:r>
        <w:t xml:space="preserve"/>
      </w:r>
    </w:p>
    <w:p>
      <w:pPr>
        <w:pStyle w:val="Heading2"/>
      </w:pPr>
      <w:r>
        <w:rPr>
          <w:b/>
          <w:bCs/>
          <w:color w:val="B8832A"/>
          <w:sz w:val="28"/>
          <w:szCs w:val="28"/>
        </w:rPr>
        <w:t xml:space="preserve">6.3 Compatibilité de vie</w:t>
      </w:r>
    </w:p>
    <w:p>
      <w:pPr>
        <w:spacing w:after="120"/>
      </w:pPr>
      <w:r>
        <w:rPr>
          <w:b w:val="false"/>
          <w:bCs w:val="false"/>
          <w:i w:val="false"/>
          <w:iCs w:val="false"/>
          <w:color w:val="1A1610"/>
          <w:sz w:val="22"/>
          <w:szCs w:val="22"/>
        </w:rPr>
        <w:t xml:space="preserve">Teste la compatibilité entre votre profil de vie (famille avec enfants, célibataire actif, retraité…) et le quartier analysé. Utilise les données du score global pour un match personnalisé.</w:t>
      </w:r>
    </w:p>
    <w:p>
      <w:pPr>
        <w:spacing w:after="160"/>
      </w:pPr>
      <w:r>
        <w:t xml:space="preserve"/>
      </w:r>
    </w:p>
    <w:p>
      <w:pPr>
        <w:pStyle w:val="Heading2"/>
      </w:pPr>
      <w:r>
        <w:rPr>
          <w:b/>
          <w:bCs/>
          <w:color w:val="B8832A"/>
          <w:sz w:val="28"/>
          <w:szCs w:val="28"/>
        </w:rPr>
        <w:t xml:space="preserve">6.4 Conseiller IA 24h/24</w:t>
      </w:r>
    </w:p>
    <w:p>
      <w:pPr>
        <w:spacing w:after="120"/>
      </w:pPr>
      <w:r>
        <w:rPr>
          <w:b w:val="false"/>
          <w:bCs w:val="false"/>
          <w:i w:val="false"/>
          <w:iCs w:val="false"/>
          <w:color w:val="1A1610"/>
          <w:sz w:val="22"/>
          <w:szCs w:val="22"/>
        </w:rPr>
        <w:t xml:space="preserve">Chatbot IA généraliste immobilier. Peut répondre à toutes les questions sur l'immobilier, la fiscalité, le financement, les stratégies d'achat et le marché local ou national. Ne nécessite pas d'adresse analysée.</w:t>
      </w:r>
    </w:p>
    <w:p>
      <w:pPr>
        <w:spacing w:after="160"/>
      </w:pPr>
      <w:r>
        <w:t xml:space="preserve"/>
      </w:r>
    </w:p>
    <w:p>
      <w:pPr>
        <w:pStyle w:val="Heading2"/>
      </w:pPr>
      <w:r>
        <w:rPr>
          <w:b/>
          <w:bCs/>
          <w:color w:val="B8832A"/>
          <w:sz w:val="28"/>
          <w:szCs w:val="28"/>
        </w:rPr>
        <w:t xml:space="preserve">6.5 Guide juridique</w:t>
      </w:r>
    </w:p>
    <w:p>
      <w:pPr>
        <w:spacing w:after="120"/>
      </w:pPr>
      <w:r>
        <w:rPr>
          <w:b w:val="false"/>
          <w:bCs w:val="false"/>
          <w:i w:val="false"/>
          <w:iCs w:val="false"/>
          <w:color w:val="1A1610"/>
          <w:sz w:val="22"/>
          <w:szCs w:val="22"/>
        </w:rPr>
        <w:t xml:space="preserve">Guide des étapes d'une transaction immobilière : offre d'achat, compromis de vente, acte authentique, délais légaux, droits de rétractation, conditions suspensives.</w:t>
      </w:r>
    </w:p>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7. L'assistante IA — Sofia</w:t>
      </w:r>
    </w:p>
    <w:p>
      <w:pPr>
        <w:spacing w:after="120"/>
      </w:pPr>
      <w:r>
        <w:rPr>
          <w:b w:val="false"/>
          <w:bCs w:val="false"/>
          <w:i w:val="false"/>
          <w:iCs w:val="false"/>
          <w:color w:val="1A1610"/>
          <w:sz w:val="22"/>
          <w:szCs w:val="22"/>
        </w:rPr>
        <w:t xml:space="preserve">Sofia est l'assistante vocale d'IMMO·AI. Elle connaît toutes les données de l'analyse en cours et peut interpréter vos simulations.</w:t>
      </w:r>
    </w:p>
    <w:p>
      <w:pPr>
        <w:spacing w:after="160"/>
      </w:pPr>
      <w:r>
        <w:t xml:space="preserve"/>
      </w:r>
    </w:p>
    <w:p>
      <w:pPr>
        <w:pStyle w:val="Heading2"/>
      </w:pPr>
      <w:r>
        <w:rPr>
          <w:b/>
          <w:bCs/>
          <w:color w:val="B8832A"/>
          <w:sz w:val="28"/>
          <w:szCs w:val="28"/>
        </w:rPr>
        <w:t xml:space="preserve">7.1 Activer Sofia</w:t>
      </w:r>
    </w:p>
    <w:p>
      <w:pPr>
        <w:pStyle w:val="ListParagraph"/>
        <w:numPr>
          <w:ilvl w:val="0"/>
          <w:numId w:val="2"/>
        </w:numPr>
        <w:spacing w:after="80"/>
      </w:pPr>
      <w:r>
        <w:rPr>
          <w:color w:val="1A1610"/>
          <w:sz w:val="22"/>
          <w:szCs w:val="22"/>
        </w:rPr>
        <w:t xml:space="preserve">Cliquer sur l'onglet 🤖 en bas à droite</w:t>
      </w:r>
    </w:p>
    <w:p>
      <w:pPr>
        <w:pStyle w:val="ListParagraph"/>
        <w:numPr>
          <w:ilvl w:val="0"/>
          <w:numId w:val="2"/>
        </w:numPr>
        <w:spacing w:after="80"/>
      </w:pPr>
      <w:r>
        <w:rPr>
          <w:color w:val="1A1610"/>
          <w:sz w:val="22"/>
          <w:szCs w:val="22"/>
        </w:rPr>
        <w:t xml:space="preserve">Ou cliquer sur le bouton flottant de l'avatar visible sur toutes les pages</w:t>
      </w:r>
    </w:p>
    <w:p>
      <w:pPr>
        <w:spacing w:after="160"/>
      </w:pPr>
      <w:r>
        <w:t xml:space="preserve"/>
      </w:r>
    </w:p>
    <w:p>
      <w:pPr>
        <w:pStyle w:val="Heading2"/>
      </w:pPr>
      <w:r>
        <w:rPr>
          <w:b/>
          <w:bCs/>
          <w:color w:val="B8832A"/>
          <w:sz w:val="28"/>
          <w:szCs w:val="28"/>
        </w:rPr>
        <w:t xml:space="preserve">7.2 Ce que Sofia peut faire</w:t>
      </w:r>
    </w:p>
    <w:p>
      <w:pPr>
        <w:pStyle w:val="ListParagraph"/>
        <w:numPr>
          <w:ilvl w:val="0"/>
          <w:numId w:val="2"/>
        </w:numPr>
        <w:spacing w:after="80"/>
      </w:pPr>
      <w:r>
        <w:rPr>
          <w:color w:val="1A1610"/>
          <w:sz w:val="22"/>
          <w:szCs w:val="22"/>
        </w:rPr>
        <w:t xml:space="preserve">Répondre à toutes les questions sur les données de l'adresse analysée</w:t>
      </w:r>
    </w:p>
    <w:p>
      <w:pPr>
        <w:pStyle w:val="ListParagraph"/>
        <w:numPr>
          <w:ilvl w:val="0"/>
          <w:numId w:val="2"/>
        </w:numPr>
        <w:spacing w:after="80"/>
      </w:pPr>
      <w:r>
        <w:rPr>
          <w:color w:val="1A1610"/>
          <w:sz w:val="22"/>
          <w:szCs w:val="22"/>
        </w:rPr>
        <w:t xml:space="preserve">Ouvrir automatiquement la carte correspondante à votre question</w:t>
      </w:r>
    </w:p>
    <w:p>
      <w:pPr>
        <w:pStyle w:val="ListParagraph"/>
        <w:numPr>
          <w:ilvl w:val="0"/>
          <w:numId w:val="2"/>
        </w:numPr>
        <w:spacing w:after="80"/>
      </w:pPr>
      <w:r>
        <w:rPr>
          <w:color w:val="1A1610"/>
          <w:sz w:val="22"/>
          <w:szCs w:val="22"/>
        </w:rPr>
        <w:t xml:space="preserve">Fermer les cartes sur demande</w:t>
      </w:r>
    </w:p>
    <w:p>
      <w:pPr>
        <w:pStyle w:val="ListParagraph"/>
        <w:numPr>
          <w:ilvl w:val="0"/>
          <w:numId w:val="2"/>
        </w:numPr>
        <w:spacing w:after="80"/>
      </w:pPr>
      <w:r>
        <w:rPr>
          <w:color w:val="1A1610"/>
          <w:sz w:val="22"/>
          <w:szCs w:val="22"/>
        </w:rPr>
        <w:t xml:space="preserve">Interpréter vos résultats de simulation (capacité d'emprunt, mensualités, investissement locatif, MaPrimeRénov')</w:t>
      </w:r>
    </w:p>
    <w:p>
      <w:pPr>
        <w:pStyle w:val="ListParagraph"/>
        <w:numPr>
          <w:ilvl w:val="0"/>
          <w:numId w:val="2"/>
        </w:numPr>
        <w:spacing w:after="80"/>
      </w:pPr>
      <w:r>
        <w:rPr>
          <w:color w:val="1A1610"/>
          <w:sz w:val="22"/>
          <w:szCs w:val="22"/>
        </w:rPr>
        <w:t xml:space="preserve">Expliquer comment utiliser n'importe quelle fonctionnalité de l'application</w:t>
      </w:r>
    </w:p>
    <w:p>
      <w:pPr>
        <w:pStyle w:val="ListParagraph"/>
        <w:numPr>
          <w:ilvl w:val="0"/>
          <w:numId w:val="2"/>
        </w:numPr>
        <w:spacing w:after="80"/>
      </w:pPr>
      <w:r>
        <w:rPr>
          <w:color w:val="1A1610"/>
          <w:sz w:val="22"/>
          <w:szCs w:val="22"/>
        </w:rPr>
        <w:t xml:space="preserve">Parler à voix haute (synthèse vocale française)</w:t>
      </w:r>
    </w:p>
    <w:p>
      <w:pPr>
        <w:pStyle w:val="ListParagraph"/>
        <w:numPr>
          <w:ilvl w:val="0"/>
          <w:numId w:val="2"/>
        </w:numPr>
        <w:spacing w:after="80"/>
      </w:pPr>
      <w:r>
        <w:rPr>
          <w:color w:val="1A1610"/>
          <w:sz w:val="22"/>
          <w:szCs w:val="22"/>
        </w:rPr>
        <w:t xml:space="preserve">Écouter vos questions (reconnaissance vocale — bouton microphone 🎙️)</w:t>
      </w:r>
    </w:p>
    <w:p>
      <w:pPr>
        <w:spacing w:after="160"/>
      </w:pPr>
      <w:r>
        <w:t xml:space="preserve"/>
      </w:r>
    </w:p>
    <w:p>
      <w:pPr>
        <w:pStyle w:val="Heading2"/>
      </w:pPr>
      <w:r>
        <w:rPr>
          <w:b/>
          <w:bCs/>
          <w:color w:val="B8832A"/>
          <w:sz w:val="28"/>
          <w:szCs w:val="28"/>
        </w:rPr>
        <w:t xml:space="preserve">7.3 Paramètres (⚙️)</w:t>
      </w:r>
    </w:p>
    <w:p>
      <w:pPr>
        <w:pStyle w:val="ListParagraph"/>
        <w:numPr>
          <w:ilvl w:val="0"/>
          <w:numId w:val="2"/>
        </w:numPr>
        <w:spacing w:after="80"/>
      </w:pPr>
      <w:r>
        <w:rPr>
          <w:color w:val="1A1610"/>
          <w:sz w:val="22"/>
          <w:szCs w:val="22"/>
        </w:rPr>
        <w:t xml:space="preserve">Choisir le prénom et le genre de l'avatar (Sofia / homme)</w:t>
      </w:r>
    </w:p>
    <w:p>
      <w:pPr>
        <w:pStyle w:val="ListParagraph"/>
        <w:numPr>
          <w:ilvl w:val="0"/>
          <w:numId w:val="2"/>
        </w:numPr>
        <w:spacing w:after="80"/>
      </w:pPr>
      <w:r>
        <w:rPr>
          <w:color w:val="1A1610"/>
          <w:sz w:val="22"/>
          <w:szCs w:val="22"/>
        </w:rPr>
        <w:t xml:space="preserve">Régler la vitesse et le ton de la voix</w:t>
      </w:r>
    </w:p>
    <w:p>
      <w:pPr>
        <w:pStyle w:val="ListParagraph"/>
        <w:numPr>
          <w:ilvl w:val="0"/>
          <w:numId w:val="2"/>
        </w:numPr>
        <w:spacing w:after="80"/>
      </w:pPr>
      <w:r>
        <w:rPr>
          <w:color w:val="1A1610"/>
          <w:sz w:val="22"/>
          <w:szCs w:val="22"/>
        </w:rPr>
        <w:t xml:space="preserve">Saisir la clé API Groq (obligatoire pour activer l'IA)</w:t>
      </w:r>
    </w:p>
    <w:p>
      <w:pPr>
        <w:spacing w:after="160"/>
      </w:pPr>
      <w:r>
        <w:t xml:space="preserve"/>
      </w:r>
    </w:p>
    <w:p>
      <w:pPr>
        <w:pStyle w:val="Heading2"/>
      </w:pPr>
      <w:r>
        <w:rPr>
          <w:b/>
          <w:bCs/>
          <w:color w:val="B8832A"/>
          <w:sz w:val="28"/>
          <w:szCs w:val="28"/>
        </w:rPr>
        <w:t xml:space="preserve">7.4 Obtenir une clé API Groq (gratuit)</w:t>
      </w:r>
    </w:p>
    <w:p>
      <w:pPr>
        <w:pStyle w:val="ListParagraph"/>
        <w:numPr>
          <w:ilvl w:val="0"/>
          <w:numId w:val="3"/>
        </w:numPr>
        <w:spacing w:after="100"/>
      </w:pPr>
      <w:r>
        <w:rPr>
          <w:color w:val="1A1610"/>
          <w:sz w:val="22"/>
          <w:szCs w:val="22"/>
        </w:rPr>
        <w:t xml:space="preserve">Aller sur https://console.groq.com</w:t>
      </w:r>
    </w:p>
    <w:p>
      <w:pPr>
        <w:pStyle w:val="ListParagraph"/>
        <w:numPr>
          <w:ilvl w:val="0"/>
          <w:numId w:val="3"/>
        </w:numPr>
        <w:spacing w:after="100"/>
      </w:pPr>
      <w:r>
        <w:rPr>
          <w:color w:val="1A1610"/>
          <w:sz w:val="22"/>
          <w:szCs w:val="22"/>
        </w:rPr>
        <w:t xml:space="preserve">Créer un compte gratuit</w:t>
      </w:r>
    </w:p>
    <w:p>
      <w:pPr>
        <w:pStyle w:val="ListParagraph"/>
        <w:numPr>
          <w:ilvl w:val="0"/>
          <w:numId w:val="3"/>
        </w:numPr>
        <w:spacing w:after="100"/>
      </w:pPr>
      <w:r>
        <w:rPr>
          <w:color w:val="1A1610"/>
          <w:sz w:val="22"/>
          <w:szCs w:val="22"/>
        </w:rPr>
        <w:t xml:space="preserve">Générer une clé API (gratuit, niveau gratuit suffisant pour un usage normal)</w:t>
      </w:r>
    </w:p>
    <w:p>
      <w:pPr>
        <w:pStyle w:val="ListParagraph"/>
        <w:numPr>
          <w:ilvl w:val="0"/>
          <w:numId w:val="3"/>
        </w:numPr>
        <w:spacing w:after="100"/>
      </w:pPr>
      <w:r>
        <w:rPr>
          <w:color w:val="1A1610"/>
          <w:sz w:val="22"/>
          <w:szCs w:val="22"/>
        </w:rPr>
        <w:t xml:space="preserve">Coller la clé dans les paramètres ⚙️ de l'avatar</w:t>
      </w:r>
    </w:p>
    <w:p>
      <w:pPr>
        <w:spacing w:after="160"/>
      </w:pPr>
      <w:r>
        <w:t xml:space="preserve"/>
      </w:r>
    </w:p>
    <w:p>
      <w:pPr>
        <w:spacing w:after="120"/>
      </w:pPr>
      <w:r>
        <w:rPr>
          <w:b w:val="false"/>
          <w:bCs w:val="false"/>
          <w:i/>
          <w:iCs/>
          <w:color w:val="B8832A"/>
          <w:sz w:val="22"/>
          <w:szCs w:val="22"/>
        </w:rPr>
        <w:t xml:space="preserve">Le niveau gratuit Groq est suffisant pour une utilisation normale d'IMMO·AI.</w:t>
      </w:r>
    </w:p>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8. Données et sources officielles</w:t>
      </w:r>
    </w:p>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Donnée</w:t>
            </w:r>
          </w:p>
        </w:tc>
        <w:tc>
          <w:tcPr>
            <w:tcW w:type="dxa" w:w="3000"/>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Source</w:t>
            </w:r>
          </w:p>
        </w:tc>
        <w:tc>
          <w:tcPr>
            <w:tcW w:type="dxa" w:w="3638"/>
            <w:tcBorders>
              <w:top w:val="single" w:color="DDDDDD" w:sz="1"/>
              <w:left w:val="single" w:color="DDDDDD" w:sz="1"/>
              <w:bottom w:val="single" w:color="DDDDDD" w:sz="1"/>
              <w:right w:val="single" w:color="DDDDDD" w:sz="1"/>
            </w:tcBorders>
            <w:shd w:fill="1A1610" w:val="clear"/>
            <w:tcMar>
              <w:top w:type="dxa" w:w="80"/>
              <w:left w:type="dxa" w:w="120"/>
              <w:bottom w:type="dxa" w:w="80"/>
              <w:right w:type="dxa" w:w="120"/>
            </w:tcMar>
          </w:tcPr>
          <w:p>
            <w:r>
              <w:rPr>
                <w:b/>
                <w:bCs/>
                <w:color w:val="FFFFFF"/>
                <w:sz w:val="20"/>
                <w:szCs w:val="20"/>
              </w:rPr>
              <w:t xml:space="preserve">URL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Prix transactions DVF</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Direction des Finances Publiques</w:t>
            </w:r>
          </w:p>
        </w:tc>
        <w:tc>
          <w:tcPr>
            <w:tcW w:type="dxa" w:w="3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B8832A"/>
                <w:sz w:val="20"/>
                <w:szCs w:val="20"/>
              </w:rPr>
              <w:t xml:space="preserve">data.gouv.fr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Population &amp; revenus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INSEE / Melodi</w:t>
            </w:r>
          </w:p>
        </w:tc>
        <w:tc>
          <w:tcPr>
            <w:tcW w:type="dxa" w:w="3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B8832A"/>
                <w:sz w:val="20"/>
                <w:szCs w:val="20"/>
              </w:rPr>
              <w:t xml:space="preserve">data.insee.fr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Altitude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IGN RGE Alti</w:t>
            </w:r>
          </w:p>
        </w:tc>
        <w:tc>
          <w:tcPr>
            <w:tcW w:type="dxa" w:w="3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B8832A"/>
                <w:sz w:val="20"/>
                <w:szCs w:val="20"/>
              </w:rPr>
              <w:t xml:space="preserve">data.geopf.fr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Météo</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Open-Meteo / Météo-France</w:t>
            </w:r>
          </w:p>
        </w:tc>
        <w:tc>
          <w:tcPr>
            <w:tcW w:type="dxa" w:w="3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B8832A"/>
                <w:sz w:val="20"/>
                <w:szCs w:val="20"/>
              </w:rPr>
              <w:t xml:space="preserve">open-meteo.com</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Risques naturels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Géorisques</w:t>
            </w:r>
          </w:p>
        </w:tc>
        <w:tc>
          <w:tcPr>
            <w:tcW w:type="dxa" w:w="3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B8832A"/>
                <w:sz w:val="20"/>
                <w:szCs w:val="20"/>
              </w:rPr>
              <w:t xml:space="preserve">georisques.gouv.fr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Fibre optique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Arcep</w:t>
            </w:r>
          </w:p>
        </w:tc>
        <w:tc>
          <w:tcPr>
            <w:tcW w:type="dxa" w:w="3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B8832A"/>
                <w:sz w:val="20"/>
                <w:szCs w:val="20"/>
              </w:rPr>
              <w:t xml:space="preserve">arcep.fr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Écoles &amp; IPS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Éducation nationale</w:t>
            </w:r>
          </w:p>
        </w:tc>
        <w:tc>
          <w:tcPr>
            <w:tcW w:type="dxa" w:w="3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B8832A"/>
                <w:sz w:val="20"/>
                <w:szCs w:val="20"/>
              </w:rPr>
              <w:t xml:space="preserve">data.education.gouv.fr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Qualité de l'air</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Atmo France</w:t>
            </w:r>
          </w:p>
        </w:tc>
        <w:tc>
          <w:tcPr>
            <w:tcW w:type="dxa" w:w="3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B8832A"/>
                <w:sz w:val="20"/>
                <w:szCs w:val="20"/>
              </w:rPr>
              <w:t xml:space="preserve">atmo-france.org</w:t>
            </w:r>
          </w:p>
        </w:tc>
      </w:tr>
    </w:tbl>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9. Conseils d'utilisation</w:t>
      </w:r>
    </w:p>
    <w:p>
      <w:pPr>
        <w:pStyle w:val="ListParagraph"/>
        <w:numPr>
          <w:ilvl w:val="0"/>
          <w:numId w:val="3"/>
        </w:numPr>
        <w:spacing w:after="100"/>
      </w:pPr>
      <w:r>
        <w:rPr>
          <w:color w:val="1A1610"/>
          <w:sz w:val="22"/>
          <w:szCs w:val="22"/>
        </w:rPr>
        <w:t xml:space="preserve">Commencer par saisir l'adresse exacte du bien visé.</w:t>
      </w:r>
    </w:p>
    <w:p>
      <w:pPr>
        <w:pStyle w:val="ListParagraph"/>
        <w:numPr>
          <w:ilvl w:val="0"/>
          <w:numId w:val="3"/>
        </w:numPr>
        <w:spacing w:after="100"/>
      </w:pPr>
      <w:r>
        <w:rPr>
          <w:color w:val="1A1610"/>
          <w:sz w:val="22"/>
          <w:szCs w:val="22"/>
        </w:rPr>
        <w:t xml:space="preserve">Consulter le Score Global pour une vue d'ensemble rapide.</w:t>
      </w:r>
    </w:p>
    <w:p>
      <w:pPr>
        <w:pStyle w:val="ListParagraph"/>
        <w:numPr>
          <w:ilvl w:val="0"/>
          <w:numId w:val="3"/>
        </w:numPr>
        <w:spacing w:after="100"/>
      </w:pPr>
      <w:r>
        <w:rPr>
          <w:color w:val="1A1610"/>
          <w:sz w:val="22"/>
          <w:szCs w:val="22"/>
        </w:rPr>
        <w:t xml:space="preserve">Aller dans Mon financement → Capacité d'emprunt pour cadrer votre budget.</w:t>
      </w:r>
    </w:p>
    <w:p>
      <w:pPr>
        <w:pStyle w:val="ListParagraph"/>
        <w:numPr>
          <w:ilvl w:val="0"/>
          <w:numId w:val="3"/>
        </w:numPr>
        <w:spacing w:after="100"/>
      </w:pPr>
      <w:r>
        <w:rPr>
          <w:color w:val="1A1610"/>
          <w:sz w:val="22"/>
          <w:szCs w:val="22"/>
        </w:rPr>
        <w:t xml:space="preserve">Les résultats de l'emprunt se propagent automatiquement aux autres simulateurs.</w:t>
      </w:r>
    </w:p>
    <w:p>
      <w:pPr>
        <w:pStyle w:val="ListParagraph"/>
        <w:numPr>
          <w:ilvl w:val="0"/>
          <w:numId w:val="3"/>
        </w:numPr>
        <w:spacing w:after="100"/>
      </w:pPr>
      <w:r>
        <w:rPr>
          <w:color w:val="1A1610"/>
          <w:sz w:val="22"/>
          <w:szCs w:val="22"/>
        </w:rPr>
        <w:t xml:space="preserve">Utiliser Investissement locatif si vous achetez pour louer.</w:t>
      </w:r>
    </w:p>
    <w:p>
      <w:pPr>
        <w:pStyle w:val="ListParagraph"/>
        <w:numPr>
          <w:ilvl w:val="0"/>
          <w:numId w:val="3"/>
        </w:numPr>
        <w:spacing w:after="100"/>
      </w:pPr>
      <w:r>
        <w:rPr>
          <w:color w:val="1A1610"/>
          <w:sz w:val="22"/>
          <w:szCs w:val="22"/>
        </w:rPr>
        <w:t xml:space="preserve">Demander à Sofia (avatar IA) d'interpréter les données et de vous guider.</w:t>
      </w:r>
    </w:p>
    <w:p>
      <w:pPr>
        <w:pStyle w:val="ListParagraph"/>
        <w:numPr>
          <w:ilvl w:val="0"/>
          <w:numId w:val="3"/>
        </w:numPr>
        <w:spacing w:after="100"/>
      </w:pPr>
      <w:r>
        <w:rPr>
          <w:color w:val="1A1610"/>
          <w:sz w:val="22"/>
          <w:szCs w:val="22"/>
        </w:rPr>
        <w:t xml:space="preserve">Utiliser Coaching de l'offre avant de faire une proposition au vendeur.</w:t>
      </w:r>
    </w:p>
    <w:p>
      <w:pPr>
        <w:spacing w:after="160"/>
      </w:pPr>
      <w:r>
        <w:t xml:space="preserve"/>
      </w:r>
    </w:p>
    <w:p>
      <w:pPr>
        <w:pBdr>
          <w:bottom w:val="single" w:color="B8832A" w:sz="4" w:space="1"/>
        </w:pBdr>
        <w:spacing w:after="200"/>
      </w:pPr>
      <w:r>
        <w:t xml:space="preserve"/>
      </w:r>
    </w:p>
    <w:p>
      <w:pPr>
        <w:pStyle w:val="Heading1"/>
      </w:pPr>
      <w:r>
        <w:rPr>
          <w:b/>
          <w:bCs/>
          <w:color w:val="1A1610"/>
          <w:sz w:val="36"/>
          <w:szCs w:val="36"/>
        </w:rPr>
        <w:t xml:space="preserve">10. Questions fréquentes</w:t>
      </w:r>
    </w:p>
    <w:p>
      <w:pPr>
        <w:spacing w:after="160"/>
      </w:pPr>
      <w:r>
        <w:t xml:space="preserve"/>
      </w:r>
    </w:p>
    <w:p>
      <w:pPr>
        <w:spacing w:after="120"/>
      </w:pPr>
      <w:r>
        <w:rPr>
          <w:b/>
          <w:bCs/>
          <w:i w:val="false"/>
          <w:iCs w:val="false"/>
          <w:color w:val="1A1610"/>
          <w:sz w:val="22"/>
          <w:szCs w:val="22"/>
        </w:rPr>
        <w:t xml:space="preserve">Les données sont-elles à jour ?</w:t>
      </w:r>
    </w:p>
    <w:p>
      <w:pPr>
        <w:spacing w:after="120"/>
      </w:pPr>
      <w:r>
        <w:rPr>
          <w:b w:val="false"/>
          <w:bCs w:val="false"/>
          <w:i w:val="false"/>
          <w:iCs w:val="false"/>
          <w:color w:val="1A1610"/>
          <w:sz w:val="22"/>
          <w:szCs w:val="22"/>
        </w:rPr>
        <w:t xml:space="preserve">Les données DVF sont mises à jour trimestriellement. Les données INSEE ont un décalage d'environ 2 ans. La météo et la qualité de l'air sont en temps quasi-réel.</w:t>
      </w:r>
    </w:p>
    <w:p>
      <w:pPr>
        <w:spacing w:after="160"/>
      </w:pPr>
      <w:r>
        <w:t xml:space="preserve"/>
      </w:r>
    </w:p>
    <w:p>
      <w:pPr>
        <w:spacing w:after="120"/>
      </w:pPr>
      <w:r>
        <w:rPr>
          <w:b/>
          <w:bCs/>
          <w:i w:val="false"/>
          <w:iCs w:val="false"/>
          <w:color w:val="1A1610"/>
          <w:sz w:val="22"/>
          <w:szCs w:val="22"/>
        </w:rPr>
        <w:t xml:space="preserve">L'application fonctionne-t-elle pour toute la France ?</w:t>
      </w:r>
    </w:p>
    <w:p>
      <w:pPr>
        <w:spacing w:after="120"/>
      </w:pPr>
      <w:r>
        <w:rPr>
          <w:b w:val="false"/>
          <w:bCs w:val="false"/>
          <w:i w:val="false"/>
          <w:iCs w:val="false"/>
          <w:color w:val="1A1610"/>
          <w:sz w:val="22"/>
          <w:szCs w:val="22"/>
        </w:rPr>
        <w:t xml:space="preserve">Oui, pour toutes les communes françaises. La qualité des données varie selon la taille de la commune (les petites communes ont moins de transactions DVF).</w:t>
      </w:r>
    </w:p>
    <w:p>
      <w:pPr>
        <w:spacing w:after="160"/>
      </w:pPr>
      <w:r>
        <w:t xml:space="preserve"/>
      </w:r>
    </w:p>
    <w:p>
      <w:pPr>
        <w:spacing w:after="120"/>
      </w:pPr>
      <w:r>
        <w:rPr>
          <w:b/>
          <w:bCs/>
          <w:i w:val="false"/>
          <w:iCs w:val="false"/>
          <w:color w:val="1A1610"/>
          <w:sz w:val="22"/>
          <w:szCs w:val="22"/>
        </w:rPr>
        <w:t xml:space="preserve">Le score est-il fiable ?</w:t>
      </w:r>
    </w:p>
    <w:p>
      <w:pPr>
        <w:spacing w:after="120"/>
      </w:pPr>
      <w:r>
        <w:rPr>
          <w:b w:val="false"/>
          <w:bCs w:val="false"/>
          <w:i w:val="false"/>
          <w:iCs w:val="false"/>
          <w:color w:val="1A1610"/>
          <w:sz w:val="22"/>
          <w:szCs w:val="22"/>
        </w:rPr>
        <w:t xml:space="preserve">Le score synthétise des données officielles mais reste un indicateur. Il ne remplace pas une visite du bien ni l'avis d'un professionnel.</w:t>
      </w:r>
    </w:p>
    <w:p>
      <w:pPr>
        <w:spacing w:after="160"/>
      </w:pPr>
      <w:r>
        <w:t xml:space="preserve"/>
      </w:r>
    </w:p>
    <w:p>
      <w:pPr>
        <w:spacing w:after="120"/>
      </w:pPr>
      <w:r>
        <w:rPr>
          <w:b/>
          <w:bCs/>
          <w:i w:val="false"/>
          <w:iCs w:val="false"/>
          <w:color w:val="1A1610"/>
          <w:sz w:val="22"/>
          <w:szCs w:val="22"/>
        </w:rPr>
        <w:t xml:space="preserve">Mes simulations financières sont-elles sauvegardées ?</w:t>
      </w:r>
    </w:p>
    <w:p>
      <w:pPr>
        <w:spacing w:after="120"/>
      </w:pPr>
      <w:r>
        <w:rPr>
          <w:b w:val="false"/>
          <w:bCs w:val="false"/>
          <w:i w:val="false"/>
          <w:iCs w:val="false"/>
          <w:color w:val="1A1610"/>
          <w:sz w:val="22"/>
          <w:szCs w:val="22"/>
        </w:rPr>
        <w:t xml:space="preserve">Les simulations sont conservées le temps de la session. Fermer et rouvrir l'onglet les réinitialisera.</w:t>
      </w:r>
    </w:p>
    <w:p>
      <w:pPr>
        <w:spacing w:after="160"/>
      </w:pPr>
      <w:r>
        <w:t xml:space="preserve"/>
      </w:r>
    </w:p>
    <w:p>
      <w:pPr>
        <w:spacing w:after="120"/>
      </w:pPr>
      <w:r>
        <w:rPr>
          <w:b/>
          <w:bCs/>
          <w:i w:val="false"/>
          <w:iCs w:val="false"/>
          <w:color w:val="1A1610"/>
          <w:sz w:val="22"/>
          <w:szCs w:val="22"/>
        </w:rPr>
        <w:t xml:space="preserve">La clé API Groq est-elle payante ?</w:t>
      </w:r>
    </w:p>
    <w:p>
      <w:pPr>
        <w:spacing w:after="120"/>
      </w:pPr>
      <w:r>
        <w:rPr>
          <w:b w:val="false"/>
          <w:bCs w:val="false"/>
          <w:i w:val="false"/>
          <w:iCs w:val="false"/>
          <w:color w:val="1A1610"/>
          <w:sz w:val="22"/>
          <w:szCs w:val="22"/>
        </w:rPr>
        <w:t xml:space="preserve">Groq propose un niveau gratuit généreux. Pour une utilisation normale d'IMMO·AI, le plan gratuit est suffisant.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r>
      <w:rPr>
        <w:color w:val="666666"/>
        <w:sz w:val="18"/>
        <w:szCs w:val="18"/>
      </w:rPr>
      <w:t xml:space="preserve">   •   Juin 2026   •   Usage interne IMMO·AI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32A" w:sz="4" w:space="4"/>
      </w:pBdr>
    </w:pPr>
    <w:r>
      <w:rPr>
        <w:b/>
        <w:bCs/>
        <w:color w:val="1A1610"/>
        <w:sz w:val="22"/>
        <w:szCs w:val="22"/>
      </w:rPr>
      <w:t xml:space="preserve">IMMO</w:t>
    </w:r>
    <w:r>
      <w:rPr>
        <w:b/>
        <w:bCs/>
        <w:color w:val="B8832A"/>
        <w:sz w:val="22"/>
        <w:szCs w:val="22"/>
      </w:rPr>
      <w:t xml:space="preserve">·AI</w:t>
    </w:r>
    <w:r>
      <w:rPr>
        <w:color w:val="666666"/>
        <w:sz w:val="20"/>
        <w:szCs w:val="20"/>
      </w:rPr>
      <w:t xml:space="preserve">   —   Documentation Fonctionnelle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61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B883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6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2026-06-03T21:01:23.912Z</dcterms:created>
  <dcterms:modified xsi:type="dcterms:W3CDTF">2026-06-03T21:01:23.912Z</dcterms:modified>
</cp:coreProperties>
</file>

<file path=docProps/custom.xml><?xml version="1.0" encoding="utf-8"?>
<Properties xmlns="http://schemas.openxmlformats.org/officeDocument/2006/custom-properties" xmlns:vt="http://schemas.openxmlformats.org/officeDocument/2006/docPropsVTypes"/>
</file>