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9F5EA" w14:textId="79B8A1DE" w:rsidR="00AC4A8F" w:rsidRPr="00021D33" w:rsidRDefault="00C33A24" w:rsidP="00F30597">
      <w:pPr>
        <w:rPr>
          <w:sz w:val="36"/>
          <w:szCs w:val="36"/>
        </w:rPr>
      </w:pPr>
      <w:r>
        <w:rPr>
          <w:sz w:val="36"/>
          <w:szCs w:val="36"/>
        </w:rPr>
        <w:t>Timing and t</w:t>
      </w:r>
      <w:r w:rsidR="00F30597">
        <w:rPr>
          <w:sz w:val="36"/>
          <w:szCs w:val="36"/>
        </w:rPr>
        <w:t>empo of organic carbon burial in the Monterey Formation of the Santa Barbara Basin and relationships with Miocene climate: SUPPLEMENTARY MATERIAL</w:t>
      </w:r>
    </w:p>
    <w:p w14:paraId="4550B582" w14:textId="3CBC4C47" w:rsidR="00F30597" w:rsidRDefault="00F30597" w:rsidP="00F30597">
      <w:pPr>
        <w:rPr>
          <w:b/>
          <w:vertAlign w:val="superscript"/>
        </w:rPr>
      </w:pPr>
      <w:r>
        <w:rPr>
          <w:b/>
        </w:rPr>
        <w:t xml:space="preserve">Eliel </w:t>
      </w:r>
      <w:r w:rsidR="005325B5">
        <w:rPr>
          <w:b/>
        </w:rPr>
        <w:t xml:space="preserve">S. C. </w:t>
      </w:r>
      <w:r>
        <w:rPr>
          <w:b/>
        </w:rPr>
        <w:t>Anttila</w:t>
      </w:r>
      <w:r w:rsidRPr="00021D33">
        <w:rPr>
          <w:b/>
          <w:vertAlign w:val="superscript"/>
        </w:rPr>
        <w:t>1</w:t>
      </w:r>
      <w:r>
        <w:rPr>
          <w:b/>
        </w:rPr>
        <w:t>,</w:t>
      </w:r>
      <w:r w:rsidRPr="00021D33">
        <w:rPr>
          <w:b/>
        </w:rPr>
        <w:t xml:space="preserve"> </w:t>
      </w:r>
      <w:r>
        <w:rPr>
          <w:b/>
        </w:rPr>
        <w:t xml:space="preserve">Francis </w:t>
      </w:r>
      <w:r w:rsidR="005325B5">
        <w:rPr>
          <w:b/>
        </w:rPr>
        <w:t xml:space="preserve">A. </w:t>
      </w:r>
      <w:r>
        <w:rPr>
          <w:b/>
        </w:rPr>
        <w:t>Macdonald</w:t>
      </w:r>
      <w:r w:rsidRPr="00021D33">
        <w:rPr>
          <w:b/>
          <w:vertAlign w:val="superscript"/>
        </w:rPr>
        <w:t>1</w:t>
      </w:r>
      <w:r>
        <w:rPr>
          <w:b/>
        </w:rPr>
        <w:t xml:space="preserve">, </w:t>
      </w:r>
      <w:proofErr w:type="spellStart"/>
      <w:r>
        <w:rPr>
          <w:b/>
        </w:rPr>
        <w:t>Dawid</w:t>
      </w:r>
      <w:proofErr w:type="spellEnd"/>
      <w:r>
        <w:rPr>
          <w:b/>
        </w:rPr>
        <w:t xml:space="preserve"> Szymanowski</w:t>
      </w:r>
      <w:r>
        <w:rPr>
          <w:b/>
          <w:vertAlign w:val="superscript"/>
        </w:rPr>
        <w:t>2,3</w:t>
      </w:r>
      <w:r>
        <w:rPr>
          <w:b/>
        </w:rPr>
        <w:t>, Blair Schoene</w:t>
      </w:r>
      <w:r>
        <w:rPr>
          <w:b/>
          <w:vertAlign w:val="superscript"/>
        </w:rPr>
        <w:t>2</w:t>
      </w:r>
      <w:r>
        <w:rPr>
          <w:b/>
        </w:rPr>
        <w:t>, Andrew Kylander-Clark</w:t>
      </w:r>
      <w:r w:rsidRPr="00B80CE8">
        <w:rPr>
          <w:b/>
          <w:vertAlign w:val="superscript"/>
        </w:rPr>
        <w:t>1</w:t>
      </w:r>
      <w:r>
        <w:rPr>
          <w:b/>
        </w:rPr>
        <w:t xml:space="preserve">, </w:t>
      </w:r>
      <w:r w:rsidR="00606273">
        <w:rPr>
          <w:b/>
        </w:rPr>
        <w:t>Clara Danhof</w:t>
      </w:r>
      <w:r w:rsidR="00606273">
        <w:rPr>
          <w:b/>
          <w:vertAlign w:val="superscript"/>
        </w:rPr>
        <w:t>4</w:t>
      </w:r>
      <w:r w:rsidR="00606273">
        <w:rPr>
          <w:b/>
        </w:rPr>
        <w:t xml:space="preserve">, </w:t>
      </w:r>
      <w:r>
        <w:rPr>
          <w:b/>
        </w:rPr>
        <w:t>David</w:t>
      </w:r>
      <w:r w:rsidR="00BD0AFD">
        <w:rPr>
          <w:b/>
        </w:rPr>
        <w:t xml:space="preserve"> S.</w:t>
      </w:r>
      <w:r>
        <w:rPr>
          <w:b/>
        </w:rPr>
        <w:t xml:space="preserve"> Jones</w:t>
      </w:r>
      <w:r>
        <w:rPr>
          <w:b/>
          <w:vertAlign w:val="superscript"/>
        </w:rPr>
        <w:t>4</w:t>
      </w:r>
    </w:p>
    <w:p w14:paraId="79359E44" w14:textId="77777777" w:rsidR="00AC4A8F" w:rsidRPr="00021D33" w:rsidRDefault="00AC4A8F" w:rsidP="00F30597">
      <w:pPr>
        <w:rPr>
          <w:b/>
        </w:rPr>
      </w:pPr>
    </w:p>
    <w:p w14:paraId="44501A09" w14:textId="77777777" w:rsidR="00F30597" w:rsidRDefault="00F30597" w:rsidP="00F30597">
      <w:pPr>
        <w:rPr>
          <w:i/>
        </w:rPr>
      </w:pPr>
      <w:r w:rsidRPr="00021D33">
        <w:rPr>
          <w:i/>
          <w:vertAlign w:val="superscript"/>
        </w:rPr>
        <w:t>1</w:t>
      </w:r>
      <w:r>
        <w:rPr>
          <w:i/>
        </w:rPr>
        <w:t>Department of Earth Science, University of California Santa Barbara, 1006 Webb Hall, Santa Barbara, CA, 93117</w:t>
      </w:r>
    </w:p>
    <w:p w14:paraId="5003B4FE" w14:textId="77777777" w:rsidR="00F30597" w:rsidRDefault="00F30597" w:rsidP="00F30597">
      <w:pPr>
        <w:rPr>
          <w:i/>
        </w:rPr>
      </w:pPr>
      <w:r>
        <w:rPr>
          <w:i/>
          <w:vertAlign w:val="superscript"/>
        </w:rPr>
        <w:t>2</w:t>
      </w:r>
      <w:r>
        <w:rPr>
          <w:i/>
        </w:rPr>
        <w:t xml:space="preserve">Department of Geosciences, Princeton University, Guyot Hall, </w:t>
      </w:r>
      <w:proofErr w:type="gramStart"/>
      <w:r>
        <w:rPr>
          <w:i/>
        </w:rPr>
        <w:t>Princeton ,NJ</w:t>
      </w:r>
      <w:proofErr w:type="gramEnd"/>
      <w:r>
        <w:rPr>
          <w:i/>
        </w:rPr>
        <w:t>, 08544</w:t>
      </w:r>
    </w:p>
    <w:p w14:paraId="3943596D" w14:textId="77777777" w:rsidR="00F30597" w:rsidRDefault="00F30597" w:rsidP="00F30597">
      <w:pPr>
        <w:rPr>
          <w:i/>
        </w:rPr>
      </w:pPr>
      <w:r w:rsidRPr="00D57FD4">
        <w:rPr>
          <w:i/>
          <w:vertAlign w:val="superscript"/>
        </w:rPr>
        <w:t>3</w:t>
      </w:r>
      <w:r>
        <w:rPr>
          <w:i/>
        </w:rPr>
        <w:t xml:space="preserve">Institute of Geochemistry and Petrology, ETH Zurich, </w:t>
      </w:r>
      <w:proofErr w:type="spellStart"/>
      <w:r>
        <w:rPr>
          <w:i/>
        </w:rPr>
        <w:t>Clausiusstrasse</w:t>
      </w:r>
      <w:proofErr w:type="spellEnd"/>
      <w:r>
        <w:rPr>
          <w:i/>
        </w:rPr>
        <w:t xml:space="preserve"> 25, 8092 Zurich, Switzerland</w:t>
      </w:r>
    </w:p>
    <w:p w14:paraId="67CA8CAD" w14:textId="77777777" w:rsidR="00F30597" w:rsidRDefault="00F30597" w:rsidP="00F30597">
      <w:pPr>
        <w:rPr>
          <w:i/>
        </w:rPr>
      </w:pPr>
      <w:r>
        <w:rPr>
          <w:i/>
          <w:vertAlign w:val="superscript"/>
        </w:rPr>
        <w:t>4</w:t>
      </w:r>
      <w:r>
        <w:rPr>
          <w:i/>
        </w:rPr>
        <w:t xml:space="preserve">Department of Geology, Amherst College, </w:t>
      </w:r>
      <w:proofErr w:type="spellStart"/>
      <w:r>
        <w:rPr>
          <w:i/>
        </w:rPr>
        <w:t>Beneski</w:t>
      </w:r>
      <w:proofErr w:type="spellEnd"/>
      <w:r>
        <w:rPr>
          <w:i/>
        </w:rPr>
        <w:t xml:space="preserve"> Building, Amherst, MA, 01002</w:t>
      </w:r>
    </w:p>
    <w:p w14:paraId="1CEB70FC" w14:textId="054ACC70" w:rsidR="00F30597" w:rsidRDefault="00F30597"/>
    <w:p w14:paraId="2B06F9DB" w14:textId="45AC1E73" w:rsidR="00F30597" w:rsidRDefault="00F30597"/>
    <w:p w14:paraId="7FD4A7E9" w14:textId="48F5C72F" w:rsidR="00B35651" w:rsidRDefault="00F30597" w:rsidP="00B35651">
      <w:r>
        <w:t xml:space="preserve">This </w:t>
      </w:r>
      <w:r w:rsidR="007F1E84">
        <w:t>document</w:t>
      </w:r>
      <w:r>
        <w:t xml:space="preserve"> includes detailed methods</w:t>
      </w:r>
      <w:r w:rsidR="004D7457">
        <w:t xml:space="preserve"> for all geochronological and geochemical analyses, </w:t>
      </w:r>
      <w:r>
        <w:t>geochronological sample locations</w:t>
      </w:r>
      <w:r w:rsidR="005D0D4B">
        <w:t xml:space="preserve"> (Table S</w:t>
      </w:r>
      <w:r w:rsidR="004554FF">
        <w:t>M</w:t>
      </w:r>
      <w:r w:rsidR="005D0D4B">
        <w:t>1)</w:t>
      </w:r>
      <w:r w:rsidR="004D7457">
        <w:t xml:space="preserve">, </w:t>
      </w:r>
      <w:r w:rsidR="00A825E5">
        <w:t xml:space="preserve">LA-ICPMS </w:t>
      </w:r>
      <w:r w:rsidR="005D0D4B">
        <w:t>(</w:t>
      </w:r>
      <w:r w:rsidR="00CC7BC2">
        <w:t>Table S</w:t>
      </w:r>
      <w:r w:rsidR="004554FF">
        <w:t>M</w:t>
      </w:r>
      <w:r w:rsidR="00CC7BC2">
        <w:t>2</w:t>
      </w:r>
      <w:r w:rsidR="00A825E5">
        <w:t>), CA-ID-TIMS (Table SM</w:t>
      </w:r>
      <w:r w:rsidR="00CC7BC2">
        <w:t>3)</w:t>
      </w:r>
      <w:r w:rsidR="00A825E5">
        <w:t>,</w:t>
      </w:r>
      <w:r w:rsidR="004D7457">
        <w:t xml:space="preserve"> </w:t>
      </w:r>
      <w:r>
        <w:t xml:space="preserve">TOC </w:t>
      </w:r>
      <w:r w:rsidR="00CC7BC2">
        <w:t>(Table S</w:t>
      </w:r>
      <w:r w:rsidR="004554FF">
        <w:t>M</w:t>
      </w:r>
      <w:r w:rsidR="00CC7BC2">
        <w:t>4)</w:t>
      </w:r>
      <w:r w:rsidR="004D7457">
        <w:t>, and XRF (Table SM5) data tables</w:t>
      </w:r>
      <w:r w:rsidR="00AB527F">
        <w:t>,</w:t>
      </w:r>
      <w:r w:rsidR="009931A4">
        <w:t xml:space="preserve"> </w:t>
      </w:r>
      <w:r w:rsidR="00AB527F">
        <w:t xml:space="preserve">and visualizations of geochronological data used to generate </w:t>
      </w:r>
      <w:r w:rsidR="00C33A24">
        <w:t xml:space="preserve">U-Pb </w:t>
      </w:r>
      <w:r w:rsidR="00AB527F">
        <w:t>ages (Figs. SM</w:t>
      </w:r>
      <w:r w:rsidR="00885A2B">
        <w:t>1</w:t>
      </w:r>
      <w:r w:rsidR="00AB527F">
        <w:t>-SM</w:t>
      </w:r>
      <w:r w:rsidR="00885A2B">
        <w:t>4</w:t>
      </w:r>
      <w:r w:rsidR="00AB527F">
        <w:t>).</w:t>
      </w:r>
      <w:r w:rsidR="00876605">
        <w:t xml:space="preserve"> </w:t>
      </w:r>
      <w:r w:rsidR="00E44A86">
        <w:t>Calculations of</w:t>
      </w:r>
      <w:r w:rsidR="00E228A0">
        <w:t xml:space="preserve"> organic carbon mass accumulation rates for the Monterey Formation in the </w:t>
      </w:r>
      <w:proofErr w:type="spellStart"/>
      <w:r w:rsidR="00E228A0">
        <w:t>Belridge</w:t>
      </w:r>
      <w:proofErr w:type="spellEnd"/>
      <w:r w:rsidR="00E228A0">
        <w:t xml:space="preserve"> Field of the San Joaquin Basin, referenced in Section 5.4 of the main text, are outlined</w:t>
      </w:r>
      <w:r w:rsidR="00C33A24">
        <w:t xml:space="preserve"> in Supplementary Section 2.</w:t>
      </w:r>
      <w:r w:rsidR="00E228A0">
        <w:t xml:space="preserve"> Finally, a</w:t>
      </w:r>
      <w:r w:rsidR="00876605">
        <w:t xml:space="preserve"> sensitivity test of the carbon isotope box model </w:t>
      </w:r>
      <w:r w:rsidR="00C33A24">
        <w:t>discussed</w:t>
      </w:r>
      <w:r w:rsidR="00876605">
        <w:t xml:space="preserve"> in Section 5.5 of the main text is</w:t>
      </w:r>
      <w:r w:rsidR="0008321A">
        <w:t xml:space="preserve"> </w:t>
      </w:r>
      <w:r w:rsidR="00C33A24">
        <w:t xml:space="preserve">outlined in Supplementary Section </w:t>
      </w:r>
      <w:proofErr w:type="gramStart"/>
      <w:r w:rsidR="00C33A24">
        <w:t>3</w:t>
      </w:r>
      <w:r w:rsidR="0008321A">
        <w:t>, and</w:t>
      </w:r>
      <w:proofErr w:type="gramEnd"/>
      <w:r w:rsidR="00876605">
        <w:t xml:space="preserve"> summarized in Fig. SM5. </w:t>
      </w:r>
    </w:p>
    <w:p w14:paraId="34B61785" w14:textId="48B11525" w:rsidR="00876605" w:rsidRDefault="00876605" w:rsidP="00B35651"/>
    <w:p w14:paraId="4C84FF63" w14:textId="760EDA65" w:rsidR="00876605" w:rsidRPr="007F1E84" w:rsidRDefault="00876605" w:rsidP="00C33A24">
      <w:pPr>
        <w:jc w:val="center"/>
      </w:pPr>
      <w:r w:rsidRPr="00C33A24">
        <w:rPr>
          <w:b/>
          <w:bCs/>
        </w:rPr>
        <w:t>All figure components</w:t>
      </w:r>
      <w:r w:rsidR="0062771E" w:rsidRPr="00C33A24">
        <w:rPr>
          <w:b/>
          <w:bCs/>
        </w:rPr>
        <w:t xml:space="preserve">, </w:t>
      </w:r>
      <w:r w:rsidRPr="00C33A24">
        <w:rPr>
          <w:b/>
          <w:bCs/>
        </w:rPr>
        <w:t>code</w:t>
      </w:r>
      <w:r w:rsidR="0062771E" w:rsidRPr="00C33A24">
        <w:rPr>
          <w:b/>
          <w:bCs/>
        </w:rPr>
        <w:t>, and data</w:t>
      </w:r>
      <w:r w:rsidRPr="00C33A24">
        <w:rPr>
          <w:b/>
          <w:bCs/>
        </w:rPr>
        <w:t xml:space="preserve"> are </w:t>
      </w:r>
      <w:r w:rsidR="0062771E" w:rsidRPr="00C33A24">
        <w:rPr>
          <w:b/>
          <w:bCs/>
        </w:rPr>
        <w:t>compiled</w:t>
      </w:r>
      <w:r w:rsidRPr="00C33A24">
        <w:rPr>
          <w:b/>
          <w:bCs/>
        </w:rPr>
        <w:t xml:space="preserve"> in the following GitHub repository:</w:t>
      </w:r>
      <w:r>
        <w:t xml:space="preserve"> </w:t>
      </w:r>
      <w:r w:rsidR="00595DC7" w:rsidRPr="00595DC7">
        <w:t>https://github.com/eliel-anttila/Anttila_Monterey_2023</w:t>
      </w:r>
    </w:p>
    <w:p w14:paraId="0BCD7773" w14:textId="08BE1344" w:rsidR="00B35651" w:rsidRDefault="00B35651" w:rsidP="00B35651">
      <w:pPr>
        <w:rPr>
          <w:b/>
          <w:bCs/>
        </w:rPr>
      </w:pPr>
    </w:p>
    <w:p w14:paraId="7EF5DAD6" w14:textId="38D93A5B" w:rsidR="00B42333" w:rsidRDefault="00B42333" w:rsidP="00B35651">
      <w:pPr>
        <w:rPr>
          <w:b/>
          <w:bCs/>
        </w:rPr>
      </w:pPr>
    </w:p>
    <w:p w14:paraId="00A07D38" w14:textId="77777777" w:rsidR="00B42333" w:rsidRPr="00B35651" w:rsidRDefault="00B42333" w:rsidP="00B35651">
      <w:pPr>
        <w:rPr>
          <w:b/>
          <w:bCs/>
        </w:rPr>
      </w:pPr>
    </w:p>
    <w:p w14:paraId="695A9740" w14:textId="77777777" w:rsidR="00B35651" w:rsidRPr="00E44A86" w:rsidRDefault="00B35651" w:rsidP="00B35651">
      <w:pPr>
        <w:rPr>
          <w:b/>
          <w:bCs/>
          <w:u w:val="single"/>
        </w:rPr>
      </w:pPr>
    </w:p>
    <w:p w14:paraId="56DE1545" w14:textId="67F6320F" w:rsidR="00F30597" w:rsidRPr="00E44A86" w:rsidRDefault="00E44A86" w:rsidP="00E44A86">
      <w:pPr>
        <w:rPr>
          <w:b/>
          <w:bCs/>
          <w:u w:val="single"/>
        </w:rPr>
      </w:pPr>
      <w:r w:rsidRPr="00E44A86">
        <w:rPr>
          <w:b/>
          <w:bCs/>
          <w:u w:val="single"/>
        </w:rPr>
        <w:t xml:space="preserve">1. </w:t>
      </w:r>
      <w:r w:rsidR="00F30597" w:rsidRPr="00E44A86">
        <w:rPr>
          <w:b/>
          <w:bCs/>
          <w:u w:val="single"/>
        </w:rPr>
        <w:t>METHODS</w:t>
      </w:r>
    </w:p>
    <w:p w14:paraId="6DE118CA" w14:textId="6F80E95A" w:rsidR="00F30597" w:rsidRPr="00885A2B" w:rsidRDefault="00F30597">
      <w:pPr>
        <w:rPr>
          <w:b/>
          <w:bCs/>
        </w:rPr>
      </w:pPr>
    </w:p>
    <w:p w14:paraId="3F851828" w14:textId="1B3313F4" w:rsidR="00F30597" w:rsidRPr="00885A2B" w:rsidRDefault="004D7457" w:rsidP="004D7457">
      <w:pPr>
        <w:rPr>
          <w:b/>
          <w:bCs/>
          <w:i/>
          <w:iCs/>
        </w:rPr>
      </w:pPr>
      <w:r w:rsidRPr="00885A2B">
        <w:rPr>
          <w:b/>
          <w:bCs/>
          <w:i/>
          <w:iCs/>
        </w:rPr>
        <w:t xml:space="preserve">1.1 </w:t>
      </w:r>
      <w:r w:rsidR="00F30597" w:rsidRPr="00885A2B">
        <w:rPr>
          <w:b/>
          <w:bCs/>
          <w:i/>
          <w:iCs/>
        </w:rPr>
        <w:t>Field work</w:t>
      </w:r>
    </w:p>
    <w:p w14:paraId="7E26B944" w14:textId="1A400007" w:rsidR="00002164" w:rsidRPr="00885A2B" w:rsidRDefault="00F30597" w:rsidP="00594832">
      <w:pPr>
        <w:ind w:firstLine="720"/>
      </w:pPr>
      <w:r w:rsidRPr="00885A2B">
        <w:t>Between 2018 and 202</w:t>
      </w:r>
      <w:r w:rsidR="00C33A24">
        <w:t>2</w:t>
      </w:r>
      <w:r w:rsidRPr="00885A2B">
        <w:t xml:space="preserve">, stratigraphic sections were measured at multiple Monterey Formation outcrop localities on the northern edge of the Santa Barbara Channel. While all localities have been studied by previous workers, we measured our </w:t>
      </w:r>
      <w:r w:rsidR="00ED08D4" w:rsidRPr="00885A2B">
        <w:t xml:space="preserve">own </w:t>
      </w:r>
      <w:r w:rsidRPr="00885A2B">
        <w:t>sections to develop a consistent stratigraphic height framework across all localities, and to have reference points which we could use to compare our datasets to earlier measured sections. Within each section, bentonite samples were collected for U-Pb geochronology</w:t>
      </w:r>
      <w:r w:rsidR="00ED08D4" w:rsidRPr="00885A2B">
        <w:t>, with</w:t>
      </w:r>
      <w:r w:rsidRPr="00885A2B">
        <w:t xml:space="preserve"> ~</w:t>
      </w:r>
      <w:r w:rsidR="00F23EDA">
        <w:t>0</w:t>
      </w:r>
      <w:r w:rsidRPr="00885A2B">
        <w:t>.5kg of sample collected from each horizon</w:t>
      </w:r>
      <w:r w:rsidR="00ED08D4" w:rsidRPr="00885A2B">
        <w:t>.</w:t>
      </w:r>
      <w:r w:rsidR="00002164" w:rsidRPr="00885A2B">
        <w:t xml:space="preserve"> The locations </w:t>
      </w:r>
      <w:r w:rsidR="004D7457" w:rsidRPr="00885A2B">
        <w:t xml:space="preserve">and stratigraphic heights </w:t>
      </w:r>
      <w:r w:rsidR="00002164" w:rsidRPr="00885A2B">
        <w:t xml:space="preserve">of all collected samples are compiled in Table SM1. </w:t>
      </w:r>
    </w:p>
    <w:p w14:paraId="049BDC32" w14:textId="7D7FD1D8" w:rsidR="00ED08D4" w:rsidRPr="00885A2B" w:rsidRDefault="00ED08D4" w:rsidP="00594832">
      <w:pPr>
        <w:ind w:firstLine="720"/>
      </w:pPr>
      <w:r w:rsidRPr="00885A2B">
        <w:t xml:space="preserve">At the El Capitan section, fist-sized shale samples were collected for TOC </w:t>
      </w:r>
      <w:r w:rsidR="004D7457" w:rsidRPr="00885A2B">
        <w:t xml:space="preserve">and XRF </w:t>
      </w:r>
      <w:r w:rsidRPr="00885A2B">
        <w:t xml:space="preserve">analysis at ~1m intervals in the lower 100m of the section, and ~30cm intervals in the upper portion of the section. </w:t>
      </w:r>
      <w:r w:rsidR="004D7457" w:rsidRPr="00885A2B">
        <w:t xml:space="preserve">TOC data from El Capitan is compiled in Table SM4, while XRF </w:t>
      </w:r>
      <w:r w:rsidR="00F23EDA">
        <w:t>data</w:t>
      </w:r>
      <w:r w:rsidR="004D7457" w:rsidRPr="00885A2B">
        <w:t xml:space="preserve"> are tabulated in Table SM5.</w:t>
      </w:r>
    </w:p>
    <w:p w14:paraId="7FEE9F54" w14:textId="77777777" w:rsidR="004D7457" w:rsidRPr="00885A2B" w:rsidRDefault="004D7457" w:rsidP="004D7457"/>
    <w:p w14:paraId="66F9CEC0" w14:textId="19A9F0B5" w:rsidR="00594832" w:rsidRPr="00885A2B" w:rsidRDefault="004D7457" w:rsidP="004D7457">
      <w:pPr>
        <w:rPr>
          <w:b/>
          <w:bCs/>
          <w:i/>
          <w:iCs/>
        </w:rPr>
      </w:pPr>
      <w:r w:rsidRPr="00885A2B">
        <w:rPr>
          <w:b/>
          <w:bCs/>
          <w:i/>
          <w:iCs/>
        </w:rPr>
        <w:lastRenderedPageBreak/>
        <w:t xml:space="preserve">1.2 </w:t>
      </w:r>
      <w:r w:rsidR="00ED08D4" w:rsidRPr="00885A2B">
        <w:rPr>
          <w:b/>
          <w:bCs/>
          <w:i/>
          <w:iCs/>
        </w:rPr>
        <w:t>Geochronolog</w:t>
      </w:r>
      <w:r w:rsidRPr="00885A2B">
        <w:rPr>
          <w:b/>
          <w:bCs/>
          <w:i/>
          <w:iCs/>
        </w:rPr>
        <w:t xml:space="preserve">y </w:t>
      </w:r>
      <w:r w:rsidR="00ED08D4" w:rsidRPr="00885A2B">
        <w:rPr>
          <w:b/>
          <w:bCs/>
          <w:i/>
          <w:iCs/>
        </w:rPr>
        <w:t>sample preparation</w:t>
      </w:r>
    </w:p>
    <w:p w14:paraId="1FB47D30" w14:textId="77777777" w:rsidR="004D7457" w:rsidRPr="00885A2B" w:rsidRDefault="004D7457">
      <w:pPr>
        <w:rPr>
          <w:b/>
          <w:bCs/>
          <w:i/>
          <w:iCs/>
        </w:rPr>
      </w:pPr>
    </w:p>
    <w:p w14:paraId="7A399E13" w14:textId="1782EAB2" w:rsidR="00ED08D4" w:rsidRPr="00885A2B" w:rsidRDefault="004D7457">
      <w:pPr>
        <w:rPr>
          <w:i/>
          <w:iCs/>
        </w:rPr>
      </w:pPr>
      <w:r w:rsidRPr="00885A2B">
        <w:rPr>
          <w:i/>
          <w:iCs/>
        </w:rPr>
        <w:t xml:space="preserve">1.2.1 </w:t>
      </w:r>
      <w:r w:rsidR="00ED08D4" w:rsidRPr="00885A2B">
        <w:rPr>
          <w:i/>
          <w:iCs/>
        </w:rPr>
        <w:t xml:space="preserve">Mineral Separation </w:t>
      </w:r>
    </w:p>
    <w:p w14:paraId="00A65F16" w14:textId="4B72E1F0" w:rsidR="00ED08D4" w:rsidRPr="00885A2B" w:rsidRDefault="00ED08D4" w:rsidP="00594832">
      <w:pPr>
        <w:ind w:firstLine="720"/>
      </w:pPr>
      <w:r w:rsidRPr="00885A2B">
        <w:t>Bentonite samples were combined with water and disaggregated with ~30s of pulsed blending in a standard kitchen blender. To remove mineral grains from the clay matrix and remove fine sediment, the resulting slurry was then poured into sonication/agitation equipment, following the methods of Hoke et al.</w:t>
      </w:r>
      <w:r w:rsidR="00340634" w:rsidRPr="00885A2B">
        <w:t xml:space="preserve"> (</w:t>
      </w:r>
      <w:r w:rsidRPr="00885A2B">
        <w:t>2014</w:t>
      </w:r>
      <w:r w:rsidR="00340634" w:rsidRPr="00885A2B">
        <w:t>)</w:t>
      </w:r>
      <w:r w:rsidR="00C616BE" w:rsidRPr="00885A2B">
        <w:t>. 30 second pulses of sonication and constant circulation with magnetic stirrers were continued with constant water flow through a series of two beakers, until the water in both beakers ran completely clear. The remaining sediment that accumulate</w:t>
      </w:r>
      <w:r w:rsidR="00F23EDA">
        <w:t>d</w:t>
      </w:r>
      <w:r w:rsidR="00C616BE" w:rsidRPr="00885A2B">
        <w:t xml:space="preserve"> on the bottom of both beakers was panned, and a heavy mineral fraction separated and placed in a large petri dish. We found that lightly scoring the bottom surface of the petri dish (effectively creating shallow riffles) and swirling/running the heavy mineral separate over the scored zone resulted in the concentration of zircon in and around the scored markings. Using these methods, we were able to</w:t>
      </w:r>
      <w:r w:rsidR="00F23EDA">
        <w:t xml:space="preserve"> recover</w:t>
      </w:r>
      <w:r w:rsidR="00C616BE" w:rsidRPr="00885A2B">
        <w:t xml:space="preserve"> </w:t>
      </w:r>
      <w:r w:rsidR="00F23EDA">
        <w:t>~100s</w:t>
      </w:r>
      <w:r w:rsidR="00C616BE" w:rsidRPr="00885A2B">
        <w:t xml:space="preserve"> of zircon crystals from </w:t>
      </w:r>
      <w:r w:rsidR="00594832" w:rsidRPr="00885A2B">
        <w:t>most</w:t>
      </w:r>
      <w:r w:rsidR="00C616BE" w:rsidRPr="00885A2B">
        <w:t xml:space="preserve"> ~.5kg bentonite sample</w:t>
      </w:r>
      <w:r w:rsidR="00002164" w:rsidRPr="00885A2B">
        <w:t>s</w:t>
      </w:r>
      <w:r w:rsidR="00F23EDA">
        <w:t>.</w:t>
      </w:r>
      <w:r w:rsidR="00C616BE" w:rsidRPr="00885A2B">
        <w:t xml:space="preserve"> </w:t>
      </w:r>
    </w:p>
    <w:p w14:paraId="018EB283" w14:textId="78FEF305" w:rsidR="00C616BE" w:rsidRPr="00885A2B" w:rsidRDefault="00C616BE"/>
    <w:p w14:paraId="67BE1268" w14:textId="707D6E5E" w:rsidR="00C616BE" w:rsidRPr="00885A2B" w:rsidRDefault="004D7457">
      <w:pPr>
        <w:rPr>
          <w:i/>
          <w:iCs/>
        </w:rPr>
      </w:pPr>
      <w:r w:rsidRPr="00885A2B">
        <w:rPr>
          <w:i/>
          <w:iCs/>
        </w:rPr>
        <w:t xml:space="preserve">1.2.2 </w:t>
      </w:r>
      <w:r w:rsidR="00C616BE" w:rsidRPr="00885A2B">
        <w:rPr>
          <w:i/>
          <w:iCs/>
        </w:rPr>
        <w:t>Picking, annealing, mounting, and imaging</w:t>
      </w:r>
    </w:p>
    <w:p w14:paraId="0C39E449" w14:textId="60E8C137" w:rsidR="00ED08D4" w:rsidRPr="00885A2B" w:rsidRDefault="00002164" w:rsidP="00594832">
      <w:pPr>
        <w:ind w:firstLine="720"/>
      </w:pPr>
      <w:r w:rsidRPr="00885A2B">
        <w:t xml:space="preserve">Zircon </w:t>
      </w:r>
      <w:r w:rsidR="00594832" w:rsidRPr="00885A2B">
        <w:t>crystals</w:t>
      </w:r>
      <w:r w:rsidRPr="00885A2B">
        <w:t xml:space="preserve"> </w:t>
      </w:r>
      <w:r w:rsidR="00C616BE" w:rsidRPr="00885A2B">
        <w:t xml:space="preserve">were </w:t>
      </w:r>
      <w:r w:rsidR="00594832" w:rsidRPr="00885A2B">
        <w:t>picked</w:t>
      </w:r>
      <w:r w:rsidR="00F23EDA">
        <w:t xml:space="preserve"> </w:t>
      </w:r>
      <w:r w:rsidR="00F23EDA" w:rsidRPr="00885A2B">
        <w:t xml:space="preserve">(typically 150-200 in samples with abundant zircon) </w:t>
      </w:r>
      <w:r w:rsidR="00594832" w:rsidRPr="00885A2B">
        <w:t xml:space="preserve">from </w:t>
      </w:r>
      <w:r w:rsidRPr="00885A2B">
        <w:t xml:space="preserve">the </w:t>
      </w:r>
      <w:r w:rsidR="00594832" w:rsidRPr="00885A2B">
        <w:t>mineral separate</w:t>
      </w:r>
      <w:r w:rsidRPr="00885A2B">
        <w:t xml:space="preserve"> of each sample</w:t>
      </w:r>
      <w:r w:rsidR="00594832" w:rsidRPr="00885A2B">
        <w:t xml:space="preserve"> with tweezers, transferred to crucibles, and annealed at 900ºC for </w:t>
      </w:r>
      <w:r w:rsidR="00C33A24">
        <w:t>48</w:t>
      </w:r>
      <w:r w:rsidR="00594832" w:rsidRPr="00885A2B">
        <w:t xml:space="preserve"> hours in a muffle furnace. Annealed zircon </w:t>
      </w:r>
      <w:proofErr w:type="gramStart"/>
      <w:r w:rsidR="00594832" w:rsidRPr="00885A2B">
        <w:t>were</w:t>
      </w:r>
      <w:proofErr w:type="gramEnd"/>
      <w:r w:rsidR="00594832" w:rsidRPr="00885A2B">
        <w:t xml:space="preserve"> then mounted in epoxy and polished. Polished mounts were subsequently imaged with cathodoluminescence (CL) using a Centaurus CL detector mounted on an FEI Quanta 400f field emission SEM at the University of California Santa Barbara (UCSB). </w:t>
      </w:r>
    </w:p>
    <w:p w14:paraId="7D6A2C23" w14:textId="6D2C4627" w:rsidR="00594832" w:rsidRPr="00885A2B" w:rsidRDefault="00594832"/>
    <w:p w14:paraId="7538E8B5" w14:textId="0CFF42D7" w:rsidR="00BA2DFB" w:rsidRPr="00885A2B" w:rsidRDefault="004D7457" w:rsidP="00BA2DFB">
      <w:pPr>
        <w:rPr>
          <w:b/>
          <w:bCs/>
          <w:i/>
          <w:iCs/>
        </w:rPr>
      </w:pPr>
      <w:r w:rsidRPr="00885A2B">
        <w:rPr>
          <w:b/>
          <w:bCs/>
          <w:i/>
          <w:iCs/>
        </w:rPr>
        <w:t xml:space="preserve">1.3 </w:t>
      </w:r>
      <w:r w:rsidR="00BA2DFB" w:rsidRPr="00885A2B">
        <w:rPr>
          <w:b/>
          <w:bCs/>
          <w:i/>
          <w:iCs/>
        </w:rPr>
        <w:t>LA-ICPMS analyses</w:t>
      </w:r>
    </w:p>
    <w:p w14:paraId="23445214" w14:textId="5DE60542" w:rsidR="00BA2DFB" w:rsidRPr="00885A2B" w:rsidRDefault="00BA2DFB" w:rsidP="00BA2DFB">
      <w:r w:rsidRPr="00885A2B">
        <w:tab/>
        <w:t>Laser ablation inductively coupled plasma mass spectrometry (LA-ICPMS) U-Pb geochronological analyses on zircon were completed at UC</w:t>
      </w:r>
      <w:r w:rsidR="00F23EDA">
        <w:t xml:space="preserve"> Santa Barbara</w:t>
      </w:r>
      <w:r w:rsidRPr="00885A2B">
        <w:t xml:space="preserve"> using a </w:t>
      </w:r>
      <w:proofErr w:type="spellStart"/>
      <w:r w:rsidRPr="00885A2B">
        <w:t>Cetac</w:t>
      </w:r>
      <w:proofErr w:type="spellEnd"/>
      <w:r w:rsidRPr="00885A2B">
        <w:t xml:space="preserve">/Photon Machines Analyte Excite 193 nm excimer laser attached to a Nu Plasma 3D </w:t>
      </w:r>
      <w:proofErr w:type="spellStart"/>
      <w:r w:rsidRPr="00885A2B">
        <w:t>multicollector</w:t>
      </w:r>
      <w:proofErr w:type="spellEnd"/>
      <w:r w:rsidRPr="00885A2B">
        <w:t xml:space="preserve"> ICPMS, following the methods of </w:t>
      </w:r>
      <w:proofErr w:type="spellStart"/>
      <w:r w:rsidRPr="00885A2B">
        <w:t>Kylander</w:t>
      </w:r>
      <w:proofErr w:type="spellEnd"/>
      <w:r w:rsidRPr="00885A2B">
        <w:t>-Clark et al. (2013). Each zircon was ablated with a 20µm laser spot. The zircon 91500 (</w:t>
      </w:r>
      <w:proofErr w:type="spellStart"/>
      <w:r w:rsidRPr="00885A2B">
        <w:t>Wiedenbeck</w:t>
      </w:r>
      <w:proofErr w:type="spellEnd"/>
      <w:r w:rsidRPr="00885A2B">
        <w:t xml:space="preserve"> et al., 1995) was used for age calibration. Secondary zircon reference materials included 9435, AUSZ, </w:t>
      </w:r>
      <w:proofErr w:type="spellStart"/>
      <w:r w:rsidRPr="00885A2B">
        <w:t>Mudtank</w:t>
      </w:r>
      <w:proofErr w:type="spellEnd"/>
      <w:r w:rsidRPr="00885A2B">
        <w:t xml:space="preserve">, GJ1 (Jackson et al., 2004), and </w:t>
      </w:r>
      <w:proofErr w:type="spellStart"/>
      <w:r w:rsidRPr="00885A2B">
        <w:t>Plesovice</w:t>
      </w:r>
      <w:proofErr w:type="spellEnd"/>
      <w:r w:rsidRPr="00885A2B">
        <w:t xml:space="preserve"> (</w:t>
      </w:r>
      <w:proofErr w:type="spellStart"/>
      <w:r w:rsidRPr="00885A2B">
        <w:t>Sláma</w:t>
      </w:r>
      <w:proofErr w:type="spellEnd"/>
      <w:r w:rsidRPr="00885A2B">
        <w:t xml:space="preserve"> et al., 2008). </w:t>
      </w:r>
      <w:r w:rsidRPr="00885A2B">
        <w:rPr>
          <w:i/>
          <w:iCs/>
        </w:rPr>
        <w:t>Iolite</w:t>
      </w:r>
      <w:r w:rsidRPr="00885A2B">
        <w:t xml:space="preserve"> (Paton et al., 2010) was used to correct for U-Pb mass bias and drift following the methods of </w:t>
      </w:r>
      <w:proofErr w:type="spellStart"/>
      <w:r w:rsidRPr="00885A2B">
        <w:t>Kylander</w:t>
      </w:r>
      <w:proofErr w:type="spellEnd"/>
      <w:r w:rsidRPr="00885A2B">
        <w:t xml:space="preserve">-Clark et al. (2013) and </w:t>
      </w:r>
      <w:proofErr w:type="spellStart"/>
      <w:r w:rsidRPr="00885A2B">
        <w:t>Horstwood</w:t>
      </w:r>
      <w:proofErr w:type="spellEnd"/>
      <w:r w:rsidRPr="00885A2B">
        <w:t xml:space="preserve"> et al. (2016).</w:t>
      </w:r>
    </w:p>
    <w:p w14:paraId="17C72509" w14:textId="25C346A4" w:rsidR="00BA2DFB" w:rsidRPr="00885A2B" w:rsidRDefault="00BA2DFB" w:rsidP="00BA2DFB">
      <w:pPr>
        <w:rPr>
          <w:color w:val="000000"/>
        </w:rPr>
      </w:pPr>
      <w:r w:rsidRPr="00885A2B">
        <w:tab/>
        <w:t xml:space="preserve">All LA-ICPMS data are compiled in Table SM2. </w:t>
      </w:r>
      <w:r w:rsidRPr="00885A2B">
        <w:rPr>
          <w:vertAlign w:val="superscript"/>
        </w:rPr>
        <w:t>238</w:t>
      </w:r>
      <w:r w:rsidRPr="00885A2B">
        <w:t>U/</w:t>
      </w:r>
      <w:r w:rsidRPr="00885A2B">
        <w:rPr>
          <w:vertAlign w:val="superscript"/>
        </w:rPr>
        <w:t>206</w:t>
      </w:r>
      <w:r w:rsidRPr="00885A2B">
        <w:t xml:space="preserve">Pb ratios were corrected for </w:t>
      </w:r>
      <w:r w:rsidRPr="00885A2B">
        <w:rPr>
          <w:vertAlign w:val="superscript"/>
        </w:rPr>
        <w:t>230</w:t>
      </w:r>
      <w:r w:rsidRPr="00885A2B">
        <w:t xml:space="preserve">Th disequilibrium using measured zircon Th/U and an assumed Th/U(magma) of 3.5. Dates for each grain were calculated by importing reduced </w:t>
      </w:r>
      <w:r w:rsidRPr="00885A2B">
        <w:rPr>
          <w:vertAlign w:val="superscript"/>
        </w:rPr>
        <w:t>238</w:t>
      </w:r>
      <w:r w:rsidRPr="00885A2B">
        <w:t>U/</w:t>
      </w:r>
      <w:r w:rsidRPr="00885A2B">
        <w:rPr>
          <w:vertAlign w:val="superscript"/>
        </w:rPr>
        <w:t>206</w:t>
      </w:r>
      <w:r w:rsidRPr="00885A2B">
        <w:t xml:space="preserve">Pb and </w:t>
      </w:r>
      <w:r w:rsidRPr="00885A2B">
        <w:rPr>
          <w:vertAlign w:val="superscript"/>
        </w:rPr>
        <w:t>207</w:t>
      </w:r>
      <w:r w:rsidRPr="00885A2B">
        <w:t>Pb/</w:t>
      </w:r>
      <w:r w:rsidRPr="00885A2B">
        <w:rPr>
          <w:vertAlign w:val="superscript"/>
        </w:rPr>
        <w:t>206</w:t>
      </w:r>
      <w:r w:rsidRPr="00885A2B">
        <w:t xml:space="preserve">Pb ratios into </w:t>
      </w:r>
      <w:proofErr w:type="spellStart"/>
      <w:r w:rsidRPr="00885A2B">
        <w:rPr>
          <w:i/>
          <w:iCs/>
        </w:rPr>
        <w:t>IsoplotR</w:t>
      </w:r>
      <w:proofErr w:type="spellEnd"/>
      <w:r w:rsidRPr="00885A2B">
        <w:rPr>
          <w:i/>
          <w:iCs/>
        </w:rPr>
        <w:t xml:space="preserve"> </w:t>
      </w:r>
      <w:r w:rsidRPr="00885A2B">
        <w:t>(</w:t>
      </w:r>
      <w:proofErr w:type="spellStart"/>
      <w:r w:rsidRPr="00885A2B">
        <w:t>Vermeesch</w:t>
      </w:r>
      <w:proofErr w:type="spellEnd"/>
      <w:r w:rsidRPr="00885A2B">
        <w:t xml:space="preserve"> 2018). For each sample, a group of zircons with young (Miocene) </w:t>
      </w:r>
      <w:r w:rsidRPr="00885A2B">
        <w:rPr>
          <w:vertAlign w:val="superscript"/>
        </w:rPr>
        <w:t>206</w:t>
      </w:r>
      <w:r w:rsidRPr="00885A2B">
        <w:t>Pb/</w:t>
      </w:r>
      <w:r w:rsidRPr="00885A2B">
        <w:rPr>
          <w:vertAlign w:val="superscript"/>
        </w:rPr>
        <w:t>238</w:t>
      </w:r>
      <w:r w:rsidRPr="00885A2B">
        <w:t xml:space="preserve">U dates were identified. This group of analyses was used to calculate a weighted-mean age: the oldest analyses were iteratively removed until a group of zircon ages </w:t>
      </w:r>
      <w:r w:rsidRPr="00885A2B">
        <w:rPr>
          <w:color w:val="000000"/>
        </w:rPr>
        <w:t xml:space="preserve">conforming to statistical standards for a single population (Wendt and Carl, 1991) was acquired. The data used to calculate these weighted mean ages are in bold text and highlighted in grey in Table SM2, while older analyses that did not go into the weighted mean (likely representing either magmatic inheritance or detritus in the bentonite bed) are italicized. A blanket systematic uncertainty of 2% (accounting for all uncertainty criteria outlined in </w:t>
      </w:r>
      <w:proofErr w:type="spellStart"/>
      <w:r w:rsidRPr="00885A2B">
        <w:rPr>
          <w:color w:val="000000"/>
        </w:rPr>
        <w:t>Horstwood</w:t>
      </w:r>
      <w:proofErr w:type="spellEnd"/>
      <w:r w:rsidRPr="00885A2B">
        <w:rPr>
          <w:color w:val="000000"/>
        </w:rPr>
        <w:t xml:space="preserve"> et al., 2016) was then applied to the calculated weighted-mean ages. The weighted-mean age, and uncertainty, is utilized in our </w:t>
      </w:r>
      <w:r w:rsidRPr="00885A2B">
        <w:rPr>
          <w:color w:val="000000"/>
        </w:rPr>
        <w:lastRenderedPageBreak/>
        <w:t>chronostratigraphic framework as the eruptive/depositional age</w:t>
      </w:r>
      <w:r w:rsidR="004D7457" w:rsidRPr="00885A2B">
        <w:rPr>
          <w:color w:val="000000"/>
        </w:rPr>
        <w:t xml:space="preserve"> and uncertainty</w:t>
      </w:r>
      <w:r w:rsidRPr="00885A2B">
        <w:rPr>
          <w:color w:val="000000"/>
        </w:rPr>
        <w:t xml:space="preserve"> for the measured bentonite horizon.</w:t>
      </w:r>
      <w:r w:rsidR="004D7457" w:rsidRPr="00885A2B">
        <w:rPr>
          <w:color w:val="000000"/>
        </w:rPr>
        <w:t xml:space="preserve"> </w:t>
      </w:r>
      <w:r w:rsidRPr="00885A2B">
        <w:rPr>
          <w:color w:val="000000"/>
        </w:rPr>
        <w:t>Samples</w:t>
      </w:r>
      <w:r w:rsidR="00F23EDA">
        <w:rPr>
          <w:color w:val="000000"/>
        </w:rPr>
        <w:t xml:space="preserve"> with</w:t>
      </w:r>
      <w:r w:rsidRPr="00885A2B">
        <w:rPr>
          <w:color w:val="000000"/>
        </w:rPr>
        <w:t xml:space="preserve"> </w:t>
      </w:r>
      <w:r w:rsidR="004D7457" w:rsidRPr="00885A2B">
        <w:rPr>
          <w:color w:val="000000"/>
        </w:rPr>
        <w:t>a single young grain</w:t>
      </w:r>
      <w:r w:rsidRPr="00885A2B">
        <w:rPr>
          <w:color w:val="000000"/>
        </w:rPr>
        <w:t xml:space="preserve"> are treated as detrita</w:t>
      </w:r>
      <w:r w:rsidR="00F23EDA">
        <w:rPr>
          <w:color w:val="000000"/>
        </w:rPr>
        <w:t>l</w:t>
      </w:r>
      <w:r w:rsidRPr="00885A2B">
        <w:rPr>
          <w:color w:val="000000"/>
        </w:rPr>
        <w:t xml:space="preserve">, with the </w:t>
      </w:r>
      <w:r w:rsidRPr="00885A2B">
        <w:rPr>
          <w:vertAlign w:val="superscript"/>
        </w:rPr>
        <w:t>206</w:t>
      </w:r>
      <w:r w:rsidRPr="00885A2B">
        <w:t>Pb/</w:t>
      </w:r>
      <w:r w:rsidRPr="00885A2B">
        <w:rPr>
          <w:vertAlign w:val="superscript"/>
        </w:rPr>
        <w:t>238</w:t>
      </w:r>
      <w:r w:rsidRPr="00885A2B">
        <w:t>U age of the youngest grain serving as the maximum depositional age (MDA) for the sampled horizon.</w:t>
      </w:r>
    </w:p>
    <w:p w14:paraId="77169030" w14:textId="57210EB2" w:rsidR="00C56B81" w:rsidRPr="00885A2B" w:rsidRDefault="00C56B81" w:rsidP="00BA2DFB">
      <w:pPr>
        <w:rPr>
          <w:b/>
          <w:bCs/>
          <w:i/>
          <w:iCs/>
        </w:rPr>
      </w:pPr>
    </w:p>
    <w:p w14:paraId="55F7692C" w14:textId="095DE730" w:rsidR="00BA2DFB" w:rsidRPr="00885A2B" w:rsidRDefault="004D7457" w:rsidP="00BA2DFB">
      <w:pPr>
        <w:rPr>
          <w:b/>
          <w:bCs/>
          <w:i/>
          <w:iCs/>
        </w:rPr>
      </w:pPr>
      <w:r w:rsidRPr="00885A2B">
        <w:rPr>
          <w:b/>
          <w:bCs/>
          <w:i/>
          <w:iCs/>
        </w:rPr>
        <w:t>1.</w:t>
      </w:r>
      <w:r w:rsidR="00C56B81" w:rsidRPr="00885A2B">
        <w:rPr>
          <w:b/>
          <w:bCs/>
          <w:i/>
          <w:iCs/>
        </w:rPr>
        <w:t xml:space="preserve">4 </w:t>
      </w:r>
      <w:r w:rsidR="00BA2DFB" w:rsidRPr="00885A2B">
        <w:rPr>
          <w:b/>
          <w:bCs/>
          <w:i/>
          <w:iCs/>
        </w:rPr>
        <w:t>CA-ID-TIMS analyses</w:t>
      </w:r>
    </w:p>
    <w:p w14:paraId="6E672014" w14:textId="77777777" w:rsidR="00C56B81" w:rsidRPr="00885A2B" w:rsidRDefault="00C56B81" w:rsidP="00BA2DFB">
      <w:pPr>
        <w:rPr>
          <w:i/>
          <w:iCs/>
        </w:rPr>
      </w:pPr>
    </w:p>
    <w:p w14:paraId="0F8AA583" w14:textId="5CDFD268" w:rsidR="00BA2DFB" w:rsidRPr="00885A2B" w:rsidRDefault="00C56B81" w:rsidP="00BA2DFB">
      <w:pPr>
        <w:rPr>
          <w:i/>
          <w:iCs/>
        </w:rPr>
      </w:pPr>
      <w:r w:rsidRPr="00885A2B">
        <w:rPr>
          <w:i/>
          <w:iCs/>
        </w:rPr>
        <w:t xml:space="preserve">1.4.1 </w:t>
      </w:r>
      <w:r w:rsidR="00BA2DFB" w:rsidRPr="00885A2B">
        <w:rPr>
          <w:i/>
          <w:iCs/>
        </w:rPr>
        <w:t>Chemical Abrasion</w:t>
      </w:r>
    </w:p>
    <w:p w14:paraId="54FC54FA" w14:textId="77777777" w:rsidR="00BA2DFB" w:rsidRPr="00885A2B" w:rsidRDefault="00BA2DFB" w:rsidP="00BA2DFB">
      <w:pPr>
        <w:rPr>
          <w:color w:val="000000"/>
        </w:rPr>
      </w:pPr>
      <w:r w:rsidRPr="00885A2B">
        <w:rPr>
          <w:color w:val="000000"/>
        </w:rPr>
        <w:tab/>
        <w:t xml:space="preserve">Individual grains from the population of zircons that make up the LA-ICPMS weighted mean age for each sample were analyzed with single zircon U-Pb chemical abrasion isotope dilution thermal ionization mass spectrometry (CA-ID-TIMS) at Princeton University, following standard chemical abrasion methods modified from </w:t>
      </w:r>
      <w:proofErr w:type="spellStart"/>
      <w:r w:rsidRPr="00885A2B">
        <w:rPr>
          <w:color w:val="000000"/>
        </w:rPr>
        <w:t>Mattinson</w:t>
      </w:r>
      <w:proofErr w:type="spellEnd"/>
      <w:r w:rsidRPr="00885A2B">
        <w:rPr>
          <w:color w:val="000000"/>
        </w:rPr>
        <w:t xml:space="preserve"> (2005). Previously annealed single zircons were plucked from epoxy mounts, transferred to Teflon beakers, and rinsed with 3N HNO</w:t>
      </w:r>
      <w:r w:rsidRPr="00885A2B">
        <w:rPr>
          <w:color w:val="000000"/>
          <w:vertAlign w:val="subscript"/>
        </w:rPr>
        <w:t xml:space="preserve">3. </w:t>
      </w:r>
      <w:r w:rsidRPr="00885A2B">
        <w:rPr>
          <w:color w:val="000000"/>
        </w:rPr>
        <w:t xml:space="preserve">Grains were removed from the acid rinse and loaded into 200µl </w:t>
      </w:r>
      <w:proofErr w:type="spellStart"/>
      <w:r w:rsidRPr="00885A2B">
        <w:rPr>
          <w:color w:val="000000"/>
        </w:rPr>
        <w:t>Savillex</w:t>
      </w:r>
      <w:proofErr w:type="spellEnd"/>
      <w:r w:rsidRPr="00885A2B">
        <w:rPr>
          <w:color w:val="000000"/>
        </w:rPr>
        <w:t xml:space="preserve"> microcapsules with ca. 90 µl 29M HF. Microcapsules were assembled in a Parr bomb and zircons were leached at 180ºC for 12 hours to remove domains in the crystal lattice that may have experienced lead loss. </w:t>
      </w:r>
    </w:p>
    <w:p w14:paraId="6F54D21C" w14:textId="77777777" w:rsidR="00BA2DFB" w:rsidRPr="00885A2B" w:rsidRDefault="00BA2DFB" w:rsidP="00BA2DFB">
      <w:pPr>
        <w:rPr>
          <w:color w:val="000000"/>
        </w:rPr>
      </w:pPr>
    </w:p>
    <w:p w14:paraId="240D6D77" w14:textId="06D563FB" w:rsidR="00BA2DFB" w:rsidRPr="00885A2B" w:rsidRDefault="00C56B81" w:rsidP="00BA2DFB">
      <w:pPr>
        <w:rPr>
          <w:i/>
          <w:iCs/>
        </w:rPr>
      </w:pPr>
      <w:r w:rsidRPr="00885A2B">
        <w:rPr>
          <w:i/>
          <w:iCs/>
        </w:rPr>
        <w:t xml:space="preserve">1.4.2 </w:t>
      </w:r>
      <w:r w:rsidR="00BA2DFB" w:rsidRPr="00885A2B">
        <w:rPr>
          <w:i/>
          <w:iCs/>
        </w:rPr>
        <w:t>Dissolution, spiking, and column chemistry</w:t>
      </w:r>
    </w:p>
    <w:p w14:paraId="322D3A49" w14:textId="2FF430CD" w:rsidR="00BA2DFB" w:rsidRPr="00885A2B" w:rsidRDefault="00BA2DFB" w:rsidP="00BA2DFB">
      <w:pPr>
        <w:ind w:firstLine="720"/>
      </w:pPr>
      <w:r w:rsidRPr="00885A2B">
        <w:rPr>
          <w:color w:val="000000"/>
        </w:rPr>
        <w:t>Following leaching, zircon grains were moved to Teflon beakers, and repeatedly rinsed in 3N HNO</w:t>
      </w:r>
      <w:r w:rsidRPr="00885A2B">
        <w:rPr>
          <w:color w:val="000000"/>
          <w:vertAlign w:val="subscript"/>
        </w:rPr>
        <w:t>3</w:t>
      </w:r>
      <w:r w:rsidRPr="00885A2B">
        <w:rPr>
          <w:color w:val="000000"/>
        </w:rPr>
        <w:t xml:space="preserve"> and 6N HCl. The crystals were then transferred back to microcapsules, spiked with the EARTHTIME </w:t>
      </w:r>
      <w:r w:rsidRPr="00885A2B">
        <w:rPr>
          <w:rStyle w:val="apple-converted-space"/>
          <w:color w:val="262626"/>
          <w:shd w:val="clear" w:color="auto" w:fill="FFFFFF"/>
        </w:rPr>
        <w:t> </w:t>
      </w:r>
      <w:r w:rsidRPr="00885A2B">
        <w:rPr>
          <w:color w:val="262626"/>
          <w:vertAlign w:val="superscript"/>
        </w:rPr>
        <w:t>205</w:t>
      </w:r>
      <w:r w:rsidRPr="00885A2B">
        <w:rPr>
          <w:color w:val="262626"/>
          <w:shd w:val="clear" w:color="auto" w:fill="FFFFFF"/>
        </w:rPr>
        <w:t>Pb-</w:t>
      </w:r>
      <w:r w:rsidRPr="00885A2B">
        <w:rPr>
          <w:color w:val="262626"/>
          <w:vertAlign w:val="superscript"/>
        </w:rPr>
        <w:t>233</w:t>
      </w:r>
      <w:r w:rsidRPr="00885A2B">
        <w:rPr>
          <w:color w:val="262626"/>
          <w:shd w:val="clear" w:color="auto" w:fill="FFFFFF"/>
        </w:rPr>
        <w:t>U-</w:t>
      </w:r>
      <w:r w:rsidRPr="00885A2B">
        <w:rPr>
          <w:color w:val="262626"/>
          <w:vertAlign w:val="superscript"/>
        </w:rPr>
        <w:t>235</w:t>
      </w:r>
      <w:r w:rsidRPr="00885A2B">
        <w:rPr>
          <w:color w:val="262626"/>
          <w:shd w:val="clear" w:color="auto" w:fill="FFFFFF"/>
        </w:rPr>
        <w:t xml:space="preserve">U tracer (Condon et al., 2015; McLean et al., 2015) </w:t>
      </w:r>
      <w:r w:rsidR="000765B9" w:rsidRPr="00885A2B">
        <w:rPr>
          <w:color w:val="262626"/>
          <w:shd w:val="clear" w:color="auto" w:fill="FFFFFF"/>
        </w:rPr>
        <w:t>and p</w:t>
      </w:r>
      <w:r w:rsidRPr="00885A2B">
        <w:rPr>
          <w:color w:val="262626"/>
          <w:shd w:val="clear" w:color="auto" w:fill="FFFFFF"/>
        </w:rPr>
        <w:t xml:space="preserve">laced back into a Parr bomb for dissolution in </w:t>
      </w:r>
      <w:r w:rsidRPr="00885A2B">
        <w:rPr>
          <w:color w:val="000000"/>
        </w:rPr>
        <w:t xml:space="preserve">ca. 90 µl 29M HF </w:t>
      </w:r>
      <w:r w:rsidRPr="00885A2B">
        <w:rPr>
          <w:color w:val="262626"/>
          <w:shd w:val="clear" w:color="auto" w:fill="FFFFFF"/>
        </w:rPr>
        <w:t xml:space="preserve">for 60 h at 210ºC. The resulting solutions were then dried down, converted to chlorides in the Parr bomb overnight, and dried down once more on the hot plate. The samples were then redissolved in 3N HCl and placed into </w:t>
      </w:r>
      <w:r w:rsidRPr="00885A2B">
        <w:rPr>
          <w:color w:val="000000"/>
        </w:rPr>
        <w:t>50 µl micro</w:t>
      </w:r>
      <w:r w:rsidRPr="00885A2B">
        <w:rPr>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885A2B">
        <w:rPr>
          <w:color w:val="262626"/>
          <w:shd w:val="clear" w:color="auto" w:fill="FFFFFF"/>
        </w:rPr>
        <w:t>microdrop</w:t>
      </w:r>
      <w:proofErr w:type="spellEnd"/>
      <w:r w:rsidRPr="00885A2B">
        <w:rPr>
          <w:color w:val="262626"/>
          <w:shd w:val="clear" w:color="auto" w:fill="FFFFFF"/>
        </w:rPr>
        <w:t xml:space="preserve"> of 0.015M H</w:t>
      </w:r>
      <w:r w:rsidRPr="00885A2B">
        <w:rPr>
          <w:color w:val="262626"/>
          <w:shd w:val="clear" w:color="auto" w:fill="FFFFFF"/>
          <w:vertAlign w:val="subscript"/>
        </w:rPr>
        <w:t>3</w:t>
      </w:r>
      <w:r w:rsidRPr="00885A2B">
        <w:rPr>
          <w:color w:val="262626"/>
          <w:shd w:val="clear" w:color="auto" w:fill="FFFFFF"/>
        </w:rPr>
        <w:t>PO</w:t>
      </w:r>
      <w:r w:rsidRPr="00885A2B">
        <w:rPr>
          <w:color w:val="262626"/>
          <w:shd w:val="clear" w:color="auto" w:fill="FFFFFF"/>
          <w:vertAlign w:val="subscript"/>
        </w:rPr>
        <w:t>4</w:t>
      </w:r>
      <w:r w:rsidRPr="00885A2B">
        <w:rPr>
          <w:color w:val="262626"/>
          <w:shd w:val="clear" w:color="auto" w:fill="FFFFFF"/>
        </w:rPr>
        <w:t>. Each aliquot was then redissolved in a silica gel emitter (</w:t>
      </w:r>
      <w:proofErr w:type="spellStart"/>
      <w:r w:rsidRPr="00885A2B">
        <w:rPr>
          <w:color w:val="262626"/>
          <w:shd w:val="clear" w:color="auto" w:fill="FFFFFF"/>
        </w:rPr>
        <w:t>Gerstenberger</w:t>
      </w:r>
      <w:proofErr w:type="spellEnd"/>
      <w:r w:rsidRPr="00885A2B">
        <w:rPr>
          <w:color w:val="262626"/>
          <w:shd w:val="clear" w:color="auto" w:fill="FFFFFF"/>
        </w:rPr>
        <w:t xml:space="preserve"> and </w:t>
      </w:r>
      <w:proofErr w:type="spellStart"/>
      <w:r w:rsidRPr="00885A2B">
        <w:rPr>
          <w:color w:val="262626"/>
          <w:shd w:val="clear" w:color="auto" w:fill="FFFFFF"/>
        </w:rPr>
        <w:t>Haase</w:t>
      </w:r>
      <w:proofErr w:type="spellEnd"/>
      <w:r w:rsidRPr="00885A2B">
        <w:rPr>
          <w:color w:val="262626"/>
          <w:shd w:val="clear" w:color="auto" w:fill="FFFFFF"/>
        </w:rPr>
        <w:t xml:space="preserve">, 1997), and loaded with an ultrafine pipette onto a single outgassed zoned-refined rhenium filament. </w:t>
      </w:r>
    </w:p>
    <w:p w14:paraId="0C21C403" w14:textId="77777777" w:rsidR="00BA2DFB" w:rsidRPr="00885A2B" w:rsidRDefault="00BA2DFB" w:rsidP="00BA2DFB">
      <w:pPr>
        <w:rPr>
          <w:color w:val="000000"/>
        </w:rPr>
      </w:pPr>
    </w:p>
    <w:p w14:paraId="06695121" w14:textId="04EC82D0" w:rsidR="00BA2DFB" w:rsidRPr="00885A2B" w:rsidRDefault="00C56B81" w:rsidP="00BA2DFB">
      <w:pPr>
        <w:rPr>
          <w:i/>
          <w:iCs/>
          <w:color w:val="000000"/>
        </w:rPr>
      </w:pPr>
      <w:r w:rsidRPr="00885A2B">
        <w:rPr>
          <w:i/>
          <w:iCs/>
          <w:color w:val="000000"/>
        </w:rPr>
        <w:t xml:space="preserve">1.4.3 </w:t>
      </w:r>
      <w:r w:rsidR="00BA2DFB" w:rsidRPr="00885A2B">
        <w:rPr>
          <w:i/>
          <w:iCs/>
          <w:color w:val="000000"/>
        </w:rPr>
        <w:t>Isotopic measurements</w:t>
      </w:r>
    </w:p>
    <w:p w14:paraId="115A0EA5" w14:textId="77777777" w:rsidR="00BA2DFB" w:rsidRPr="00885A2B" w:rsidRDefault="00BA2DFB" w:rsidP="00BA2DFB">
      <w:pPr>
        <w:rPr>
          <w:i/>
          <w:iCs/>
          <w:color w:val="000000"/>
        </w:rPr>
      </w:pPr>
      <w:r w:rsidRPr="00885A2B">
        <w:rPr>
          <w:i/>
          <w:iCs/>
          <w:color w:val="000000"/>
        </w:rPr>
        <w:tab/>
      </w:r>
      <w:r w:rsidRPr="00885A2B">
        <w:rPr>
          <w:color w:val="000000"/>
        </w:rPr>
        <w:t xml:space="preserve">Lead and U isotopic measurements were performed with one of two </w:t>
      </w:r>
      <w:proofErr w:type="spellStart"/>
      <w:r w:rsidRPr="00885A2B">
        <w:rPr>
          <w:color w:val="000000"/>
        </w:rPr>
        <w:t>Isotopx</w:t>
      </w:r>
      <w:proofErr w:type="spellEnd"/>
      <w:r w:rsidRPr="00885A2B">
        <w:rPr>
          <w:color w:val="000000"/>
        </w:rPr>
        <w:t xml:space="preserve"> Phoenix thermal ionization mass spectrometers (TIMS) at Princeton University. Pb isotopes were measured using peak-hopping mode on a Daly photomultiplier ion-counter, while U isotopes were measured as UO</w:t>
      </w:r>
      <w:r w:rsidRPr="00885A2B">
        <w:rPr>
          <w:color w:val="000000"/>
          <w:vertAlign w:val="subscript"/>
        </w:rPr>
        <w:t>2</w:t>
      </w:r>
      <w:r w:rsidRPr="00885A2B">
        <w:rPr>
          <w:color w:val="000000"/>
        </w:rPr>
        <w:t xml:space="preserve"> in static mode with Faraday cups connected to traditional 10</w:t>
      </w:r>
      <w:r w:rsidRPr="00885A2B">
        <w:rPr>
          <w:color w:val="000000"/>
          <w:vertAlign w:val="superscript"/>
        </w:rPr>
        <w:t>12</w:t>
      </w:r>
      <w:r w:rsidRPr="00885A2B">
        <w:rPr>
          <w:color w:val="000000"/>
        </w:rPr>
        <w:t xml:space="preserve"> </w:t>
      </w:r>
      <w:r w:rsidRPr="00885A2B">
        <w:rPr>
          <w:color w:val="000000"/>
        </w:rPr>
        <w:sym w:font="Symbol" w:char="F057"/>
      </w:r>
      <w:r w:rsidRPr="00885A2B">
        <w:rPr>
          <w:color w:val="000000"/>
        </w:rPr>
        <w:t xml:space="preserve"> amplifiers, or to ATONA amplifiers (</w:t>
      </w:r>
      <w:proofErr w:type="spellStart"/>
      <w:r w:rsidRPr="00885A2B">
        <w:rPr>
          <w:color w:val="000000"/>
        </w:rPr>
        <w:t>Szymanowski</w:t>
      </w:r>
      <w:proofErr w:type="spellEnd"/>
      <w:r w:rsidRPr="00885A2B">
        <w:rPr>
          <w:color w:val="000000"/>
        </w:rPr>
        <w:t xml:space="preserve"> and Schoene, 2020). Instrumental mass fractionation for Pb was corrected with a factor (0.14 or 0.18 %/amu) derived from a long-term compilation of in-run </w:t>
      </w:r>
      <w:r w:rsidRPr="00885A2B">
        <w:rPr>
          <w:color w:val="000000"/>
          <w:vertAlign w:val="superscript"/>
        </w:rPr>
        <w:t>202</w:t>
      </w:r>
      <w:r w:rsidRPr="00885A2B">
        <w:rPr>
          <w:color w:val="000000"/>
        </w:rPr>
        <w:t>Pb/</w:t>
      </w:r>
      <w:r w:rsidRPr="00885A2B">
        <w:rPr>
          <w:color w:val="000000"/>
          <w:vertAlign w:val="superscript"/>
        </w:rPr>
        <w:t>205</w:t>
      </w:r>
      <w:r w:rsidRPr="00885A2B">
        <w:rPr>
          <w:color w:val="000000"/>
        </w:rPr>
        <w:t xml:space="preserve">Pb values of double-Pb-spiked Daly analyses on each instrument. The dead time of the Daly systems was kept constant throughout the period of the study but was monitored with analyses of NIST SRM 982 Pb isotope standard over a range of intensities. U runs were corrected for fractionation using the known </w:t>
      </w:r>
      <w:r w:rsidRPr="00885A2B">
        <w:rPr>
          <w:color w:val="000000"/>
          <w:vertAlign w:val="superscript"/>
        </w:rPr>
        <w:t>233</w:t>
      </w:r>
      <w:r w:rsidRPr="00885A2B">
        <w:rPr>
          <w:color w:val="000000"/>
        </w:rPr>
        <w:t>U/</w:t>
      </w:r>
      <w:r w:rsidRPr="00885A2B">
        <w:rPr>
          <w:color w:val="000000"/>
          <w:vertAlign w:val="superscript"/>
        </w:rPr>
        <w:t>235</w:t>
      </w:r>
      <w:r w:rsidRPr="00885A2B">
        <w:rPr>
          <w:color w:val="000000"/>
        </w:rPr>
        <w:t xml:space="preserve">U of the spike and assuming a sample </w:t>
      </w:r>
      <w:r w:rsidRPr="00885A2B">
        <w:rPr>
          <w:color w:val="000000"/>
          <w:vertAlign w:val="superscript"/>
        </w:rPr>
        <w:t>238</w:t>
      </w:r>
      <w:r w:rsidRPr="00885A2B">
        <w:rPr>
          <w:color w:val="000000"/>
        </w:rPr>
        <w:t>U/</w:t>
      </w:r>
      <w:r w:rsidRPr="00885A2B">
        <w:rPr>
          <w:color w:val="000000"/>
          <w:vertAlign w:val="superscript"/>
        </w:rPr>
        <w:t>235</w:t>
      </w:r>
      <w:r w:rsidRPr="00885A2B">
        <w:rPr>
          <w:color w:val="000000"/>
        </w:rPr>
        <w:t xml:space="preserve">U of 137.818 </w:t>
      </w:r>
      <w:r w:rsidRPr="00885A2B">
        <w:rPr>
          <w:color w:val="000000"/>
        </w:rPr>
        <w:sym w:font="Symbol" w:char="F0B1"/>
      </w:r>
      <w:r w:rsidRPr="00885A2B">
        <w:rPr>
          <w:color w:val="000000"/>
        </w:rPr>
        <w:t xml:space="preserve"> 0.045 (2σ; </w:t>
      </w:r>
      <w:proofErr w:type="spellStart"/>
      <w:r w:rsidRPr="00885A2B">
        <w:rPr>
          <w:color w:val="000000"/>
        </w:rPr>
        <w:t>Hiess</w:t>
      </w:r>
      <w:proofErr w:type="spellEnd"/>
      <w:r w:rsidRPr="00885A2B">
        <w:rPr>
          <w:color w:val="000000"/>
        </w:rPr>
        <w:t xml:space="preserve"> et al., 2012).  An </w:t>
      </w:r>
      <w:r w:rsidRPr="00885A2B">
        <w:rPr>
          <w:color w:val="000000"/>
          <w:vertAlign w:val="superscript"/>
        </w:rPr>
        <w:t>18</w:t>
      </w:r>
      <w:r w:rsidRPr="00885A2B">
        <w:rPr>
          <w:color w:val="000000"/>
        </w:rPr>
        <w:t>O/</w:t>
      </w:r>
      <w:r w:rsidRPr="00885A2B">
        <w:rPr>
          <w:color w:val="000000"/>
          <w:vertAlign w:val="superscript"/>
        </w:rPr>
        <w:t>16</w:t>
      </w:r>
      <w:r w:rsidRPr="00885A2B">
        <w:rPr>
          <w:color w:val="000000"/>
        </w:rPr>
        <w:t xml:space="preserve">O value of 0.00205 </w:t>
      </w:r>
      <w:r w:rsidRPr="00885A2B">
        <w:rPr>
          <w:color w:val="000000"/>
        </w:rPr>
        <w:sym w:font="Symbol" w:char="F0B1"/>
      </w:r>
      <w:r w:rsidRPr="00885A2B">
        <w:rPr>
          <w:color w:val="000000"/>
        </w:rPr>
        <w:t xml:space="preserve"> 2 (1σ) was used to correct for interferences in UO</w:t>
      </w:r>
      <w:r w:rsidRPr="00885A2B">
        <w:rPr>
          <w:color w:val="000000"/>
          <w:vertAlign w:val="subscript"/>
        </w:rPr>
        <w:t>2</w:t>
      </w:r>
      <w:r w:rsidRPr="00885A2B">
        <w:rPr>
          <w:color w:val="000000"/>
        </w:rPr>
        <w:t xml:space="preserve"> analyses.</w:t>
      </w:r>
    </w:p>
    <w:p w14:paraId="46F0977F" w14:textId="77777777" w:rsidR="00BA2DFB" w:rsidRPr="00885A2B" w:rsidRDefault="00BA2DFB" w:rsidP="00BA2DFB">
      <w:pPr>
        <w:rPr>
          <w:i/>
          <w:iCs/>
          <w:color w:val="000000"/>
        </w:rPr>
      </w:pPr>
    </w:p>
    <w:p w14:paraId="16F0CEE3" w14:textId="43A39B25" w:rsidR="00BA2DFB" w:rsidRPr="00885A2B" w:rsidRDefault="00C56B81" w:rsidP="00BA2DFB">
      <w:pPr>
        <w:rPr>
          <w:i/>
          <w:iCs/>
          <w:color w:val="000000"/>
        </w:rPr>
      </w:pPr>
      <w:r w:rsidRPr="00885A2B">
        <w:rPr>
          <w:i/>
          <w:iCs/>
          <w:color w:val="000000"/>
        </w:rPr>
        <w:t xml:space="preserve">1.4.4 </w:t>
      </w:r>
      <w:r w:rsidR="00BA2DFB" w:rsidRPr="00885A2B">
        <w:rPr>
          <w:i/>
          <w:iCs/>
          <w:color w:val="000000"/>
        </w:rPr>
        <w:t>Data reduction</w:t>
      </w:r>
    </w:p>
    <w:p w14:paraId="2F3D9596" w14:textId="3BB7730D" w:rsidR="00BA2DFB" w:rsidRPr="00885A2B" w:rsidRDefault="00BA2DFB" w:rsidP="00BA2DFB">
      <w:pPr>
        <w:rPr>
          <w:color w:val="000000"/>
        </w:rPr>
      </w:pPr>
      <w:r w:rsidRPr="00885A2B">
        <w:rPr>
          <w:i/>
          <w:iCs/>
          <w:color w:val="000000"/>
        </w:rPr>
        <w:lastRenderedPageBreak/>
        <w:tab/>
      </w:r>
      <w:r w:rsidRPr="00885A2B">
        <w:rPr>
          <w:color w:val="000000"/>
        </w:rPr>
        <w:t xml:space="preserve">Data was compiled and reduced in </w:t>
      </w:r>
      <w:r w:rsidRPr="00885A2B">
        <w:rPr>
          <w:i/>
          <w:iCs/>
          <w:color w:val="000000"/>
        </w:rPr>
        <w:t>Tripoli</w:t>
      </w:r>
      <w:r w:rsidRPr="00885A2B">
        <w:rPr>
          <w:color w:val="000000"/>
        </w:rPr>
        <w:t xml:space="preserve"> and </w:t>
      </w:r>
      <w:r w:rsidRPr="00885A2B">
        <w:rPr>
          <w:i/>
          <w:iCs/>
          <w:color w:val="000000"/>
        </w:rPr>
        <w:t xml:space="preserve">Redux </w:t>
      </w:r>
      <w:r w:rsidRPr="00885A2B">
        <w:rPr>
          <w:color w:val="000000"/>
        </w:rPr>
        <w:t xml:space="preserve">(Bowring et al., 2011; McLean et al., 2011). Initial </w:t>
      </w:r>
      <w:r w:rsidRPr="00885A2B">
        <w:rPr>
          <w:color w:val="000000"/>
          <w:vertAlign w:val="superscript"/>
        </w:rPr>
        <w:t>230</w:t>
      </w:r>
      <w:r w:rsidRPr="00885A2B">
        <w:rPr>
          <w:color w:val="000000"/>
        </w:rPr>
        <w:t xml:space="preserve">Th disequilibrium in the </w:t>
      </w:r>
      <w:r w:rsidRPr="00885A2B">
        <w:rPr>
          <w:color w:val="000000"/>
          <w:vertAlign w:val="superscript"/>
        </w:rPr>
        <w:t>206</w:t>
      </w:r>
      <w:r w:rsidRPr="00885A2B">
        <w:rPr>
          <w:color w:val="000000"/>
        </w:rPr>
        <w:t>Pb/</w:t>
      </w:r>
      <w:r w:rsidRPr="00885A2B">
        <w:rPr>
          <w:color w:val="000000"/>
          <w:vertAlign w:val="superscript"/>
        </w:rPr>
        <w:t>238</w:t>
      </w:r>
      <w:r w:rsidRPr="00885A2B">
        <w:rPr>
          <w:color w:val="000000"/>
        </w:rPr>
        <w:t>U system was corrected for each grain by estimating (Th/</w:t>
      </w:r>
      <w:proofErr w:type="gramStart"/>
      <w:r w:rsidRPr="00885A2B">
        <w:rPr>
          <w:color w:val="000000"/>
        </w:rPr>
        <w:t>U)</w:t>
      </w:r>
      <w:r w:rsidRPr="00885A2B">
        <w:rPr>
          <w:color w:val="000000"/>
          <w:vertAlign w:val="subscript"/>
        </w:rPr>
        <w:t>magma</w:t>
      </w:r>
      <w:proofErr w:type="gramEnd"/>
      <w:r w:rsidRPr="00885A2B">
        <w:rPr>
          <w:color w:val="000000"/>
        </w:rPr>
        <w:t xml:space="preserve"> using a fixed (Th/U)</w:t>
      </w:r>
      <w:r w:rsidRPr="00885A2B">
        <w:rPr>
          <w:color w:val="000000"/>
          <w:vertAlign w:val="subscript"/>
        </w:rPr>
        <w:t xml:space="preserve">zircon-magma </w:t>
      </w:r>
      <w:r w:rsidRPr="00885A2B">
        <w:rPr>
          <w:color w:val="000000"/>
        </w:rPr>
        <w:t>partition coefficient ratio of 0.19±0.06 (1s) based on a compilation of natural zircon–melt pairs, and uncertainties for the (Th/U)</w:t>
      </w:r>
      <w:r w:rsidRPr="00885A2B">
        <w:rPr>
          <w:color w:val="000000"/>
          <w:vertAlign w:val="subscript"/>
        </w:rPr>
        <w:t>magma</w:t>
      </w:r>
      <w:r w:rsidRPr="00885A2B">
        <w:rPr>
          <w:color w:val="000000"/>
        </w:rPr>
        <w:t xml:space="preserve"> were propagated into final date uncertainty for each grain. Isotopic ratios, compositional data, and ages for all grains is available in Table S3. Analytical uncertainty (±X) at the 95% confidence level for the U-Pb date of each grain was utilized for further weighted-mean age calculations and Bayesian eruptive age models. Weighted-mean ages were calculated in </w:t>
      </w:r>
      <w:proofErr w:type="gramStart"/>
      <w:r w:rsidRPr="00885A2B">
        <w:rPr>
          <w:i/>
          <w:iCs/>
          <w:color w:val="000000"/>
        </w:rPr>
        <w:t>Redux,</w:t>
      </w:r>
      <w:r w:rsidRPr="00885A2B">
        <w:rPr>
          <w:color w:val="000000"/>
        </w:rPr>
        <w:t xml:space="preserve"> and</w:t>
      </w:r>
      <w:proofErr w:type="gramEnd"/>
      <w:r w:rsidRPr="00885A2B">
        <w:rPr>
          <w:color w:val="000000"/>
        </w:rPr>
        <w:t xml:space="preserve"> are summarized in Table SM1. Bayesian eruptive age estimates were modeled using the package </w:t>
      </w:r>
      <w:proofErr w:type="spellStart"/>
      <w:r w:rsidRPr="00885A2B">
        <w:rPr>
          <w:i/>
          <w:iCs/>
          <w:color w:val="000000"/>
        </w:rPr>
        <w:t>Chron.jl</w:t>
      </w:r>
      <w:proofErr w:type="spellEnd"/>
      <w:r w:rsidRPr="00885A2B">
        <w:rPr>
          <w:i/>
          <w:iCs/>
          <w:color w:val="000000"/>
        </w:rPr>
        <w:t xml:space="preserve"> </w:t>
      </w:r>
      <w:r w:rsidRPr="00885A2B">
        <w:rPr>
          <w:color w:val="000000"/>
        </w:rPr>
        <w:t>(Keller et al., 2018). While the ages reported in the manuscript utilize a uniform prior crystallization distribution, model ages calculated for several different prior crystallization distributions are tabulated in Table SM1.</w:t>
      </w:r>
      <w:r w:rsidR="000A3CF5" w:rsidRPr="00885A2B">
        <w:rPr>
          <w:color w:val="000000"/>
        </w:rPr>
        <w:t xml:space="preserve"> </w:t>
      </w:r>
    </w:p>
    <w:p w14:paraId="60DEEF62" w14:textId="77777777" w:rsidR="00BA2DFB" w:rsidRPr="00885A2B" w:rsidRDefault="00BA2DFB">
      <w:pPr>
        <w:rPr>
          <w:b/>
          <w:bCs/>
          <w:i/>
          <w:iCs/>
          <w:color w:val="000000"/>
        </w:rPr>
      </w:pPr>
    </w:p>
    <w:p w14:paraId="3A647A74" w14:textId="7C1F70A4" w:rsidR="00FC2516" w:rsidRPr="00885A2B" w:rsidRDefault="00C56B81">
      <w:pPr>
        <w:rPr>
          <w:b/>
          <w:bCs/>
          <w:i/>
          <w:iCs/>
          <w:color w:val="000000"/>
        </w:rPr>
      </w:pPr>
      <w:r w:rsidRPr="00885A2B">
        <w:rPr>
          <w:b/>
          <w:bCs/>
          <w:i/>
          <w:iCs/>
          <w:color w:val="000000"/>
        </w:rPr>
        <w:t xml:space="preserve">1.5 </w:t>
      </w:r>
      <w:r w:rsidR="00FC2516" w:rsidRPr="00885A2B">
        <w:rPr>
          <w:b/>
          <w:bCs/>
          <w:i/>
          <w:iCs/>
          <w:color w:val="000000"/>
        </w:rPr>
        <w:t>Total Organic Carbon</w:t>
      </w:r>
      <w:r w:rsidR="00150D38" w:rsidRPr="00885A2B">
        <w:rPr>
          <w:b/>
          <w:bCs/>
          <w:i/>
          <w:iCs/>
          <w:color w:val="000000"/>
        </w:rPr>
        <w:t xml:space="preserve"> analyses</w:t>
      </w:r>
      <w:r w:rsidR="00FC2516" w:rsidRPr="00885A2B">
        <w:rPr>
          <w:b/>
          <w:bCs/>
          <w:i/>
          <w:iCs/>
          <w:color w:val="000000"/>
        </w:rPr>
        <w:t xml:space="preserve"> </w:t>
      </w:r>
    </w:p>
    <w:p w14:paraId="10D7A928" w14:textId="424AFF17" w:rsidR="00E3207D" w:rsidRPr="00885A2B" w:rsidRDefault="00FC2516">
      <w:pPr>
        <w:rPr>
          <w:color w:val="000000"/>
        </w:rPr>
      </w:pPr>
      <w:r w:rsidRPr="00885A2B">
        <w:rPr>
          <w:b/>
          <w:bCs/>
          <w:i/>
          <w:iCs/>
          <w:color w:val="000000"/>
        </w:rPr>
        <w:tab/>
      </w:r>
      <w:r w:rsidRPr="00885A2B">
        <w:rPr>
          <w:color w:val="000000"/>
        </w:rPr>
        <w:t xml:space="preserve">Shale samples were drilled with a 3/8” tungsten carbide bit on a drill press to generate ~15mL of unconsolidated shale powder. </w:t>
      </w:r>
      <w:r w:rsidR="00606273" w:rsidRPr="00885A2B">
        <w:rPr>
          <w:color w:val="000000"/>
        </w:rPr>
        <w:t>At Amherst College, aliquots of the powder were weighed, decarbonated with 3 N hydrochloric acid, rinsed with deionized water, dried in a 60°C oven, and reweighed.</w:t>
      </w:r>
      <w:r w:rsidR="003C6912" w:rsidRPr="00885A2B">
        <w:rPr>
          <w:color w:val="000000"/>
        </w:rPr>
        <w:t xml:space="preserve"> </w:t>
      </w:r>
      <w:r w:rsidR="00606273" w:rsidRPr="00885A2B">
        <w:rPr>
          <w:color w:val="000000"/>
        </w:rPr>
        <w:t xml:space="preserve">Dried insoluble residues were </w:t>
      </w:r>
      <w:proofErr w:type="spellStart"/>
      <w:r w:rsidR="00606273" w:rsidRPr="00885A2B">
        <w:rPr>
          <w:color w:val="000000"/>
        </w:rPr>
        <w:t>rehomogenized</w:t>
      </w:r>
      <w:proofErr w:type="spellEnd"/>
      <w:r w:rsidR="00606273" w:rsidRPr="00885A2B">
        <w:rPr>
          <w:color w:val="000000"/>
        </w:rPr>
        <w:t xml:space="preserve"> with mortar and pestle. Insoluble residue powders were loaded into tin capsules and combusted in a </w:t>
      </w:r>
      <w:proofErr w:type="spellStart"/>
      <w:r w:rsidR="00606273" w:rsidRPr="00885A2B">
        <w:rPr>
          <w:color w:val="000000"/>
        </w:rPr>
        <w:t>Costech</w:t>
      </w:r>
      <w:proofErr w:type="spellEnd"/>
      <w:r w:rsidR="00606273" w:rsidRPr="00885A2B">
        <w:rPr>
          <w:color w:val="000000"/>
        </w:rPr>
        <w:t xml:space="preserve"> ECS 4010 elemental analyzer interfaced with a </w:t>
      </w:r>
      <w:proofErr w:type="spellStart"/>
      <w:r w:rsidR="00606273" w:rsidRPr="00885A2B">
        <w:rPr>
          <w:color w:val="000000"/>
        </w:rPr>
        <w:t>Sercon</w:t>
      </w:r>
      <w:proofErr w:type="spellEnd"/>
      <w:r w:rsidR="00606273" w:rsidRPr="00885A2B">
        <w:rPr>
          <w:color w:val="000000"/>
        </w:rPr>
        <w:t xml:space="preserve"> 20-22 gas source stable isotope ratio mass spectrometer. Carbon content of samples was measured using beam area calibrated by a pure acetanilide standard. Acetanilide check standards were run after every fifth sample. TOC was calculated as the product of the percent insoluble residue of the whole rock and the percent carbon of the insoluble residue. Uncertainty in TOC measurement is +/- 1.8% (1 </w:t>
      </w:r>
      <w:proofErr w:type="spellStart"/>
      <w:r w:rsidR="00606273" w:rsidRPr="00885A2B">
        <w:rPr>
          <w:color w:val="000000"/>
        </w:rPr>
        <w:t>s.d.</w:t>
      </w:r>
      <w:proofErr w:type="spellEnd"/>
      <w:r w:rsidR="00606273" w:rsidRPr="00885A2B">
        <w:rPr>
          <w:color w:val="000000"/>
        </w:rPr>
        <w:t xml:space="preserve">) based on replicate analyses of insoluble residues and replicate extractions of whole rock powders. </w:t>
      </w:r>
      <w:r w:rsidR="00654493" w:rsidRPr="00885A2B">
        <w:rPr>
          <w:color w:val="000000" w:themeColor="text1"/>
        </w:rPr>
        <w:t>Data is compiled in Table S</w:t>
      </w:r>
      <w:r w:rsidR="00340634" w:rsidRPr="00885A2B">
        <w:rPr>
          <w:color w:val="000000" w:themeColor="text1"/>
        </w:rPr>
        <w:t>M</w:t>
      </w:r>
      <w:r w:rsidR="00654493" w:rsidRPr="00885A2B">
        <w:rPr>
          <w:color w:val="000000" w:themeColor="text1"/>
        </w:rPr>
        <w:t>4.</w:t>
      </w:r>
    </w:p>
    <w:p w14:paraId="46811969" w14:textId="56517F16" w:rsidR="00E3207D" w:rsidRPr="00885A2B" w:rsidRDefault="00E3207D">
      <w:pPr>
        <w:rPr>
          <w:color w:val="000000" w:themeColor="text1"/>
        </w:rPr>
      </w:pPr>
      <w:r w:rsidRPr="00885A2B">
        <w:rPr>
          <w:i/>
          <w:iCs/>
          <w:color w:val="FF0000"/>
        </w:rPr>
        <w:tab/>
      </w:r>
      <w:r w:rsidRPr="00885A2B">
        <w:rPr>
          <w:color w:val="000000" w:themeColor="text1"/>
        </w:rPr>
        <w:t>TOC data from prior publications</w:t>
      </w:r>
      <w:r w:rsidR="002D7459" w:rsidRPr="00885A2B">
        <w:rPr>
          <w:color w:val="000000" w:themeColor="text1"/>
        </w:rPr>
        <w:t xml:space="preserve"> were</w:t>
      </w:r>
      <w:r w:rsidRPr="00885A2B">
        <w:rPr>
          <w:color w:val="000000" w:themeColor="text1"/>
        </w:rPr>
        <w:t xml:space="preserve"> extracted from published figures (John et al., 2002; </w:t>
      </w:r>
      <w:proofErr w:type="spellStart"/>
      <w:r w:rsidRPr="00885A2B">
        <w:rPr>
          <w:color w:val="000000" w:themeColor="text1"/>
        </w:rPr>
        <w:t>Föllmi</w:t>
      </w:r>
      <w:proofErr w:type="spellEnd"/>
      <w:r w:rsidRPr="00885A2B">
        <w:rPr>
          <w:color w:val="000000" w:themeColor="text1"/>
        </w:rPr>
        <w:t xml:space="preserve"> et al., 2005; Isaacs</w:t>
      </w:r>
      <w:r w:rsidR="00C179C6" w:rsidRPr="00885A2B">
        <w:rPr>
          <w:color w:val="000000" w:themeColor="text1"/>
        </w:rPr>
        <w:t xml:space="preserve"> et al.</w:t>
      </w:r>
      <w:r w:rsidRPr="00885A2B">
        <w:rPr>
          <w:color w:val="000000" w:themeColor="text1"/>
        </w:rPr>
        <w:t xml:space="preserve">, 2001; </w:t>
      </w:r>
      <w:proofErr w:type="spellStart"/>
      <w:r w:rsidRPr="00885A2B">
        <w:rPr>
          <w:color w:val="000000" w:themeColor="text1"/>
        </w:rPr>
        <w:t>Bohacs</w:t>
      </w:r>
      <w:proofErr w:type="spellEnd"/>
      <w:r w:rsidRPr="00885A2B">
        <w:rPr>
          <w:color w:val="000000" w:themeColor="text1"/>
        </w:rPr>
        <w:t xml:space="preserve"> and </w:t>
      </w:r>
      <w:proofErr w:type="spellStart"/>
      <w:r w:rsidRPr="00885A2B">
        <w:rPr>
          <w:color w:val="000000" w:themeColor="text1"/>
        </w:rPr>
        <w:t>Swalbach</w:t>
      </w:r>
      <w:proofErr w:type="spellEnd"/>
      <w:r w:rsidRPr="00885A2B">
        <w:rPr>
          <w:color w:val="000000" w:themeColor="text1"/>
        </w:rPr>
        <w:t>, 1994), and integrated into our measured section</w:t>
      </w:r>
      <w:r w:rsidR="00654493" w:rsidRPr="00885A2B">
        <w:rPr>
          <w:color w:val="000000" w:themeColor="text1"/>
        </w:rPr>
        <w:t>s</w:t>
      </w:r>
      <w:r w:rsidRPr="00885A2B">
        <w:rPr>
          <w:color w:val="000000" w:themeColor="text1"/>
        </w:rPr>
        <w:t xml:space="preserve"> by matching tie points from the measured sections in those publications</w:t>
      </w:r>
      <w:r w:rsidR="002D7459" w:rsidRPr="00885A2B">
        <w:rPr>
          <w:color w:val="000000" w:themeColor="text1"/>
        </w:rPr>
        <w:t xml:space="preserve"> to our stratigraphic framework</w:t>
      </w:r>
      <w:r w:rsidRPr="00885A2B">
        <w:rPr>
          <w:color w:val="000000" w:themeColor="text1"/>
        </w:rPr>
        <w:t>.</w:t>
      </w:r>
      <w:r w:rsidR="00AA6694" w:rsidRPr="00885A2B">
        <w:rPr>
          <w:color w:val="000000" w:themeColor="text1"/>
        </w:rPr>
        <w:t xml:space="preserve"> For each measured section, an exponential moving average (alpha of .05) was calculated with the compiled TOC data in order to characterize trends in TOC </w:t>
      </w:r>
      <w:proofErr w:type="gramStart"/>
      <w:r w:rsidR="00AA6694" w:rsidRPr="00885A2B">
        <w:rPr>
          <w:color w:val="000000" w:themeColor="text1"/>
        </w:rPr>
        <w:t>abundance, and</w:t>
      </w:r>
      <w:proofErr w:type="gramEnd"/>
      <w:r w:rsidR="00AA6694" w:rsidRPr="00885A2B">
        <w:rPr>
          <w:color w:val="000000" w:themeColor="text1"/>
        </w:rPr>
        <w:t xml:space="preserve"> appended with a </w:t>
      </w:r>
      <w:r w:rsidR="00FB2304" w:rsidRPr="00885A2B">
        <w:rPr>
          <w:color w:val="000000" w:themeColor="text1"/>
        </w:rPr>
        <w:t>1σ</w:t>
      </w:r>
      <w:r w:rsidR="00AA6694" w:rsidRPr="00885A2B">
        <w:rPr>
          <w:color w:val="000000" w:themeColor="text1"/>
        </w:rPr>
        <w:t xml:space="preserve"> analytical uncertainty envelope.</w:t>
      </w:r>
      <w:r w:rsidRPr="00885A2B">
        <w:rPr>
          <w:color w:val="000000" w:themeColor="text1"/>
        </w:rPr>
        <w:t xml:space="preserve"> </w:t>
      </w:r>
    </w:p>
    <w:p w14:paraId="1AD6E01C" w14:textId="374063B3" w:rsidR="00B35651" w:rsidRPr="00885A2B" w:rsidRDefault="00B35651" w:rsidP="00B35651">
      <w:pPr>
        <w:rPr>
          <w:b/>
          <w:bCs/>
          <w:i/>
          <w:iCs/>
          <w:color w:val="000000"/>
        </w:rPr>
      </w:pPr>
    </w:p>
    <w:p w14:paraId="0785C0FB" w14:textId="572C26DF" w:rsidR="00C56B81" w:rsidRPr="00885A2B" w:rsidRDefault="00B35651" w:rsidP="00B35651">
      <w:pPr>
        <w:rPr>
          <w:b/>
          <w:bCs/>
          <w:i/>
          <w:iCs/>
          <w:color w:val="000000"/>
        </w:rPr>
      </w:pPr>
      <w:r w:rsidRPr="00885A2B">
        <w:rPr>
          <w:b/>
          <w:bCs/>
          <w:i/>
          <w:iCs/>
          <w:color w:val="000000"/>
        </w:rPr>
        <w:t xml:space="preserve">1.6 </w:t>
      </w:r>
      <w:r w:rsidR="00C56B81" w:rsidRPr="00885A2B">
        <w:rPr>
          <w:b/>
          <w:bCs/>
          <w:i/>
          <w:iCs/>
          <w:color w:val="000000"/>
        </w:rPr>
        <w:t xml:space="preserve">X-Ray Fluorescence </w:t>
      </w:r>
      <w:r w:rsidR="00150D38" w:rsidRPr="00885A2B">
        <w:rPr>
          <w:b/>
          <w:bCs/>
          <w:i/>
          <w:iCs/>
          <w:color w:val="000000"/>
        </w:rPr>
        <w:t>a</w:t>
      </w:r>
      <w:r w:rsidR="00C56B81" w:rsidRPr="00885A2B">
        <w:rPr>
          <w:b/>
          <w:bCs/>
          <w:i/>
          <w:iCs/>
          <w:color w:val="000000"/>
        </w:rPr>
        <w:t xml:space="preserve">nalyses </w:t>
      </w:r>
    </w:p>
    <w:p w14:paraId="786B3DF6" w14:textId="5495089A" w:rsidR="00B35651" w:rsidRPr="00885A2B" w:rsidRDefault="00B35651" w:rsidP="00B35651">
      <w:pPr>
        <w:ind w:left="360"/>
        <w:rPr>
          <w:b/>
          <w:bCs/>
          <w:i/>
          <w:iCs/>
          <w:color w:val="000000"/>
        </w:rPr>
      </w:pPr>
    </w:p>
    <w:p w14:paraId="7477CC57" w14:textId="10FB269C" w:rsidR="00B35651" w:rsidRPr="00885A2B" w:rsidRDefault="00B35651" w:rsidP="00B35651">
      <w:pPr>
        <w:rPr>
          <w:i/>
          <w:iCs/>
        </w:rPr>
      </w:pPr>
      <w:r w:rsidRPr="00885A2B">
        <w:rPr>
          <w:i/>
          <w:iCs/>
        </w:rPr>
        <w:t>1.6.1 Sample preparation</w:t>
      </w:r>
    </w:p>
    <w:p w14:paraId="12B21E6D" w14:textId="3BAF73AC" w:rsidR="008B4439" w:rsidRPr="00885A2B" w:rsidRDefault="00C56B81" w:rsidP="00F5533C">
      <w:pPr>
        <w:rPr>
          <w:color w:val="000000"/>
        </w:rPr>
      </w:pPr>
      <w:r w:rsidRPr="00885A2B">
        <w:rPr>
          <w:b/>
          <w:bCs/>
          <w:i/>
          <w:iCs/>
          <w:color w:val="000000"/>
        </w:rPr>
        <w:tab/>
      </w:r>
      <w:r w:rsidRPr="00885A2B">
        <w:rPr>
          <w:color w:val="000000"/>
        </w:rPr>
        <w:t>Shale powders were generated with a 3/8” tungsten carbide bit</w:t>
      </w:r>
      <w:r w:rsidR="00F5533C" w:rsidRPr="00885A2B">
        <w:rPr>
          <w:color w:val="000000"/>
        </w:rPr>
        <w:t xml:space="preserve">, </w:t>
      </w:r>
      <w:r w:rsidR="00B35651" w:rsidRPr="00885A2B">
        <w:rPr>
          <w:color w:val="000000"/>
        </w:rPr>
        <w:t>following the same procedure detailed above for TOC analyses</w:t>
      </w:r>
      <w:r w:rsidR="00F5533C" w:rsidRPr="00885A2B">
        <w:rPr>
          <w:color w:val="000000"/>
        </w:rPr>
        <w:t xml:space="preserve">. 6-10mL aliquots of unconsolidated powder were placed into cylindrical Teflon pucks (32mm OD), the lower ends of which were covered with layer of transparent polypropylene thin film. The shale powder was </w:t>
      </w:r>
      <w:r w:rsidR="000E15BD" w:rsidRPr="00885A2B">
        <w:rPr>
          <w:color w:val="000000"/>
        </w:rPr>
        <w:t xml:space="preserve">firmly </w:t>
      </w:r>
      <w:r w:rsidR="00F5533C" w:rsidRPr="00885A2B">
        <w:rPr>
          <w:color w:val="000000"/>
        </w:rPr>
        <w:t xml:space="preserve">compacted against the thin film, using the capped top of a 20mL Falcon sample tube as a tamper. </w:t>
      </w:r>
      <w:r w:rsidR="000E15BD" w:rsidRPr="00885A2B">
        <w:rPr>
          <w:color w:val="000000"/>
        </w:rPr>
        <w:t xml:space="preserve">In addition to homogenizing the shale sample, powdering and compacting each sample minimized potential analytical variability due to matrix effects and/or crystal/grain orientation. </w:t>
      </w:r>
      <w:r w:rsidR="00F5533C" w:rsidRPr="00885A2B">
        <w:rPr>
          <w:color w:val="000000"/>
        </w:rPr>
        <w:t>Thicknesses of the resultant compacted shale powder always exceeded 2.7mm, or the maximum penetration depth of x-rays</w:t>
      </w:r>
      <w:r w:rsidR="000061E3" w:rsidRPr="00885A2B">
        <w:rPr>
          <w:color w:val="000000"/>
        </w:rPr>
        <w:t xml:space="preserve"> on a compacted substrate</w:t>
      </w:r>
      <w:r w:rsidR="00F5533C" w:rsidRPr="00885A2B">
        <w:rPr>
          <w:color w:val="000000"/>
        </w:rPr>
        <w:t xml:space="preserve"> from the </w:t>
      </w:r>
      <w:proofErr w:type="spellStart"/>
      <w:r w:rsidR="00F5533C" w:rsidRPr="00885A2B">
        <w:rPr>
          <w:color w:val="000000"/>
        </w:rPr>
        <w:t>ThermoNiton</w:t>
      </w:r>
      <w:proofErr w:type="spellEnd"/>
      <w:r w:rsidR="00F5533C" w:rsidRPr="00885A2B">
        <w:rPr>
          <w:color w:val="000000"/>
        </w:rPr>
        <w:t xml:space="preserve"> XL5</w:t>
      </w:r>
      <w:r w:rsidR="00A2524A" w:rsidRPr="00885A2B">
        <w:rPr>
          <w:color w:val="000000"/>
        </w:rPr>
        <w:t xml:space="preserve"> </w:t>
      </w:r>
      <w:r w:rsidR="00F5533C" w:rsidRPr="00885A2B">
        <w:rPr>
          <w:color w:val="000000"/>
        </w:rPr>
        <w:t>P</w:t>
      </w:r>
      <w:r w:rsidR="00A2524A" w:rsidRPr="00885A2B">
        <w:rPr>
          <w:color w:val="000000"/>
        </w:rPr>
        <w:t>lus</w:t>
      </w:r>
      <w:r w:rsidR="00F5533C" w:rsidRPr="00885A2B">
        <w:rPr>
          <w:color w:val="000000"/>
        </w:rPr>
        <w:t xml:space="preserve"> </w:t>
      </w:r>
      <w:r w:rsidR="00A2524A" w:rsidRPr="00885A2B">
        <w:rPr>
          <w:color w:val="000000"/>
        </w:rPr>
        <w:t xml:space="preserve">portable </w:t>
      </w:r>
      <w:r w:rsidR="00F5533C" w:rsidRPr="00885A2B">
        <w:rPr>
          <w:color w:val="000000"/>
        </w:rPr>
        <w:t>handheld XRF</w:t>
      </w:r>
      <w:r w:rsidR="000E15BD" w:rsidRPr="00885A2B">
        <w:rPr>
          <w:color w:val="000000"/>
        </w:rPr>
        <w:t xml:space="preserve"> (</w:t>
      </w:r>
      <w:proofErr w:type="spellStart"/>
      <w:r w:rsidR="00A2524A" w:rsidRPr="00885A2B">
        <w:rPr>
          <w:color w:val="000000"/>
        </w:rPr>
        <w:t>p</w:t>
      </w:r>
      <w:r w:rsidR="000E15BD" w:rsidRPr="00885A2B">
        <w:rPr>
          <w:color w:val="000000"/>
        </w:rPr>
        <w:t>XRF</w:t>
      </w:r>
      <w:proofErr w:type="spellEnd"/>
      <w:r w:rsidR="000E15BD" w:rsidRPr="00885A2B">
        <w:rPr>
          <w:color w:val="000000"/>
        </w:rPr>
        <w:t>)</w:t>
      </w:r>
      <w:r w:rsidR="00F5533C" w:rsidRPr="00885A2B">
        <w:rPr>
          <w:color w:val="000000"/>
        </w:rPr>
        <w:t xml:space="preserve"> unit used to analyze the samples. </w:t>
      </w:r>
    </w:p>
    <w:p w14:paraId="54F558DC" w14:textId="635EE5C8" w:rsidR="00B35651" w:rsidRPr="00885A2B" w:rsidRDefault="00B35651" w:rsidP="00F5533C">
      <w:pPr>
        <w:rPr>
          <w:color w:val="000000"/>
        </w:rPr>
      </w:pPr>
    </w:p>
    <w:p w14:paraId="4AA21F25" w14:textId="1FBA4BB6" w:rsidR="00B35651" w:rsidRPr="00885A2B" w:rsidRDefault="00B35651" w:rsidP="00F5533C">
      <w:pPr>
        <w:rPr>
          <w:i/>
          <w:iCs/>
        </w:rPr>
      </w:pPr>
      <w:r w:rsidRPr="00885A2B">
        <w:rPr>
          <w:i/>
          <w:iCs/>
        </w:rPr>
        <w:t>1.6.2 XRF measurements</w:t>
      </w:r>
    </w:p>
    <w:p w14:paraId="3F53CC15" w14:textId="5BEAE38C" w:rsidR="000E15BD" w:rsidRPr="00885A2B" w:rsidRDefault="000E15BD" w:rsidP="00F5533C">
      <w:pPr>
        <w:rPr>
          <w:color w:val="000000"/>
        </w:rPr>
      </w:pPr>
      <w:r w:rsidRPr="00885A2B">
        <w:rPr>
          <w:color w:val="000000"/>
        </w:rPr>
        <w:tab/>
        <w:t xml:space="preserve">Each compacted puck was placed into a shielded box attached to the emitting end of the </w:t>
      </w:r>
      <w:proofErr w:type="spellStart"/>
      <w:r w:rsidR="00A2524A" w:rsidRPr="00885A2B">
        <w:rPr>
          <w:color w:val="000000"/>
        </w:rPr>
        <w:t>p</w:t>
      </w:r>
      <w:r w:rsidRPr="00885A2B">
        <w:rPr>
          <w:color w:val="000000"/>
        </w:rPr>
        <w:t>XRF</w:t>
      </w:r>
      <w:proofErr w:type="spellEnd"/>
      <w:r w:rsidRPr="00885A2B">
        <w:rPr>
          <w:color w:val="000000"/>
        </w:rPr>
        <w:t xml:space="preserve"> unit, which </w:t>
      </w:r>
      <w:r w:rsidR="009A00F1" w:rsidRPr="00885A2B">
        <w:rPr>
          <w:color w:val="000000"/>
        </w:rPr>
        <w:t xml:space="preserve">was run in a benchtop configuration for all samples. </w:t>
      </w:r>
      <w:r w:rsidR="00ED4E30" w:rsidRPr="00885A2B">
        <w:rPr>
          <w:color w:val="000000"/>
        </w:rPr>
        <w:t xml:space="preserve">Each measurement </w:t>
      </w:r>
      <w:r w:rsidR="001E2411" w:rsidRPr="00885A2B">
        <w:rPr>
          <w:color w:val="000000"/>
        </w:rPr>
        <w:t xml:space="preserve">involved </w:t>
      </w:r>
      <w:r w:rsidR="00ED4E30" w:rsidRPr="00885A2B">
        <w:rPr>
          <w:color w:val="000000"/>
        </w:rPr>
        <w:t xml:space="preserve">30 seconds of analysis with the </w:t>
      </w:r>
      <w:proofErr w:type="spellStart"/>
      <w:r w:rsidR="00A2524A" w:rsidRPr="00885A2B">
        <w:rPr>
          <w:color w:val="000000"/>
        </w:rPr>
        <w:t>p</w:t>
      </w:r>
      <w:r w:rsidR="00ED4E30" w:rsidRPr="00885A2B">
        <w:rPr>
          <w:color w:val="000000"/>
        </w:rPr>
        <w:t>XRF’s</w:t>
      </w:r>
      <w:proofErr w:type="spellEnd"/>
      <w:r w:rsidR="00ED4E30" w:rsidRPr="00885A2B">
        <w:rPr>
          <w:color w:val="000000"/>
        </w:rPr>
        <w:t xml:space="preserve"> Main filter, and subsequent 60 second analysis windows using the </w:t>
      </w:r>
      <w:r w:rsidR="001E2411" w:rsidRPr="00885A2B">
        <w:rPr>
          <w:color w:val="000000"/>
        </w:rPr>
        <w:t xml:space="preserve">unit’s </w:t>
      </w:r>
      <w:r w:rsidR="00ED4E30" w:rsidRPr="00885A2B">
        <w:rPr>
          <w:color w:val="000000"/>
        </w:rPr>
        <w:t xml:space="preserve">integral Low, High, and Light filters for a total of ~210 seconds per sample. </w:t>
      </w:r>
      <w:r w:rsidR="001E2411" w:rsidRPr="00885A2B">
        <w:rPr>
          <w:color w:val="000000"/>
        </w:rPr>
        <w:t>During each analysis session, a variety of shale standards, including</w:t>
      </w:r>
      <w:r w:rsidR="00B35651" w:rsidRPr="00885A2B">
        <w:rPr>
          <w:color w:val="000000"/>
        </w:rPr>
        <w:t xml:space="preserve"> USGS standards</w:t>
      </w:r>
      <w:r w:rsidR="001E2411" w:rsidRPr="00885A2B">
        <w:rPr>
          <w:color w:val="000000"/>
        </w:rPr>
        <w:t xml:space="preserve"> MAG-1, </w:t>
      </w:r>
      <w:r w:rsidR="00150D38" w:rsidRPr="00885A2B">
        <w:rPr>
          <w:color w:val="000000"/>
        </w:rPr>
        <w:t xml:space="preserve">SCO-1, </w:t>
      </w:r>
      <w:r w:rsidR="00B35651" w:rsidRPr="00885A2B">
        <w:rPr>
          <w:color w:val="000000"/>
        </w:rPr>
        <w:t xml:space="preserve">and </w:t>
      </w:r>
      <w:r w:rsidR="00150D38" w:rsidRPr="00885A2B">
        <w:rPr>
          <w:color w:val="000000"/>
        </w:rPr>
        <w:t>SDC-1</w:t>
      </w:r>
      <w:r w:rsidR="00B35651" w:rsidRPr="00885A2B">
        <w:rPr>
          <w:color w:val="000000"/>
        </w:rPr>
        <w:t xml:space="preserve"> (Gladney, 1980)</w:t>
      </w:r>
      <w:r w:rsidR="00150D38" w:rsidRPr="00885A2B">
        <w:rPr>
          <w:color w:val="000000"/>
        </w:rPr>
        <w:t xml:space="preserve"> </w:t>
      </w:r>
      <w:r w:rsidR="00B35651" w:rsidRPr="00885A2B">
        <w:rPr>
          <w:color w:val="000000"/>
        </w:rPr>
        <w:t xml:space="preserve">and </w:t>
      </w:r>
      <w:r w:rsidR="00150D38" w:rsidRPr="00885A2B">
        <w:rPr>
          <w:color w:val="000000"/>
        </w:rPr>
        <w:t xml:space="preserve">SDAR-L2 </w:t>
      </w:r>
      <w:r w:rsidR="00B35651" w:rsidRPr="00885A2B">
        <w:rPr>
          <w:color w:val="000000"/>
        </w:rPr>
        <w:t>and</w:t>
      </w:r>
      <w:r w:rsidR="00150D38" w:rsidRPr="00885A2B">
        <w:rPr>
          <w:color w:val="000000"/>
        </w:rPr>
        <w:t xml:space="preserve"> </w:t>
      </w:r>
      <w:r w:rsidR="001E2411" w:rsidRPr="00885A2B">
        <w:rPr>
          <w:color w:val="000000"/>
        </w:rPr>
        <w:t>SDAR-M2</w:t>
      </w:r>
      <w:r w:rsidR="00150D38" w:rsidRPr="00885A2B">
        <w:rPr>
          <w:color w:val="000000"/>
        </w:rPr>
        <w:t xml:space="preserve"> </w:t>
      </w:r>
      <w:r w:rsidR="00116356" w:rsidRPr="00885A2B">
        <w:rPr>
          <w:color w:val="000000"/>
        </w:rPr>
        <w:t xml:space="preserve">(Wilson et al., 2021), </w:t>
      </w:r>
      <w:r w:rsidR="001E2411" w:rsidRPr="00885A2B">
        <w:rPr>
          <w:color w:val="000000"/>
        </w:rPr>
        <w:t xml:space="preserve">were run </w:t>
      </w:r>
      <w:r w:rsidR="00B35651" w:rsidRPr="00885A2B">
        <w:rPr>
          <w:color w:val="000000"/>
        </w:rPr>
        <w:t xml:space="preserve">multiple times </w:t>
      </w:r>
      <w:r w:rsidR="001E2411" w:rsidRPr="00885A2B">
        <w:rPr>
          <w:color w:val="000000"/>
        </w:rPr>
        <w:t xml:space="preserve">at the beginning of </w:t>
      </w:r>
      <w:r w:rsidR="00B35651" w:rsidRPr="00885A2B">
        <w:rPr>
          <w:color w:val="000000"/>
        </w:rPr>
        <w:t xml:space="preserve">each </w:t>
      </w:r>
      <w:r w:rsidR="001E2411" w:rsidRPr="00885A2B">
        <w:rPr>
          <w:color w:val="000000"/>
        </w:rPr>
        <w:t xml:space="preserve">session </w:t>
      </w:r>
      <w:r w:rsidR="007F1E84" w:rsidRPr="00885A2B">
        <w:rPr>
          <w:color w:val="000000"/>
        </w:rPr>
        <w:t xml:space="preserve">(typically for ~20 minutes to allow </w:t>
      </w:r>
      <w:r w:rsidR="00805223" w:rsidRPr="00885A2B">
        <w:rPr>
          <w:color w:val="000000"/>
        </w:rPr>
        <w:t xml:space="preserve">the </w:t>
      </w:r>
      <w:r w:rsidR="007F1E84" w:rsidRPr="00885A2B">
        <w:rPr>
          <w:color w:val="000000"/>
        </w:rPr>
        <w:t>instrument</w:t>
      </w:r>
      <w:r w:rsidR="00805223" w:rsidRPr="00885A2B">
        <w:rPr>
          <w:color w:val="000000"/>
        </w:rPr>
        <w:t>’s</w:t>
      </w:r>
      <w:r w:rsidR="007F1E84" w:rsidRPr="00885A2B">
        <w:rPr>
          <w:color w:val="000000"/>
        </w:rPr>
        <w:t xml:space="preserve"> </w:t>
      </w:r>
      <w:r w:rsidR="00805223" w:rsidRPr="00885A2B">
        <w:rPr>
          <w:color w:val="000000"/>
        </w:rPr>
        <w:t xml:space="preserve">internal </w:t>
      </w:r>
      <w:r w:rsidR="007F1E84" w:rsidRPr="00885A2B">
        <w:rPr>
          <w:color w:val="000000"/>
        </w:rPr>
        <w:t>temperature to stabilize).</w:t>
      </w:r>
      <w:r w:rsidR="00805223" w:rsidRPr="00885A2B">
        <w:rPr>
          <w:color w:val="000000"/>
        </w:rPr>
        <w:t xml:space="preserve"> </w:t>
      </w:r>
      <w:r w:rsidR="00B35651" w:rsidRPr="00885A2B">
        <w:rPr>
          <w:color w:val="000000"/>
        </w:rPr>
        <w:t>Standards were</w:t>
      </w:r>
      <w:r w:rsidR="001E2411" w:rsidRPr="00885A2B">
        <w:rPr>
          <w:color w:val="000000"/>
        </w:rPr>
        <w:t xml:space="preserve"> subsequently interspersed amongst every ~8 unknowns. </w:t>
      </w:r>
    </w:p>
    <w:p w14:paraId="058A8C25" w14:textId="2F2F2A0E" w:rsidR="00B35651" w:rsidRPr="00885A2B" w:rsidRDefault="00B35651" w:rsidP="00F5533C">
      <w:pPr>
        <w:rPr>
          <w:color w:val="000000"/>
        </w:rPr>
      </w:pPr>
    </w:p>
    <w:p w14:paraId="4F121317" w14:textId="7BC813CE" w:rsidR="00B35651" w:rsidRPr="00885A2B" w:rsidRDefault="00B35651" w:rsidP="00B35651">
      <w:pPr>
        <w:rPr>
          <w:i/>
          <w:iCs/>
        </w:rPr>
      </w:pPr>
      <w:r w:rsidRPr="00885A2B">
        <w:rPr>
          <w:i/>
          <w:iCs/>
        </w:rPr>
        <w:t>1.6.3 Data reduction</w:t>
      </w:r>
    </w:p>
    <w:p w14:paraId="1F95F7ED" w14:textId="5834A483" w:rsidR="000E15BD" w:rsidRDefault="001E2411" w:rsidP="00B35651">
      <w:pPr>
        <w:ind w:firstLine="360"/>
        <w:rPr>
          <w:color w:val="000000"/>
        </w:rPr>
      </w:pPr>
      <w:r w:rsidRPr="00885A2B">
        <w:rPr>
          <w:color w:val="000000"/>
        </w:rPr>
        <w:t xml:space="preserve">Elemental abundances for each standard measurement were </w:t>
      </w:r>
      <w:proofErr w:type="gramStart"/>
      <w:r w:rsidRPr="00885A2B">
        <w:rPr>
          <w:color w:val="000000"/>
        </w:rPr>
        <w:t>compiled, and</w:t>
      </w:r>
      <w:proofErr w:type="gramEnd"/>
      <w:r w:rsidRPr="00885A2B">
        <w:rPr>
          <w:color w:val="000000"/>
        </w:rPr>
        <w:t xml:space="preserve"> compared to the published elemental abundance data for that standard (generated either by ICP-MS or via XRF). For each element, the relationships between published and measured abundances for each standard were plotted, and a linear model fit was applied. </w:t>
      </w:r>
      <w:r w:rsidR="00D47423" w:rsidRPr="00885A2B">
        <w:rPr>
          <w:color w:val="000000"/>
        </w:rPr>
        <w:t>The standard deviation of each group of analyses for each element of each standard was calculated, and then averaged across all standards for each element, yielding a</w:t>
      </w:r>
      <w:r w:rsidR="007A0D2A" w:rsidRPr="00885A2B">
        <w:rPr>
          <w:color w:val="000000"/>
        </w:rPr>
        <w:t xml:space="preserve">n </w:t>
      </w:r>
      <w:r w:rsidR="00D47423" w:rsidRPr="00885A2B">
        <w:rPr>
          <w:color w:val="000000"/>
        </w:rPr>
        <w:t xml:space="preserve">approximation of analytical uncertainty </w:t>
      </w:r>
      <w:r w:rsidR="007A0D2A" w:rsidRPr="00885A2B">
        <w:rPr>
          <w:color w:val="000000"/>
        </w:rPr>
        <w:t>that more appropriately encapsulates external variables than the</w:t>
      </w:r>
      <w:r w:rsidR="00D47423" w:rsidRPr="00885A2B">
        <w:rPr>
          <w:color w:val="000000"/>
        </w:rPr>
        <w:t xml:space="preserve"> modeled </w:t>
      </w:r>
      <w:r w:rsidR="003552C5" w:rsidRPr="00885A2B">
        <w:rPr>
          <w:color w:val="000000"/>
        </w:rPr>
        <w:t xml:space="preserve">analytical </w:t>
      </w:r>
      <w:r w:rsidR="00D47423" w:rsidRPr="00885A2B">
        <w:rPr>
          <w:color w:val="000000"/>
        </w:rPr>
        <w:t xml:space="preserve">uncertainty provided by the </w:t>
      </w:r>
      <w:proofErr w:type="spellStart"/>
      <w:r w:rsidR="007A0D2A" w:rsidRPr="00885A2B">
        <w:rPr>
          <w:color w:val="000000"/>
        </w:rPr>
        <w:t>p</w:t>
      </w:r>
      <w:r w:rsidR="00D47423" w:rsidRPr="00885A2B">
        <w:rPr>
          <w:color w:val="000000"/>
        </w:rPr>
        <w:t>XRF</w:t>
      </w:r>
      <w:r w:rsidR="003552C5" w:rsidRPr="00885A2B">
        <w:rPr>
          <w:color w:val="000000"/>
        </w:rPr>
        <w:t>’s</w:t>
      </w:r>
      <w:proofErr w:type="spellEnd"/>
      <w:r w:rsidR="003552C5" w:rsidRPr="00885A2B">
        <w:rPr>
          <w:color w:val="000000"/>
        </w:rPr>
        <w:t xml:space="preserve"> integral software</w:t>
      </w:r>
      <w:r w:rsidR="00D47423" w:rsidRPr="00885A2B">
        <w:rPr>
          <w:color w:val="000000"/>
        </w:rPr>
        <w:t xml:space="preserve">. The standard deviation </w:t>
      </w:r>
      <w:r w:rsidR="007A0D2A" w:rsidRPr="00885A2B">
        <w:rPr>
          <w:color w:val="000000"/>
        </w:rPr>
        <w:t xml:space="preserve">of the range of standard measurements for </w:t>
      </w:r>
      <w:r w:rsidR="00D47423" w:rsidRPr="00885A2B">
        <w:rPr>
          <w:color w:val="000000"/>
        </w:rPr>
        <w:t xml:space="preserve">each element was doubled, and then added in quadrature to the elemental abundance uncertainties for each element of each unknown analysis. </w:t>
      </w:r>
      <w:r w:rsidR="00C16DFF" w:rsidRPr="00885A2B">
        <w:rPr>
          <w:color w:val="000000"/>
        </w:rPr>
        <w:t xml:space="preserve">For elements with a model </w:t>
      </w:r>
      <w:r w:rsidR="00D47423" w:rsidRPr="00885A2B">
        <w:rPr>
          <w:color w:val="000000"/>
        </w:rPr>
        <w:t xml:space="preserve">linear </w:t>
      </w:r>
      <w:r w:rsidR="00C16DFF" w:rsidRPr="00885A2B">
        <w:rPr>
          <w:color w:val="000000"/>
        </w:rPr>
        <w:t xml:space="preserve">fit with a </w:t>
      </w:r>
      <w:r w:rsidR="007A0D2A" w:rsidRPr="00885A2B">
        <w:rPr>
          <w:color w:val="000000"/>
        </w:rPr>
        <w:t xml:space="preserve">Pearson </w:t>
      </w:r>
      <w:r w:rsidR="00C16DFF" w:rsidRPr="00885A2B">
        <w:rPr>
          <w:color w:val="000000"/>
        </w:rPr>
        <w:t>correlation coefficient of greater than .7, a linear calibration factor (the equivalent of correcting the model fit line to the 1:1 line) was applied to that elemental abundance in all measured unknowns. For elements with a model fit correlation coefficient of less than .7, no calibration factor was applied</w:t>
      </w:r>
      <w:r w:rsidR="000061E3" w:rsidRPr="00885A2B">
        <w:rPr>
          <w:color w:val="000000"/>
        </w:rPr>
        <w:t>. Pearson c</w:t>
      </w:r>
      <w:r w:rsidR="00D47423" w:rsidRPr="00885A2B">
        <w:rPr>
          <w:color w:val="000000"/>
        </w:rPr>
        <w:t xml:space="preserve">orrelation </w:t>
      </w:r>
      <w:r w:rsidR="00BD6506" w:rsidRPr="00885A2B">
        <w:rPr>
          <w:color w:val="000000"/>
        </w:rPr>
        <w:t>coefficients for</w:t>
      </w:r>
      <w:r w:rsidR="00D47423" w:rsidRPr="00885A2B">
        <w:rPr>
          <w:color w:val="000000"/>
        </w:rPr>
        <w:t xml:space="preserve"> linear fits for</w:t>
      </w:r>
      <w:r w:rsidR="00BD6506" w:rsidRPr="00885A2B">
        <w:rPr>
          <w:color w:val="000000"/>
        </w:rPr>
        <w:t xml:space="preserve"> Al, Ca, Si, and </w:t>
      </w:r>
      <w:proofErr w:type="spellStart"/>
      <w:r w:rsidR="00BD6506" w:rsidRPr="00885A2B">
        <w:rPr>
          <w:color w:val="000000"/>
        </w:rPr>
        <w:t>Ti</w:t>
      </w:r>
      <w:proofErr w:type="spellEnd"/>
      <w:r w:rsidR="00BD6506" w:rsidRPr="00885A2B">
        <w:rPr>
          <w:color w:val="000000"/>
        </w:rPr>
        <w:t xml:space="preserve"> were calculated to be .</w:t>
      </w:r>
      <w:r w:rsidR="000061E3" w:rsidRPr="00885A2B">
        <w:rPr>
          <w:color w:val="000000"/>
        </w:rPr>
        <w:t>53</w:t>
      </w:r>
      <w:r w:rsidR="00BD6506" w:rsidRPr="00885A2B">
        <w:rPr>
          <w:color w:val="000000"/>
        </w:rPr>
        <w:t xml:space="preserve">, .90, </w:t>
      </w:r>
      <w:r w:rsidR="00D47423" w:rsidRPr="00885A2B">
        <w:rPr>
          <w:color w:val="000000"/>
        </w:rPr>
        <w:t xml:space="preserve">.96, and .97 respectively. </w:t>
      </w:r>
      <w:r w:rsidR="000061E3" w:rsidRPr="00885A2B">
        <w:rPr>
          <w:color w:val="000000"/>
        </w:rPr>
        <w:t>For Al, m</w:t>
      </w:r>
      <w:r w:rsidR="00D47423" w:rsidRPr="00885A2B">
        <w:rPr>
          <w:color w:val="000000"/>
        </w:rPr>
        <w:t xml:space="preserve">ultiple measurements from standards MAG-1, SDAR-M2, SDAR-L2, SCO-1, and SDC-1 overlapped, within </w:t>
      </w:r>
      <w:r w:rsidR="000061E3" w:rsidRPr="00885A2B">
        <w:rPr>
          <w:color w:val="000000"/>
        </w:rPr>
        <w:t>uncertainty</w:t>
      </w:r>
      <w:r w:rsidR="00D47423" w:rsidRPr="00885A2B">
        <w:rPr>
          <w:color w:val="000000"/>
        </w:rPr>
        <w:t>, the 1:1 line for Al. As such, no correction, other than additional uncertainty, was applied to measured Al abundances on unknowns.</w:t>
      </w:r>
      <w:r w:rsidR="003552C5" w:rsidRPr="00885A2B">
        <w:rPr>
          <w:color w:val="000000"/>
        </w:rPr>
        <w:t xml:space="preserve"> Calibrated elemental abundances of Al, Ca, Si, and </w:t>
      </w:r>
      <w:proofErr w:type="spellStart"/>
      <w:r w:rsidR="003552C5" w:rsidRPr="00885A2B">
        <w:rPr>
          <w:color w:val="000000"/>
        </w:rPr>
        <w:t>Ti</w:t>
      </w:r>
      <w:proofErr w:type="spellEnd"/>
      <w:r w:rsidR="003552C5" w:rsidRPr="00885A2B">
        <w:rPr>
          <w:color w:val="000000"/>
        </w:rPr>
        <w:t xml:space="preserve"> in El Capitan shales are summarized in Table SM5.</w:t>
      </w:r>
    </w:p>
    <w:p w14:paraId="328B4261" w14:textId="4F79CAB5" w:rsidR="00975B0B" w:rsidRDefault="00975B0B" w:rsidP="00975B0B">
      <w:pPr>
        <w:rPr>
          <w:color w:val="000000"/>
        </w:rPr>
      </w:pPr>
    </w:p>
    <w:p w14:paraId="055ACC90" w14:textId="33613243" w:rsidR="00E228A0" w:rsidRPr="00D46D8E" w:rsidRDefault="00E228A0" w:rsidP="00975B0B">
      <w:pPr>
        <w:rPr>
          <w:b/>
          <w:bCs/>
          <w:color w:val="000000"/>
          <w:u w:val="single"/>
        </w:rPr>
      </w:pPr>
      <w:r w:rsidRPr="00E44A86">
        <w:rPr>
          <w:b/>
          <w:bCs/>
          <w:color w:val="000000"/>
          <w:u w:val="single"/>
        </w:rPr>
        <w:t xml:space="preserve">2. ORGANIC CARBON MASS ACCUMULATION RATES IN THE BELRIDGE FIELD </w:t>
      </w:r>
    </w:p>
    <w:p w14:paraId="7D9E4F83" w14:textId="108053EB" w:rsidR="00E228A0" w:rsidRPr="00E228A0" w:rsidRDefault="00E228A0" w:rsidP="00D46D8E">
      <w:pPr>
        <w:ind w:firstLine="720"/>
      </w:pPr>
      <w:r w:rsidRPr="00E228A0">
        <w:t xml:space="preserve">Estimated </w:t>
      </w:r>
      <w:r w:rsidR="00E44A86">
        <w:t>organic carbon mass accumulation rates (</w:t>
      </w:r>
      <w:r w:rsidRPr="00E228A0">
        <w:t>OCMARs</w:t>
      </w:r>
      <w:r w:rsidR="00E44A86">
        <w:t>)</w:t>
      </w:r>
      <w:r w:rsidRPr="00E228A0">
        <w:t xml:space="preserve"> from the </w:t>
      </w:r>
      <w:proofErr w:type="spellStart"/>
      <w:r w:rsidRPr="00E228A0">
        <w:t>Belridge</w:t>
      </w:r>
      <w:proofErr w:type="spellEnd"/>
      <w:r w:rsidRPr="00E228A0">
        <w:t xml:space="preserve"> Field of the San Joaquin Basin, an expanded, clastic-rich Monterey Formation locality, are </w:t>
      </w:r>
      <w:proofErr w:type="gramStart"/>
      <w:r w:rsidRPr="00E228A0">
        <w:t>similar to</w:t>
      </w:r>
      <w:proofErr w:type="gramEnd"/>
      <w:r w:rsidRPr="00E228A0">
        <w:t xml:space="preserve"> those of the S</w:t>
      </w:r>
      <w:r w:rsidR="00E44A86">
        <w:t>anta Barbara Basin Monterey Formation</w:t>
      </w:r>
      <w:r w:rsidRPr="00E228A0">
        <w:t xml:space="preserve"> sections and modern Californian borderland basins (Fig. </w:t>
      </w:r>
      <w:r w:rsidR="00E44A86">
        <w:t>9</w:t>
      </w:r>
      <w:r>
        <w:t>, main text</w:t>
      </w:r>
      <w:r w:rsidRPr="00E228A0">
        <w:t xml:space="preserve">). The Macdonald Shale and Antelope Shale are members of the Monterey Formation found in the </w:t>
      </w:r>
      <w:proofErr w:type="spellStart"/>
      <w:r w:rsidRPr="00E228A0">
        <w:t>Belridge</w:t>
      </w:r>
      <w:proofErr w:type="spellEnd"/>
      <w:r w:rsidRPr="00E228A0">
        <w:t xml:space="preserve"> oil field (Schwartz, 1988), with the Macdonald Shale interpreted as a hemipelagic, </w:t>
      </w:r>
      <w:proofErr w:type="spellStart"/>
      <w:r w:rsidRPr="00E228A0">
        <w:t>deepwater</w:t>
      </w:r>
      <w:proofErr w:type="spellEnd"/>
      <w:r w:rsidRPr="00E228A0">
        <w:t xml:space="preserve"> deposit (Graham and Williams, 1985). Together, the Macdonald and Antelope shales are over 500 m thick (from Well 856C-7 in Farrell, 2020), with deposition of the Macdonald Shale </w:t>
      </w:r>
      <w:r>
        <w:t xml:space="preserve">occurring </w:t>
      </w:r>
      <w:r w:rsidRPr="00E228A0">
        <w:t>between ~13.5–10 Ma and the Antelope Shale between ~10–6.5 Ma (</w:t>
      </w:r>
      <w:proofErr w:type="spellStart"/>
      <w:r w:rsidRPr="00E228A0">
        <w:t>Scheirer</w:t>
      </w:r>
      <w:proofErr w:type="spellEnd"/>
      <w:r w:rsidRPr="00E228A0">
        <w:t xml:space="preserve"> and Magoon, 2007). Using these rough age constraints and member thicknesses from Farrell (2020), the Macdonald and Antelope shales have average sedimentation rates of 55.7 m/</w:t>
      </w:r>
      <w:proofErr w:type="spellStart"/>
      <w:r w:rsidRPr="00E228A0">
        <w:t>Myr</w:t>
      </w:r>
      <w:proofErr w:type="spellEnd"/>
      <w:r w:rsidRPr="00E228A0">
        <w:t xml:space="preserve"> and 90.57 m/</w:t>
      </w:r>
      <w:proofErr w:type="spellStart"/>
      <w:r w:rsidRPr="00E228A0">
        <w:t>Myr</w:t>
      </w:r>
      <w:proofErr w:type="spellEnd"/>
      <w:r w:rsidRPr="00E228A0">
        <w:t xml:space="preserve"> respectively. Farrell (2020) calculates average TOC contents for several different facies of an interval including the top of the </w:t>
      </w:r>
      <w:r w:rsidRPr="00E228A0">
        <w:lastRenderedPageBreak/>
        <w:t>Macdonald Shale and majority of the Antelope Shale, with values ranging from 4–11%. Using these values as approximate maxima and minima for average TOC content, and assuming a relatively high bulk shale density of 2.2 g/cm</w:t>
      </w:r>
      <w:r w:rsidRPr="00E228A0">
        <w:rPr>
          <w:vertAlign w:val="superscript"/>
        </w:rPr>
        <w:t>3</w:t>
      </w:r>
      <w:r w:rsidRPr="00E228A0">
        <w:t xml:space="preserve">, OCMAR for the Macdonald Shale ranges from </w:t>
      </w:r>
      <w:r w:rsidR="00E44A86" w:rsidRPr="00C43044">
        <w:t>~490–1350 g/cm</w:t>
      </w:r>
      <w:r w:rsidR="00E44A86" w:rsidRPr="00C43044">
        <w:rPr>
          <w:vertAlign w:val="superscript"/>
        </w:rPr>
        <w:t>2</w:t>
      </w:r>
      <w:r w:rsidR="00E44A86" w:rsidRPr="00C43044">
        <w:t>/</w:t>
      </w:r>
      <w:proofErr w:type="spellStart"/>
      <w:r w:rsidR="00E44A86" w:rsidRPr="00C43044">
        <w:t>kyr</w:t>
      </w:r>
      <w:proofErr w:type="spellEnd"/>
      <w:r w:rsidR="00E44A86" w:rsidRPr="00C43044">
        <w:t>, and ~800–2200 g/cm</w:t>
      </w:r>
      <w:r w:rsidR="00E44A86" w:rsidRPr="00C43044">
        <w:rPr>
          <w:vertAlign w:val="superscript"/>
        </w:rPr>
        <w:t>2</w:t>
      </w:r>
      <w:r w:rsidR="00E44A86" w:rsidRPr="00C43044">
        <w:t>/</w:t>
      </w:r>
      <w:proofErr w:type="spellStart"/>
      <w:r w:rsidR="00E44A86" w:rsidRPr="00C43044">
        <w:t>kyr</w:t>
      </w:r>
      <w:proofErr w:type="spellEnd"/>
      <w:r w:rsidR="00E44A86" w:rsidRPr="00C43044">
        <w:t xml:space="preserve"> for the Antelope Shale. </w:t>
      </w:r>
      <w:r w:rsidRPr="00E228A0">
        <w:t>While these values are generally higher than those observed in the coastal SBB, they are still within the range of values expected for OCMAR on productive margins</w:t>
      </w:r>
      <w:r w:rsidR="00E44A86">
        <w:t xml:space="preserve"> (Fig. 9, main text)</w:t>
      </w:r>
      <w:r w:rsidRPr="00E228A0">
        <w:t xml:space="preserve">. </w:t>
      </w:r>
    </w:p>
    <w:p w14:paraId="7B7CCBAB" w14:textId="77777777" w:rsidR="00E228A0" w:rsidRPr="00E44A86" w:rsidRDefault="00E228A0" w:rsidP="00975B0B">
      <w:pPr>
        <w:rPr>
          <w:b/>
          <w:bCs/>
          <w:color w:val="000000"/>
        </w:rPr>
      </w:pPr>
    </w:p>
    <w:p w14:paraId="3B3C0394" w14:textId="3748B32A" w:rsidR="00DF29BA" w:rsidRPr="00D46D8E" w:rsidRDefault="00E228A0" w:rsidP="00975B0B">
      <w:pPr>
        <w:rPr>
          <w:b/>
          <w:bCs/>
          <w:u w:val="single"/>
        </w:rPr>
      </w:pPr>
      <w:r w:rsidRPr="00D46D8E">
        <w:rPr>
          <w:b/>
          <w:bCs/>
          <w:color w:val="000000"/>
          <w:u w:val="single"/>
        </w:rPr>
        <w:t>3</w:t>
      </w:r>
      <w:r w:rsidR="0008321A" w:rsidRPr="00D46D8E">
        <w:rPr>
          <w:b/>
          <w:bCs/>
          <w:color w:val="000000"/>
          <w:u w:val="single"/>
        </w:rPr>
        <w:t>.</w:t>
      </w:r>
      <w:r w:rsidR="00DF29BA" w:rsidRPr="00D46D8E">
        <w:rPr>
          <w:b/>
          <w:bCs/>
          <w:u w:val="single"/>
        </w:rPr>
        <w:t xml:space="preserve"> </w:t>
      </w:r>
      <w:r w:rsidR="0008321A" w:rsidRPr="00D46D8E">
        <w:rPr>
          <w:b/>
          <w:bCs/>
          <w:u w:val="single"/>
        </w:rPr>
        <w:t xml:space="preserve"> </w:t>
      </w:r>
      <w:r w:rsidR="00E44A86" w:rsidRPr="00D46D8E">
        <w:rPr>
          <w:b/>
          <w:bCs/>
          <w:u w:val="single"/>
        </w:rPr>
        <w:t>SENSITIVITY TEST OF</w:t>
      </w:r>
      <w:r w:rsidR="00DF29BA" w:rsidRPr="00D46D8E">
        <w:rPr>
          <w:b/>
          <w:bCs/>
          <w:u w:val="single"/>
        </w:rPr>
        <w:t xml:space="preserve"> </w:t>
      </w:r>
      <w:r w:rsidR="00DF29BA" w:rsidRPr="00D46D8E">
        <w:rPr>
          <w:rFonts w:ascii="Cambria Math" w:hAnsi="Cambria Math" w:cs="Cambria Math"/>
          <w:b/>
          <w:bCs/>
          <w:color w:val="1E1E21"/>
          <w:u w:val="single"/>
        </w:rPr>
        <w:t>𝛿</w:t>
      </w:r>
      <w:r w:rsidR="00DF29BA" w:rsidRPr="00D46D8E">
        <w:rPr>
          <w:b/>
          <w:bCs/>
          <w:color w:val="1E1E21"/>
          <w:u w:val="single"/>
          <w:vertAlign w:val="superscript"/>
        </w:rPr>
        <w:t>13</w:t>
      </w:r>
      <w:r w:rsidR="00DF29BA" w:rsidRPr="00D46D8E">
        <w:rPr>
          <w:b/>
          <w:bCs/>
          <w:color w:val="1E1E21"/>
          <w:u w:val="single"/>
        </w:rPr>
        <w:t>C</w:t>
      </w:r>
      <w:r w:rsidR="00DF29BA" w:rsidRPr="00D46D8E">
        <w:rPr>
          <w:b/>
          <w:bCs/>
          <w:u w:val="single"/>
        </w:rPr>
        <w:t xml:space="preserve"> </w:t>
      </w:r>
      <w:r w:rsidR="00E44A86" w:rsidRPr="00D46D8E">
        <w:rPr>
          <w:b/>
          <w:bCs/>
          <w:u w:val="single"/>
        </w:rPr>
        <w:t>BOX MODEL</w:t>
      </w:r>
    </w:p>
    <w:p w14:paraId="3B68DE78" w14:textId="3A36B69C" w:rsidR="00501E4C" w:rsidRDefault="00507B77" w:rsidP="00D46D8E">
      <w:pPr>
        <w:ind w:firstLine="720"/>
      </w:pPr>
      <w:r w:rsidRPr="00D46D8E">
        <w:t xml:space="preserve">In order to assess the impact of different input variables on the results of the </w:t>
      </w:r>
      <w:r w:rsidR="00B42C24" w:rsidRPr="00D46D8E">
        <w:t>steady-state</w:t>
      </w:r>
      <w:r w:rsidRPr="00D46D8E">
        <w:t xml:space="preserve"> </w:t>
      </w:r>
      <w:r w:rsidR="00B42C24" w:rsidRPr="00D46D8E">
        <w:t xml:space="preserve">carbon isotopic </w:t>
      </w:r>
      <w:r w:rsidRPr="00D46D8E">
        <w:t>box model outlined in Section 5.5</w:t>
      </w:r>
      <w:r w:rsidR="00B42C24" w:rsidRPr="00D46D8E">
        <w:t xml:space="preserve"> of the main text</w:t>
      </w:r>
      <w:r w:rsidRPr="00D46D8E">
        <w:t>, we</w:t>
      </w:r>
      <w:r w:rsidRPr="00D46D8E">
        <w:t xml:space="preserve"> </w:t>
      </w:r>
      <w:r w:rsidR="00D46D8E" w:rsidRPr="00D46D8E">
        <w:t xml:space="preserve">input ranges </w:t>
      </w:r>
      <w:proofErr w:type="gramStart"/>
      <w:r w:rsidR="00D46D8E" w:rsidRPr="00D46D8E">
        <w:t xml:space="preserve">of </w:t>
      </w:r>
      <w:r w:rsidRPr="00D46D8E">
        <w:t xml:space="preserve"> </w:t>
      </w:r>
      <w:r w:rsidRPr="00D46D8E">
        <w:rPr>
          <w:rFonts w:ascii="Cambria Math" w:hAnsi="Cambria Math" w:cs="Cambria Math"/>
          <w:color w:val="1E1E21"/>
        </w:rPr>
        <w:t>𝛿</w:t>
      </w:r>
      <w:proofErr w:type="gramEnd"/>
      <w:r w:rsidRPr="00D46D8E">
        <w:rPr>
          <w:color w:val="1E1E21"/>
          <w:vertAlign w:val="superscript"/>
        </w:rPr>
        <w:t>13</w:t>
      </w:r>
      <w:r w:rsidRPr="00D46D8E">
        <w:rPr>
          <w:color w:val="1E1E21"/>
        </w:rPr>
        <w:t>C</w:t>
      </w:r>
      <w:r w:rsidRPr="00D46D8E">
        <w:rPr>
          <w:color w:val="1E1E21"/>
          <w:vertAlign w:val="subscript"/>
        </w:rPr>
        <w:t>in</w:t>
      </w:r>
      <w:r w:rsidRPr="00D46D8E">
        <w:rPr>
          <w:color w:val="1E1E21"/>
        </w:rPr>
        <w:t xml:space="preserve"> and </w:t>
      </w:r>
      <w:r w:rsidRPr="00D46D8E">
        <w:rPr>
          <w:rFonts w:ascii="Cambria Math" w:hAnsi="Cambria Math" w:cs="Cambria Math"/>
          <w:color w:val="1E1E21"/>
        </w:rPr>
        <w:t>𝛿</w:t>
      </w:r>
      <w:r w:rsidRPr="00D46D8E">
        <w:rPr>
          <w:color w:val="1E1E21"/>
          <w:vertAlign w:val="superscript"/>
        </w:rPr>
        <w:t>13</w:t>
      </w:r>
      <w:r w:rsidRPr="00D46D8E">
        <w:t>C</w:t>
      </w:r>
      <w:r w:rsidRPr="00D46D8E">
        <w:rPr>
          <w:vertAlign w:val="subscript"/>
        </w:rPr>
        <w:t>org</w:t>
      </w:r>
      <w:r w:rsidRPr="00D46D8E">
        <w:t xml:space="preserve"> values </w:t>
      </w:r>
      <w:r w:rsidR="00D46D8E" w:rsidRPr="00D46D8E">
        <w:t>(</w:t>
      </w:r>
      <w:r w:rsidRPr="00D46D8E">
        <w:t>between -12 and 0‰, and -27 and -19‰, respectively</w:t>
      </w:r>
      <w:r w:rsidR="00D46D8E" w:rsidRPr="00D46D8E">
        <w:t xml:space="preserve">) </w:t>
      </w:r>
      <w:r w:rsidRPr="00D46D8E">
        <w:t>into Eq. 3.</w:t>
      </w:r>
      <w:r w:rsidR="005348D9" w:rsidRPr="00D46D8E">
        <w:t xml:space="preserve"> Results of this sensitivity test are shown as </w:t>
      </w:r>
      <w:r w:rsidR="00501E4C" w:rsidRPr="00D46D8E">
        <w:t xml:space="preserve">contour plots in Fig S5, with a red triangle denoting the position of the results provided by the assumed compositions for </w:t>
      </w:r>
      <w:r w:rsidR="00501E4C" w:rsidRPr="00D46D8E">
        <w:rPr>
          <w:rFonts w:ascii="Cambria Math" w:hAnsi="Cambria Math" w:cs="Cambria Math"/>
          <w:color w:val="1E1E21"/>
        </w:rPr>
        <w:t>𝛿</w:t>
      </w:r>
      <w:r w:rsidR="00501E4C" w:rsidRPr="00D46D8E">
        <w:rPr>
          <w:color w:val="1E1E21"/>
          <w:vertAlign w:val="superscript"/>
        </w:rPr>
        <w:t>13</w:t>
      </w:r>
      <w:r w:rsidR="00501E4C" w:rsidRPr="00D46D8E">
        <w:rPr>
          <w:color w:val="1E1E21"/>
        </w:rPr>
        <w:t>C</w:t>
      </w:r>
      <w:r w:rsidR="00501E4C" w:rsidRPr="00D46D8E">
        <w:rPr>
          <w:color w:val="1E1E21"/>
          <w:vertAlign w:val="subscript"/>
        </w:rPr>
        <w:t>in</w:t>
      </w:r>
      <w:r w:rsidR="00501E4C" w:rsidRPr="00D46D8E">
        <w:rPr>
          <w:color w:val="1E1E21"/>
        </w:rPr>
        <w:t xml:space="preserve"> </w:t>
      </w:r>
      <w:r w:rsidR="00D46D8E" w:rsidRPr="00D46D8E">
        <w:rPr>
          <w:color w:val="1E1E21"/>
        </w:rPr>
        <w:t xml:space="preserve">(-6‰) </w:t>
      </w:r>
      <w:r w:rsidR="00501E4C" w:rsidRPr="00D46D8E">
        <w:rPr>
          <w:color w:val="1E1E21"/>
        </w:rPr>
        <w:t xml:space="preserve">and </w:t>
      </w:r>
      <w:r w:rsidR="00501E4C" w:rsidRPr="00D46D8E">
        <w:rPr>
          <w:rFonts w:ascii="Cambria Math" w:hAnsi="Cambria Math" w:cs="Cambria Math"/>
          <w:color w:val="1E1E21"/>
        </w:rPr>
        <w:t>𝛿</w:t>
      </w:r>
      <w:r w:rsidR="00501E4C" w:rsidRPr="00D46D8E">
        <w:rPr>
          <w:color w:val="1E1E21"/>
          <w:vertAlign w:val="superscript"/>
        </w:rPr>
        <w:t>13</w:t>
      </w:r>
      <w:r w:rsidR="00501E4C" w:rsidRPr="00D46D8E">
        <w:t>C</w:t>
      </w:r>
      <w:r w:rsidR="00501E4C" w:rsidRPr="00D46D8E">
        <w:rPr>
          <w:vertAlign w:val="subscript"/>
        </w:rPr>
        <w:t>org</w:t>
      </w:r>
      <w:r w:rsidR="00501E4C" w:rsidRPr="00D46D8E">
        <w:t xml:space="preserve"> </w:t>
      </w:r>
      <w:r w:rsidR="00D46D8E" w:rsidRPr="00D46D8E">
        <w:t xml:space="preserve">(-23‰) </w:t>
      </w:r>
      <w:r w:rsidR="00501E4C" w:rsidRPr="00D46D8E">
        <w:t xml:space="preserve">that are currently utilized in the main text. </w:t>
      </w:r>
      <w:r w:rsidRPr="00D46D8E">
        <w:t>Fig. S</w:t>
      </w:r>
      <w:r w:rsidR="00D46D8E" w:rsidRPr="00D46D8E">
        <w:t>M</w:t>
      </w:r>
      <w:r w:rsidRPr="00D46D8E">
        <w:t xml:space="preserve">5A depicts calculated </w:t>
      </w:r>
      <w:proofErr w:type="spellStart"/>
      <w:r w:rsidRPr="00D46D8E">
        <w:t>f</w:t>
      </w:r>
      <w:r w:rsidRPr="00D46D8E">
        <w:rPr>
          <w:vertAlign w:val="subscript"/>
        </w:rPr>
        <w:t>org</w:t>
      </w:r>
      <w:proofErr w:type="spellEnd"/>
      <w:r w:rsidRPr="00D46D8E">
        <w:t xml:space="preserve"> values for</w:t>
      </w:r>
      <w:r w:rsidR="00D46D8E" w:rsidRPr="00D46D8E">
        <w:t xml:space="preserve"> a pre-Monterey Event </w:t>
      </w:r>
      <w:proofErr w:type="gramStart"/>
      <w:r w:rsidR="00D46D8E" w:rsidRPr="00D46D8E">
        <w:t xml:space="preserve">scenario, </w:t>
      </w:r>
      <w:r w:rsidRPr="00D46D8E">
        <w:t xml:space="preserve"> the</w:t>
      </w:r>
      <w:proofErr w:type="gramEnd"/>
      <w:r w:rsidRPr="00D46D8E">
        <w:t xml:space="preserve"> above </w:t>
      </w:r>
      <w:r w:rsidRPr="00D46D8E">
        <w:rPr>
          <w:rFonts w:ascii="Cambria Math" w:hAnsi="Cambria Math" w:cs="Cambria Math"/>
          <w:color w:val="1E1E21"/>
        </w:rPr>
        <w:t>𝛿</w:t>
      </w:r>
      <w:r w:rsidRPr="00D46D8E">
        <w:rPr>
          <w:color w:val="1E1E21"/>
          <w:vertAlign w:val="superscript"/>
        </w:rPr>
        <w:t>13</w:t>
      </w:r>
      <w:r w:rsidRPr="00D46D8E">
        <w:rPr>
          <w:color w:val="1E1E21"/>
        </w:rPr>
        <w:t>C</w:t>
      </w:r>
      <w:r w:rsidRPr="00D46D8E">
        <w:rPr>
          <w:color w:val="1E1E21"/>
          <w:vertAlign w:val="subscript"/>
        </w:rPr>
        <w:t>in</w:t>
      </w:r>
      <w:r w:rsidRPr="00D46D8E">
        <w:rPr>
          <w:color w:val="1E1E21"/>
        </w:rPr>
        <w:t xml:space="preserve"> and </w:t>
      </w:r>
      <w:r w:rsidRPr="00D46D8E">
        <w:rPr>
          <w:rFonts w:ascii="Cambria Math" w:hAnsi="Cambria Math" w:cs="Cambria Math"/>
          <w:color w:val="1E1E21"/>
        </w:rPr>
        <w:t>𝛿</w:t>
      </w:r>
      <w:r w:rsidRPr="00D46D8E">
        <w:rPr>
          <w:color w:val="1E1E21"/>
          <w:vertAlign w:val="superscript"/>
        </w:rPr>
        <w:t>13</w:t>
      </w:r>
      <w:r w:rsidRPr="00D46D8E">
        <w:t>C</w:t>
      </w:r>
      <w:r w:rsidRPr="00D46D8E">
        <w:rPr>
          <w:vertAlign w:val="subscript"/>
        </w:rPr>
        <w:t>org</w:t>
      </w:r>
      <w:r w:rsidRPr="00D46D8E">
        <w:rPr>
          <w:vertAlign w:val="subscript"/>
        </w:rPr>
        <w:t xml:space="preserve"> </w:t>
      </w:r>
      <w:r w:rsidRPr="00D46D8E">
        <w:t>compositional ranges, given a steady-state total carbon burial flux of 0.6GtC/</w:t>
      </w:r>
      <w:proofErr w:type="spellStart"/>
      <w:r w:rsidRPr="00D46D8E">
        <w:t>yr</w:t>
      </w:r>
      <w:proofErr w:type="spellEnd"/>
      <w:r w:rsidRPr="00D46D8E">
        <w:t xml:space="preserve"> and a </w:t>
      </w:r>
      <w:r w:rsidRPr="00D46D8E">
        <w:rPr>
          <w:rFonts w:ascii="Cambria Math" w:hAnsi="Cambria Math" w:cs="Cambria Math"/>
          <w:color w:val="1E1E21"/>
        </w:rPr>
        <w:t>𝛿</w:t>
      </w:r>
      <w:r w:rsidRPr="00D46D8E">
        <w:rPr>
          <w:color w:val="1E1E21"/>
          <w:vertAlign w:val="superscript"/>
        </w:rPr>
        <w:t>13</w:t>
      </w:r>
      <w:r w:rsidRPr="00D46D8E">
        <w:rPr>
          <w:color w:val="1E1E21"/>
        </w:rPr>
        <w:t>C</w:t>
      </w:r>
      <w:r w:rsidRPr="00D46D8E">
        <w:rPr>
          <w:color w:val="1E1E21"/>
          <w:vertAlign w:val="subscript"/>
        </w:rPr>
        <w:t>carb</w:t>
      </w:r>
      <w:r w:rsidRPr="00D46D8E">
        <w:rPr>
          <w:color w:val="1E1E21"/>
        </w:rPr>
        <w:t xml:space="preserve"> composition of 0.5‰</w:t>
      </w:r>
      <w:r w:rsidR="00D46D8E" w:rsidRPr="00D46D8E">
        <w:rPr>
          <w:color w:val="1E1E21"/>
        </w:rPr>
        <w:t>.</w:t>
      </w:r>
      <w:r w:rsidRPr="00D46D8E">
        <w:rPr>
          <w:color w:val="1E1E21"/>
        </w:rPr>
        <w:t xml:space="preserve"> Calculated </w:t>
      </w:r>
      <w:proofErr w:type="spellStart"/>
      <w:r w:rsidRPr="00D46D8E">
        <w:t>f</w:t>
      </w:r>
      <w:r w:rsidRPr="00D46D8E">
        <w:rPr>
          <w:vertAlign w:val="subscript"/>
        </w:rPr>
        <w:t>org</w:t>
      </w:r>
      <w:proofErr w:type="spellEnd"/>
      <w:r w:rsidRPr="00D46D8E">
        <w:t xml:space="preserve"> values </w:t>
      </w:r>
      <w:r w:rsidRPr="00D46D8E">
        <w:t xml:space="preserve">for </w:t>
      </w:r>
      <w:r w:rsidRPr="00D46D8E">
        <w:rPr>
          <w:color w:val="1E1E21"/>
        </w:rPr>
        <w:t xml:space="preserve">Monterey Event conditions, with a </w:t>
      </w:r>
      <w:r w:rsidRPr="00D46D8E">
        <w:rPr>
          <w:rFonts w:ascii="Cambria Math" w:hAnsi="Cambria Math" w:cs="Cambria Math"/>
          <w:color w:val="1E1E21"/>
        </w:rPr>
        <w:t>𝛿</w:t>
      </w:r>
      <w:r w:rsidRPr="00D46D8E">
        <w:rPr>
          <w:color w:val="1E1E21"/>
          <w:vertAlign w:val="superscript"/>
        </w:rPr>
        <w:t>13</w:t>
      </w:r>
      <w:r w:rsidRPr="00D46D8E">
        <w:rPr>
          <w:color w:val="1E1E21"/>
        </w:rPr>
        <w:t>C</w:t>
      </w:r>
      <w:r w:rsidRPr="00D46D8E">
        <w:rPr>
          <w:color w:val="1E1E21"/>
          <w:vertAlign w:val="subscript"/>
        </w:rPr>
        <w:t>carb</w:t>
      </w:r>
      <w:r w:rsidRPr="00D46D8E">
        <w:rPr>
          <w:color w:val="1E1E21"/>
        </w:rPr>
        <w:t xml:space="preserve"> composition of </w:t>
      </w:r>
      <w:r w:rsidRPr="00D46D8E">
        <w:rPr>
          <w:color w:val="1E1E21"/>
        </w:rPr>
        <w:t>1</w:t>
      </w:r>
      <w:r w:rsidRPr="00D46D8E">
        <w:rPr>
          <w:color w:val="1E1E21"/>
        </w:rPr>
        <w:t>.5‰</w:t>
      </w:r>
      <w:r w:rsidRPr="00D46D8E">
        <w:rPr>
          <w:color w:val="1E1E21"/>
        </w:rPr>
        <w:t xml:space="preserve"> and all other input variables identical to those in the previous panel, are </w:t>
      </w:r>
      <w:r w:rsidR="00D46D8E">
        <w:rPr>
          <w:color w:val="1E1E21"/>
        </w:rPr>
        <w:t xml:space="preserve">shown </w:t>
      </w:r>
      <w:r w:rsidRPr="00D46D8E">
        <w:rPr>
          <w:color w:val="1E1E21"/>
        </w:rPr>
        <w:t>in Fig. S</w:t>
      </w:r>
      <w:r w:rsidR="00D46D8E">
        <w:rPr>
          <w:color w:val="1E1E21"/>
        </w:rPr>
        <w:t>M</w:t>
      </w:r>
      <w:r w:rsidRPr="00D46D8E">
        <w:rPr>
          <w:color w:val="1E1E21"/>
        </w:rPr>
        <w:t>5B. Fig. S</w:t>
      </w:r>
      <w:r w:rsidR="00D46D8E">
        <w:rPr>
          <w:color w:val="1E1E21"/>
        </w:rPr>
        <w:t>M</w:t>
      </w:r>
      <w:r w:rsidRPr="00D46D8E">
        <w:rPr>
          <w:color w:val="1E1E21"/>
        </w:rPr>
        <w:t xml:space="preserve">5C depicts the change in </w:t>
      </w:r>
      <w:proofErr w:type="spellStart"/>
      <w:r w:rsidRPr="00D46D8E">
        <w:t>f</w:t>
      </w:r>
      <w:r w:rsidRPr="00D46D8E">
        <w:rPr>
          <w:vertAlign w:val="subscript"/>
        </w:rPr>
        <w:t>org</w:t>
      </w:r>
      <w:proofErr w:type="spellEnd"/>
      <w:r w:rsidRPr="00D46D8E">
        <w:t xml:space="preserve"> </w:t>
      </w:r>
      <w:r w:rsidR="005348D9" w:rsidRPr="00D46D8E">
        <w:t xml:space="preserve">required to shift from pre- to syn-Monterey Event </w:t>
      </w:r>
      <w:r w:rsidR="005348D9" w:rsidRPr="00D46D8E">
        <w:rPr>
          <w:rFonts w:ascii="Cambria Math" w:hAnsi="Cambria Math" w:cs="Cambria Math"/>
          <w:color w:val="1E1E21"/>
        </w:rPr>
        <w:t>𝛿</w:t>
      </w:r>
      <w:r w:rsidR="005348D9" w:rsidRPr="00D46D8E">
        <w:rPr>
          <w:color w:val="1E1E21"/>
          <w:vertAlign w:val="superscript"/>
        </w:rPr>
        <w:t>13</w:t>
      </w:r>
      <w:r w:rsidR="005348D9" w:rsidRPr="00D46D8E">
        <w:rPr>
          <w:color w:val="1E1E21"/>
        </w:rPr>
        <w:t>C</w:t>
      </w:r>
      <w:r w:rsidR="005348D9" w:rsidRPr="00D46D8E">
        <w:rPr>
          <w:color w:val="1E1E21"/>
          <w:vertAlign w:val="subscript"/>
        </w:rPr>
        <w:t>carb</w:t>
      </w:r>
      <w:r w:rsidR="005348D9" w:rsidRPr="00D46D8E">
        <w:rPr>
          <w:color w:val="1E1E21"/>
        </w:rPr>
        <w:t xml:space="preserve"> composition</w:t>
      </w:r>
      <w:r w:rsidR="005348D9" w:rsidRPr="00D46D8E">
        <w:rPr>
          <w:color w:val="1E1E21"/>
        </w:rPr>
        <w:t xml:space="preserve">s </w:t>
      </w:r>
      <w:r w:rsidR="00501E4C" w:rsidRPr="00D46D8E">
        <w:rPr>
          <w:color w:val="1E1E21"/>
        </w:rPr>
        <w:t xml:space="preserve">for </w:t>
      </w:r>
      <w:r w:rsidR="00D46D8E">
        <w:rPr>
          <w:color w:val="1E1E21"/>
        </w:rPr>
        <w:t xml:space="preserve">a </w:t>
      </w:r>
      <w:r w:rsidR="00501E4C" w:rsidRPr="00D46D8E">
        <w:rPr>
          <w:color w:val="1E1E21"/>
        </w:rPr>
        <w:t xml:space="preserve">given combination </w:t>
      </w:r>
      <w:r w:rsidR="005348D9" w:rsidRPr="00D46D8E">
        <w:rPr>
          <w:color w:val="1E1E21"/>
        </w:rPr>
        <w:t xml:space="preserve">of </w:t>
      </w:r>
      <w:r w:rsidR="005348D9" w:rsidRPr="00D46D8E">
        <w:rPr>
          <w:rFonts w:ascii="Cambria Math" w:hAnsi="Cambria Math" w:cs="Cambria Math"/>
          <w:color w:val="1E1E21"/>
        </w:rPr>
        <w:t>𝛿</w:t>
      </w:r>
      <w:r w:rsidR="005348D9" w:rsidRPr="00D46D8E">
        <w:rPr>
          <w:color w:val="1E1E21"/>
          <w:vertAlign w:val="superscript"/>
        </w:rPr>
        <w:t>13</w:t>
      </w:r>
      <w:r w:rsidR="005348D9" w:rsidRPr="00D46D8E">
        <w:rPr>
          <w:color w:val="1E1E21"/>
        </w:rPr>
        <w:t>C</w:t>
      </w:r>
      <w:r w:rsidR="005348D9" w:rsidRPr="00D46D8E">
        <w:rPr>
          <w:color w:val="1E1E21"/>
          <w:vertAlign w:val="subscript"/>
        </w:rPr>
        <w:t>in</w:t>
      </w:r>
      <w:r w:rsidR="005348D9" w:rsidRPr="00D46D8E">
        <w:rPr>
          <w:color w:val="1E1E21"/>
        </w:rPr>
        <w:t xml:space="preserve"> and </w:t>
      </w:r>
      <w:r w:rsidR="005348D9" w:rsidRPr="00D46D8E">
        <w:rPr>
          <w:rFonts w:ascii="Cambria Math" w:hAnsi="Cambria Math" w:cs="Cambria Math"/>
          <w:color w:val="1E1E21"/>
        </w:rPr>
        <w:t>𝛿</w:t>
      </w:r>
      <w:r w:rsidR="005348D9" w:rsidRPr="00D46D8E">
        <w:rPr>
          <w:color w:val="1E1E21"/>
          <w:vertAlign w:val="superscript"/>
        </w:rPr>
        <w:t>13</w:t>
      </w:r>
      <w:r w:rsidR="005348D9" w:rsidRPr="00D46D8E">
        <w:t>C</w:t>
      </w:r>
      <w:r w:rsidR="005348D9" w:rsidRPr="00D46D8E">
        <w:rPr>
          <w:vertAlign w:val="subscript"/>
        </w:rPr>
        <w:t>org</w:t>
      </w:r>
      <w:r w:rsidR="005348D9" w:rsidRPr="00D46D8E">
        <w:t xml:space="preserve"> values. Note that while </w:t>
      </w:r>
      <w:r w:rsidR="00D46D8E">
        <w:t xml:space="preserve">the </w:t>
      </w:r>
      <w:r w:rsidR="005348D9" w:rsidRPr="00D46D8E">
        <w:t>combination of enriched input carbon and organic carbon isotopic compositions result</w:t>
      </w:r>
      <w:r w:rsidR="00D46D8E">
        <w:t xml:space="preserve">s </w:t>
      </w:r>
      <w:r w:rsidR="005348D9" w:rsidRPr="00D46D8E">
        <w:t xml:space="preserve">in the lowest </w:t>
      </w:r>
      <w:proofErr w:type="spellStart"/>
      <w:r w:rsidR="005348D9" w:rsidRPr="00D46D8E">
        <w:t>f</w:t>
      </w:r>
      <w:r w:rsidR="005348D9" w:rsidRPr="00D46D8E">
        <w:rPr>
          <w:vertAlign w:val="subscript"/>
        </w:rPr>
        <w:t>org</w:t>
      </w:r>
      <w:proofErr w:type="spellEnd"/>
      <w:r w:rsidR="00501E4C" w:rsidRPr="00D46D8E">
        <w:rPr>
          <w:vertAlign w:val="subscript"/>
        </w:rPr>
        <w:t xml:space="preserve"> </w:t>
      </w:r>
      <w:r w:rsidR="00501E4C" w:rsidRPr="00D46D8E">
        <w:t>(Fig. S</w:t>
      </w:r>
      <w:r w:rsidR="00D46D8E" w:rsidRPr="00D46D8E">
        <w:t>M</w:t>
      </w:r>
      <w:r w:rsidR="00501E4C" w:rsidRPr="00D46D8E">
        <w:t>5</w:t>
      </w:r>
      <w:proofErr w:type="gramStart"/>
      <w:r w:rsidR="00501E4C" w:rsidRPr="00D46D8E">
        <w:t>A,B</w:t>
      </w:r>
      <w:proofErr w:type="gramEnd"/>
      <w:r w:rsidR="00501E4C" w:rsidRPr="00D46D8E">
        <w:t>)</w:t>
      </w:r>
      <w:r w:rsidR="005348D9" w:rsidRPr="00D46D8E">
        <w:t xml:space="preserve">, this </w:t>
      </w:r>
      <w:r w:rsidR="00D46D8E">
        <w:t xml:space="preserve">region </w:t>
      </w:r>
      <w:r w:rsidR="005348D9" w:rsidRPr="00D46D8E">
        <w:t xml:space="preserve">of the parameter space also results in the largest </w:t>
      </w:r>
      <w:r w:rsidR="005348D9" w:rsidRPr="00D46D8E">
        <w:rPr>
          <w:lang w:val="el-GR"/>
        </w:rPr>
        <w:t>Δ</w:t>
      </w:r>
      <w:r w:rsidR="005348D9" w:rsidRPr="005348D9">
        <w:t xml:space="preserve"> </w:t>
      </w:r>
      <w:proofErr w:type="spellStart"/>
      <w:r w:rsidR="005348D9">
        <w:t>f</w:t>
      </w:r>
      <w:r w:rsidR="005348D9" w:rsidRPr="00507B77">
        <w:rPr>
          <w:vertAlign w:val="subscript"/>
        </w:rPr>
        <w:t>org</w:t>
      </w:r>
      <w:proofErr w:type="spellEnd"/>
      <w:r w:rsidR="005348D9">
        <w:t xml:space="preserve"> required to drive a ~1‰ shift in marine </w:t>
      </w:r>
      <w:r w:rsidR="005348D9" w:rsidRPr="008D01C0">
        <w:rPr>
          <w:rFonts w:ascii="Cambria Math" w:hAnsi="Cambria Math" w:cs="Cambria Math"/>
          <w:color w:val="1E1E21"/>
        </w:rPr>
        <w:t>𝛿</w:t>
      </w:r>
      <w:r w:rsidR="005348D9" w:rsidRPr="008D01C0">
        <w:rPr>
          <w:color w:val="1E1E21"/>
          <w:vertAlign w:val="superscript"/>
        </w:rPr>
        <w:t>13</w:t>
      </w:r>
      <w:r w:rsidR="005348D9" w:rsidRPr="008D01C0">
        <w:t>C</w:t>
      </w:r>
      <w:r w:rsidR="00501E4C">
        <w:t xml:space="preserve"> (Fig.</w:t>
      </w:r>
      <w:r w:rsidR="00E44A86">
        <w:t xml:space="preserve"> </w:t>
      </w:r>
      <w:r w:rsidR="00501E4C">
        <w:t>S</w:t>
      </w:r>
      <w:r w:rsidR="00D46D8E">
        <w:t>M</w:t>
      </w:r>
      <w:r w:rsidR="00501E4C">
        <w:t>5C)</w:t>
      </w:r>
      <w:r w:rsidR="005348D9">
        <w:t xml:space="preserve">.  </w:t>
      </w:r>
    </w:p>
    <w:p w14:paraId="390EE6D2" w14:textId="77777777" w:rsidR="00501E4C" w:rsidRDefault="00501E4C" w:rsidP="00975B0B"/>
    <w:p w14:paraId="359F9E8C" w14:textId="68E8800B" w:rsidR="00501E4C" w:rsidRDefault="00507B77" w:rsidP="00E228A0">
      <w:pPr>
        <w:ind w:firstLine="720"/>
        <w:rPr>
          <w:color w:val="1E1E21"/>
        </w:rPr>
      </w:pPr>
      <w:r>
        <w:t xml:space="preserve">In </w:t>
      </w:r>
      <w:r w:rsidR="005348D9">
        <w:t>Fig. S</w:t>
      </w:r>
      <w:r w:rsidR="00D46D8E">
        <w:t>M</w:t>
      </w:r>
      <w:r w:rsidR="005348D9">
        <w:t>5</w:t>
      </w:r>
      <w:r>
        <w:t>D,</w:t>
      </w:r>
      <w:r w:rsidR="0008321A">
        <w:t xml:space="preserve"> we examine the impact of </w:t>
      </w:r>
      <w:r w:rsidR="00D46D8E">
        <w:t xml:space="preserve">various </w:t>
      </w:r>
      <w:r w:rsidR="0008321A" w:rsidRPr="008D01C0">
        <w:rPr>
          <w:rFonts w:ascii="Cambria Math" w:hAnsi="Cambria Math" w:cs="Cambria Math"/>
          <w:color w:val="1E1E21"/>
        </w:rPr>
        <w:t>𝛿</w:t>
      </w:r>
      <w:r w:rsidR="0008321A" w:rsidRPr="008D01C0">
        <w:rPr>
          <w:color w:val="1E1E21"/>
          <w:vertAlign w:val="superscript"/>
        </w:rPr>
        <w:t>13</w:t>
      </w:r>
      <w:r w:rsidR="0008321A" w:rsidRPr="008D01C0">
        <w:rPr>
          <w:color w:val="1E1E21"/>
        </w:rPr>
        <w:t>C</w:t>
      </w:r>
      <w:r w:rsidR="0008321A">
        <w:rPr>
          <w:color w:val="1E1E21"/>
          <w:vertAlign w:val="subscript"/>
        </w:rPr>
        <w:t>in</w:t>
      </w:r>
      <w:r w:rsidR="0008321A" w:rsidRPr="008D01C0">
        <w:rPr>
          <w:rFonts w:ascii="Cambria Math" w:hAnsi="Cambria Math" w:cs="Cambria Math"/>
          <w:color w:val="1E1E21"/>
        </w:rPr>
        <w:t xml:space="preserve"> </w:t>
      </w:r>
      <w:r w:rsidR="0008321A">
        <w:rPr>
          <w:rFonts w:ascii="Cambria Math" w:hAnsi="Cambria Math" w:cs="Cambria Math"/>
          <w:color w:val="1E1E21"/>
        </w:rPr>
        <w:t xml:space="preserve">and </w:t>
      </w:r>
      <w:r w:rsidR="0008321A" w:rsidRPr="008D01C0">
        <w:rPr>
          <w:rFonts w:ascii="Cambria Math" w:hAnsi="Cambria Math" w:cs="Cambria Math"/>
          <w:color w:val="1E1E21"/>
        </w:rPr>
        <w:t>𝛿</w:t>
      </w:r>
      <w:r w:rsidR="0008321A" w:rsidRPr="008D01C0">
        <w:rPr>
          <w:color w:val="1E1E21"/>
          <w:vertAlign w:val="superscript"/>
        </w:rPr>
        <w:t>13</w:t>
      </w:r>
      <w:r w:rsidR="0008321A" w:rsidRPr="008D01C0">
        <w:t>C</w:t>
      </w:r>
      <w:r w:rsidR="0008321A" w:rsidRPr="00B31131">
        <w:rPr>
          <w:vertAlign w:val="subscript"/>
        </w:rPr>
        <w:t>org</w:t>
      </w:r>
      <w:r w:rsidR="0008321A">
        <w:t xml:space="preserve"> values on </w:t>
      </w:r>
      <w:r w:rsidR="00D46D8E">
        <w:t xml:space="preserve">the </w:t>
      </w:r>
      <w:r w:rsidR="0008321A">
        <w:t>sustained OCMAR</w:t>
      </w:r>
      <w:r w:rsidR="00D46D8E">
        <w:t xml:space="preserve">, distributed </w:t>
      </w:r>
      <w:r w:rsidR="0008321A">
        <w:t>across the entire area of Neogene circum-Pacific basins (~600,000km</w:t>
      </w:r>
      <w:r w:rsidR="0008321A" w:rsidRPr="00607511">
        <w:rPr>
          <w:vertAlign w:val="superscript"/>
        </w:rPr>
        <w:t>2</w:t>
      </w:r>
      <w:r w:rsidR="0008321A">
        <w:t xml:space="preserve">, Vincent and Berger, 1985) </w:t>
      </w:r>
      <w:r w:rsidR="00501E4C">
        <w:t xml:space="preserve">that </w:t>
      </w:r>
      <w:r w:rsidR="00D46D8E">
        <w:t>would be</w:t>
      </w:r>
      <w:r w:rsidR="00501E4C">
        <w:t xml:space="preserve"> required </w:t>
      </w:r>
      <w:r w:rsidR="0008321A">
        <w:t xml:space="preserve">to drive the ~1‰ </w:t>
      </w:r>
      <w:r w:rsidR="0008321A" w:rsidRPr="008D01C0">
        <w:rPr>
          <w:rFonts w:ascii="Cambria Math" w:hAnsi="Cambria Math" w:cs="Cambria Math"/>
          <w:color w:val="1E1E21"/>
        </w:rPr>
        <w:t>𝛿</w:t>
      </w:r>
      <w:r w:rsidR="0008321A" w:rsidRPr="008D01C0">
        <w:rPr>
          <w:color w:val="1E1E21"/>
          <w:vertAlign w:val="superscript"/>
        </w:rPr>
        <w:t>13</w:t>
      </w:r>
      <w:r w:rsidR="0008321A" w:rsidRPr="008D01C0">
        <w:rPr>
          <w:color w:val="1E1E21"/>
        </w:rPr>
        <w:t>C</w:t>
      </w:r>
      <w:r w:rsidR="0008321A">
        <w:rPr>
          <w:color w:val="1E1E21"/>
        </w:rPr>
        <w:t xml:space="preserve"> </w:t>
      </w:r>
      <w:r w:rsidR="0008321A">
        <w:t>shift of the Monterey Event.</w:t>
      </w:r>
      <w:r w:rsidR="005348D9">
        <w:t xml:space="preserve"> In general, more-e</w:t>
      </w:r>
      <w:r w:rsidR="0008321A">
        <w:t xml:space="preserve">nriched input carbon and organic carbon compositions result in higher required organic burial fluxes, with only the most depleted putative </w:t>
      </w:r>
      <w:r w:rsidR="0008321A" w:rsidRPr="008D01C0">
        <w:rPr>
          <w:rFonts w:ascii="Cambria Math" w:hAnsi="Cambria Math" w:cs="Cambria Math"/>
          <w:color w:val="1E1E21"/>
        </w:rPr>
        <w:t>𝛿</w:t>
      </w:r>
      <w:r w:rsidR="0008321A" w:rsidRPr="008D01C0">
        <w:rPr>
          <w:color w:val="1E1E21"/>
          <w:vertAlign w:val="superscript"/>
        </w:rPr>
        <w:t>13</w:t>
      </w:r>
      <w:r w:rsidR="0008321A" w:rsidRPr="008D01C0">
        <w:rPr>
          <w:color w:val="1E1E21"/>
        </w:rPr>
        <w:t>C</w:t>
      </w:r>
      <w:r w:rsidR="0008321A">
        <w:rPr>
          <w:color w:val="1E1E21"/>
          <w:vertAlign w:val="subscript"/>
        </w:rPr>
        <w:t xml:space="preserve">in </w:t>
      </w:r>
      <w:r w:rsidR="0008321A">
        <w:rPr>
          <w:color w:val="1E1E21"/>
        </w:rPr>
        <w:t xml:space="preserve">values (&lt;~-11‰) </w:t>
      </w:r>
      <w:r w:rsidR="00D46D8E">
        <w:rPr>
          <w:color w:val="1E1E21"/>
        </w:rPr>
        <w:t>generating</w:t>
      </w:r>
      <w:r w:rsidR="00501E4C">
        <w:rPr>
          <w:color w:val="1E1E21"/>
        </w:rPr>
        <w:t xml:space="preserve"> required</w:t>
      </w:r>
      <w:r w:rsidR="0008321A">
        <w:rPr>
          <w:color w:val="1E1E21"/>
        </w:rPr>
        <w:t xml:space="preserve"> OCMARs below 2000 mg/cm</w:t>
      </w:r>
      <w:r w:rsidR="0008321A" w:rsidRPr="00D46D8E">
        <w:rPr>
          <w:color w:val="1E1E21"/>
          <w:vertAlign w:val="superscript"/>
        </w:rPr>
        <w:t>2</w:t>
      </w:r>
      <w:r w:rsidR="0008321A">
        <w:rPr>
          <w:color w:val="1E1E21"/>
        </w:rPr>
        <w:t>/</w:t>
      </w:r>
      <w:proofErr w:type="spellStart"/>
      <w:r w:rsidR="0008321A">
        <w:rPr>
          <w:color w:val="1E1E21"/>
        </w:rPr>
        <w:t>kyr</w:t>
      </w:r>
      <w:proofErr w:type="spellEnd"/>
      <w:r w:rsidR="0008321A">
        <w:rPr>
          <w:color w:val="1E1E21"/>
        </w:rPr>
        <w:t xml:space="preserve">. </w:t>
      </w:r>
    </w:p>
    <w:p w14:paraId="4BCF45A5" w14:textId="77777777" w:rsidR="00501E4C" w:rsidRDefault="00501E4C" w:rsidP="00501E4C">
      <w:pPr>
        <w:rPr>
          <w:color w:val="1E1E21"/>
        </w:rPr>
      </w:pPr>
    </w:p>
    <w:p w14:paraId="14B13F7A" w14:textId="551BA09D" w:rsidR="00F23EDA" w:rsidRPr="00CF43A1" w:rsidRDefault="0008321A" w:rsidP="00E228A0">
      <w:pPr>
        <w:ind w:firstLine="720"/>
      </w:pPr>
      <w:r>
        <w:rPr>
          <w:color w:val="1E1E21"/>
        </w:rPr>
        <w:t>Changes in the magnitude of total carbon burial flux (conservatively estimated to be ~0.6GtC/</w:t>
      </w:r>
      <w:proofErr w:type="spellStart"/>
      <w:r>
        <w:rPr>
          <w:color w:val="1E1E21"/>
        </w:rPr>
        <w:t>yr</w:t>
      </w:r>
      <w:proofErr w:type="spellEnd"/>
      <w:r>
        <w:rPr>
          <w:color w:val="1E1E21"/>
        </w:rPr>
        <w:t>, following Li et al., 2023), would have a linear impact on the</w:t>
      </w:r>
      <w:r w:rsidR="00B42C24">
        <w:rPr>
          <w:color w:val="1E1E21"/>
        </w:rPr>
        <w:t xml:space="preserve"> magnitude of the required</w:t>
      </w:r>
      <w:r>
        <w:rPr>
          <w:color w:val="1E1E21"/>
        </w:rPr>
        <w:t xml:space="preserve"> burial fluxes described above: a smaller total </w:t>
      </w:r>
      <w:r w:rsidR="00B42C24">
        <w:rPr>
          <w:color w:val="1E1E21"/>
        </w:rPr>
        <w:t>carbon</w:t>
      </w:r>
      <w:r>
        <w:rPr>
          <w:color w:val="1E1E21"/>
        </w:rPr>
        <w:t xml:space="preserve"> burial flux would necessitate a proportionally smaller OC burial flux. However, for the range of </w:t>
      </w:r>
      <w:r w:rsidRPr="008D01C0">
        <w:rPr>
          <w:rFonts w:ascii="Cambria Math" w:hAnsi="Cambria Math" w:cs="Cambria Math"/>
          <w:color w:val="1E1E21"/>
        </w:rPr>
        <w:t>𝛿</w:t>
      </w:r>
      <w:r w:rsidRPr="008D01C0">
        <w:rPr>
          <w:color w:val="1E1E21"/>
          <w:vertAlign w:val="superscript"/>
        </w:rPr>
        <w:t>13</w:t>
      </w:r>
      <w:proofErr w:type="gramStart"/>
      <w:r w:rsidRPr="008D01C0">
        <w:rPr>
          <w:color w:val="1E1E21"/>
        </w:rPr>
        <w:t>C</w:t>
      </w:r>
      <w:r>
        <w:rPr>
          <w:color w:val="1E1E21"/>
          <w:vertAlign w:val="subscript"/>
        </w:rPr>
        <w:t>in</w:t>
      </w:r>
      <w:r w:rsidRPr="008D01C0">
        <w:rPr>
          <w:rFonts w:ascii="Cambria Math" w:hAnsi="Cambria Math" w:cs="Cambria Math"/>
          <w:color w:val="1E1E21"/>
        </w:rPr>
        <w:t xml:space="preserve"> </w:t>
      </w:r>
      <w:r>
        <w:rPr>
          <w:rFonts w:ascii="Cambria Math" w:hAnsi="Cambria Math" w:cs="Cambria Math"/>
          <w:color w:val="1E1E21"/>
        </w:rPr>
        <w:t xml:space="preserve"> and</w:t>
      </w:r>
      <w:proofErr w:type="gramEnd"/>
      <w:r>
        <w:rPr>
          <w:rFonts w:ascii="Cambria Math" w:hAnsi="Cambria Math" w:cs="Cambria Math"/>
          <w:color w:val="1E1E21"/>
        </w:rPr>
        <w:t xml:space="preserve"> </w:t>
      </w:r>
      <w:r w:rsidRPr="008D01C0">
        <w:rPr>
          <w:rFonts w:ascii="Cambria Math" w:hAnsi="Cambria Math" w:cs="Cambria Math"/>
          <w:color w:val="1E1E21"/>
        </w:rPr>
        <w:t>𝛿</w:t>
      </w:r>
      <w:r w:rsidRPr="008D01C0">
        <w:rPr>
          <w:color w:val="1E1E21"/>
          <w:vertAlign w:val="superscript"/>
        </w:rPr>
        <w:t>13</w:t>
      </w:r>
      <w:r w:rsidRPr="008D01C0">
        <w:t>C</w:t>
      </w:r>
      <w:r w:rsidRPr="00B31131">
        <w:rPr>
          <w:vertAlign w:val="subscript"/>
        </w:rPr>
        <w:t>org</w:t>
      </w:r>
      <w:r>
        <w:rPr>
          <w:color w:val="1E1E21"/>
        </w:rPr>
        <w:t xml:space="preserve"> compositions considered in this sensitivity test, halving the total estimated C burial flux (to ~0.3GtC/</w:t>
      </w:r>
      <w:proofErr w:type="spellStart"/>
      <w:r>
        <w:rPr>
          <w:color w:val="1E1E21"/>
        </w:rPr>
        <w:t>yr</w:t>
      </w:r>
      <w:proofErr w:type="spellEnd"/>
      <w:r>
        <w:rPr>
          <w:color w:val="1E1E21"/>
        </w:rPr>
        <w:t xml:space="preserve">) results in sustained OCMARS required across Neogene circum-Pacific basins </w:t>
      </w:r>
      <w:r w:rsidR="000C7907">
        <w:rPr>
          <w:color w:val="1E1E21"/>
        </w:rPr>
        <w:t xml:space="preserve">that </w:t>
      </w:r>
      <w:r>
        <w:rPr>
          <w:color w:val="1E1E21"/>
        </w:rPr>
        <w:t xml:space="preserve">are still higher than most OCMARs observed anywhere in the SBB, and that are between ~5-10 times larger than the OCMARS observed in syn-MCO SBB strata. </w:t>
      </w:r>
      <w:r w:rsidR="00CF43A1">
        <w:rPr>
          <w:color w:val="1E1E21"/>
        </w:rPr>
        <w:t xml:space="preserve">As such, we suggest that even for a range of potential </w:t>
      </w:r>
      <w:r w:rsidR="00CF43A1" w:rsidRPr="008D01C0">
        <w:rPr>
          <w:rFonts w:ascii="Cambria Math" w:hAnsi="Cambria Math" w:cs="Cambria Math"/>
          <w:color w:val="1E1E21"/>
        </w:rPr>
        <w:t>𝛿</w:t>
      </w:r>
      <w:r w:rsidR="00CF43A1" w:rsidRPr="008D01C0">
        <w:rPr>
          <w:color w:val="1E1E21"/>
          <w:vertAlign w:val="superscript"/>
        </w:rPr>
        <w:t>13</w:t>
      </w:r>
      <w:r w:rsidR="00CF43A1" w:rsidRPr="008D01C0">
        <w:rPr>
          <w:color w:val="1E1E21"/>
        </w:rPr>
        <w:t>C</w:t>
      </w:r>
      <w:r w:rsidR="00CF43A1">
        <w:rPr>
          <w:color w:val="1E1E21"/>
          <w:vertAlign w:val="subscript"/>
        </w:rPr>
        <w:t>in</w:t>
      </w:r>
      <w:r w:rsidR="00CF43A1">
        <w:rPr>
          <w:rFonts w:ascii="Cambria Math" w:hAnsi="Cambria Math" w:cs="Cambria Math"/>
          <w:color w:val="1E1E21"/>
        </w:rPr>
        <w:t>,</w:t>
      </w:r>
      <w:r w:rsidR="00CF43A1">
        <w:rPr>
          <w:rFonts w:ascii="Cambria Math" w:hAnsi="Cambria Math" w:cs="Cambria Math"/>
          <w:color w:val="1E1E21"/>
        </w:rPr>
        <w:t xml:space="preserve"> </w:t>
      </w:r>
      <w:r w:rsidR="00CF43A1" w:rsidRPr="008D01C0">
        <w:rPr>
          <w:rFonts w:ascii="Cambria Math" w:hAnsi="Cambria Math" w:cs="Cambria Math"/>
          <w:color w:val="1E1E21"/>
        </w:rPr>
        <w:t>𝛿</w:t>
      </w:r>
      <w:r w:rsidR="00CF43A1" w:rsidRPr="008D01C0">
        <w:rPr>
          <w:color w:val="1E1E21"/>
          <w:vertAlign w:val="superscript"/>
        </w:rPr>
        <w:t>13</w:t>
      </w:r>
      <w:r w:rsidR="00CF43A1" w:rsidRPr="008D01C0">
        <w:t>C</w:t>
      </w:r>
      <w:r w:rsidR="00CF43A1" w:rsidRPr="00B31131">
        <w:rPr>
          <w:vertAlign w:val="subscript"/>
        </w:rPr>
        <w:t>org</w:t>
      </w:r>
      <w:r w:rsidR="00CF43A1">
        <w:t xml:space="preserve">, and </w:t>
      </w:r>
      <w:r w:rsidR="00E228A0">
        <w:t xml:space="preserve">global </w:t>
      </w:r>
      <w:r w:rsidR="00CF43A1">
        <w:t>carbon burial flux</w:t>
      </w:r>
      <w:r w:rsidR="00E228A0">
        <w:t>es</w:t>
      </w:r>
      <w:r w:rsidR="00CF43A1">
        <w:t>, organic</w:t>
      </w:r>
      <w:r w:rsidR="00E228A0">
        <w:t xml:space="preserve"> carbon</w:t>
      </w:r>
      <w:r w:rsidR="00CF43A1">
        <w:t xml:space="preserve"> burial </w:t>
      </w:r>
      <w:r w:rsidR="00E228A0">
        <w:t>in the Monterey Formation and similar circum-Pacific basins</w:t>
      </w:r>
      <w:r w:rsidR="00F3061D">
        <w:t xml:space="preserve"> along cannot explain the ~1‰ marine </w:t>
      </w:r>
      <w:r w:rsidR="00F3061D" w:rsidRPr="008D01C0">
        <w:rPr>
          <w:rFonts w:ascii="Cambria Math" w:hAnsi="Cambria Math" w:cs="Cambria Math"/>
          <w:color w:val="1E1E21"/>
        </w:rPr>
        <w:t>𝛿</w:t>
      </w:r>
      <w:r w:rsidR="00F3061D" w:rsidRPr="008D01C0">
        <w:rPr>
          <w:color w:val="1E1E21"/>
          <w:vertAlign w:val="superscript"/>
        </w:rPr>
        <w:t>13</w:t>
      </w:r>
      <w:r w:rsidR="00F3061D" w:rsidRPr="008D01C0">
        <w:rPr>
          <w:color w:val="1E1E21"/>
        </w:rPr>
        <w:t>C</w:t>
      </w:r>
      <w:r w:rsidR="00F3061D">
        <w:t xml:space="preserve"> shift</w:t>
      </w:r>
      <w:r w:rsidR="00F3061D">
        <w:t xml:space="preserve"> of the </w:t>
      </w:r>
      <w:r w:rsidR="00E228A0">
        <w:t>Monterey Event</w:t>
      </w:r>
      <w:r w:rsidR="00F3061D">
        <w:t>.</w:t>
      </w:r>
    </w:p>
    <w:p w14:paraId="2F5D8827" w14:textId="01970903" w:rsidR="00975B0B" w:rsidRPr="00885A2B" w:rsidRDefault="007A1480" w:rsidP="007A1480">
      <w:pPr>
        <w:pStyle w:val="ListParagraph"/>
        <w:ind w:left="420"/>
        <w:jc w:val="center"/>
      </w:pPr>
      <w:r>
        <w:t>*  *  *</w:t>
      </w:r>
    </w:p>
    <w:p w14:paraId="01C8908D" w14:textId="30C708FA" w:rsidR="00634F3E" w:rsidRDefault="00634F3E" w:rsidP="009E27F8">
      <w:pPr>
        <w:rPr>
          <w:b/>
          <w:bCs/>
        </w:rPr>
      </w:pPr>
    </w:p>
    <w:p w14:paraId="5EB03343" w14:textId="77777777" w:rsidR="00EE61B2" w:rsidRPr="00885A2B" w:rsidRDefault="00EE61B2" w:rsidP="009E27F8">
      <w:pPr>
        <w:rPr>
          <w:b/>
          <w:bCs/>
        </w:rPr>
      </w:pPr>
    </w:p>
    <w:p w14:paraId="3D36A20D" w14:textId="142D2109" w:rsidR="006D247F" w:rsidRPr="00885A2B" w:rsidRDefault="006D247F" w:rsidP="009E27F8">
      <w:pPr>
        <w:rPr>
          <w:b/>
          <w:bCs/>
        </w:rPr>
      </w:pPr>
    </w:p>
    <w:p w14:paraId="2258FFEF" w14:textId="104E58DD" w:rsidR="006D247F" w:rsidRPr="000C7907" w:rsidRDefault="006D247F" w:rsidP="009E27F8">
      <w:pPr>
        <w:rPr>
          <w:b/>
          <w:bCs/>
          <w:u w:val="single"/>
        </w:rPr>
      </w:pPr>
      <w:r w:rsidRPr="000C7907">
        <w:rPr>
          <w:b/>
          <w:bCs/>
          <w:u w:val="single"/>
        </w:rPr>
        <w:lastRenderedPageBreak/>
        <w:t>References Cited</w:t>
      </w:r>
    </w:p>
    <w:p w14:paraId="18E4A443" w14:textId="167E696C" w:rsidR="006D247F" w:rsidRPr="00885A2B" w:rsidRDefault="006D247F" w:rsidP="009E27F8">
      <w:pPr>
        <w:rPr>
          <w:b/>
          <w:bCs/>
        </w:rPr>
      </w:pPr>
    </w:p>
    <w:p w14:paraId="11FD6289" w14:textId="77777777" w:rsidR="006D247F" w:rsidRPr="00885A2B" w:rsidRDefault="006D247F" w:rsidP="006D247F">
      <w:pPr>
        <w:rPr>
          <w:color w:val="000000" w:themeColor="text1"/>
        </w:rPr>
      </w:pPr>
      <w:proofErr w:type="spellStart"/>
      <w:r w:rsidRPr="00885A2B">
        <w:rPr>
          <w:color w:val="000000" w:themeColor="text1"/>
          <w:shd w:val="clear" w:color="auto" w:fill="FFFFFF"/>
        </w:rPr>
        <w:t>Bohacs</w:t>
      </w:r>
      <w:proofErr w:type="spellEnd"/>
      <w:r w:rsidRPr="00885A2B">
        <w:rPr>
          <w:color w:val="000000" w:themeColor="text1"/>
          <w:shd w:val="clear" w:color="auto" w:fill="FFFFFF"/>
        </w:rPr>
        <w:t>, K.M. and Schwalbach, J.R., 1994, Natural gamma-ray spectrometry of the Monterey Formation at Naples Beach, California: insights into lithology, stratigraphy, and source-rock quality,</w:t>
      </w:r>
      <w:r w:rsidRPr="00885A2B">
        <w:rPr>
          <w:i/>
          <w:iCs/>
          <w:color w:val="000000" w:themeColor="text1"/>
          <w:shd w:val="clear" w:color="auto" w:fill="FFFFFF"/>
        </w:rPr>
        <w:t xml:space="preserve"> in</w:t>
      </w:r>
      <w:r w:rsidRPr="00885A2B">
        <w:rPr>
          <w:color w:val="000000" w:themeColor="text1"/>
          <w:shd w:val="clear" w:color="auto" w:fill="FFFFFF"/>
        </w:rPr>
        <w:t xml:space="preserve"> </w:t>
      </w:r>
      <w:r w:rsidRPr="00885A2B">
        <w:rPr>
          <w:color w:val="000000" w:themeColor="text1"/>
        </w:rPr>
        <w:t xml:space="preserve">Field Guide to the Monterey Formation between Santa Barbara and </w:t>
      </w:r>
      <w:proofErr w:type="spellStart"/>
      <w:r w:rsidRPr="00885A2B">
        <w:rPr>
          <w:color w:val="000000" w:themeColor="text1"/>
        </w:rPr>
        <w:t>Gaviota</w:t>
      </w:r>
      <w:proofErr w:type="spellEnd"/>
      <w:r w:rsidRPr="00885A2B">
        <w:rPr>
          <w:color w:val="000000" w:themeColor="text1"/>
        </w:rPr>
        <w:t>, California: AAPG Pacific Section,</w:t>
      </w:r>
      <w:r w:rsidRPr="00885A2B">
        <w:rPr>
          <w:rFonts w:eastAsia="Arial Unicode MS"/>
          <w:color w:val="000000" w:themeColor="text1"/>
        </w:rPr>
        <w:t xml:space="preserve"> </w:t>
      </w:r>
      <w:r w:rsidRPr="00885A2B">
        <w:rPr>
          <w:color w:val="000000" w:themeColor="text1"/>
        </w:rPr>
        <w:t>p. 85-94</w:t>
      </w:r>
    </w:p>
    <w:p w14:paraId="40B9CC8E" w14:textId="77777777" w:rsidR="006D247F" w:rsidRPr="00885A2B" w:rsidRDefault="006D247F" w:rsidP="006D247F">
      <w:pPr>
        <w:rPr>
          <w:color w:val="000000" w:themeColor="text1"/>
          <w:shd w:val="clear" w:color="auto" w:fill="FFFFFF"/>
        </w:rPr>
      </w:pPr>
    </w:p>
    <w:p w14:paraId="32E93290" w14:textId="77777777" w:rsidR="006D247F" w:rsidRPr="00885A2B" w:rsidRDefault="006D247F" w:rsidP="006D247F">
      <w:pPr>
        <w:rPr>
          <w:color w:val="000000" w:themeColor="text1"/>
          <w:shd w:val="clear" w:color="auto" w:fill="FFFFFF"/>
        </w:rPr>
      </w:pPr>
      <w:r w:rsidRPr="00885A2B">
        <w:rPr>
          <w:color w:val="000000" w:themeColor="text1"/>
          <w:shd w:val="clear" w:color="auto" w:fill="FFFFFF"/>
        </w:rPr>
        <w:t>Bowring, J.F., McLean, N.M. and Bowring, S.A., 2011, Engineering cyber infrastructure for U‐Pb geochronology: Tripoli and U‐</w:t>
      </w:r>
      <w:proofErr w:type="spellStart"/>
      <w:r w:rsidRPr="00885A2B">
        <w:rPr>
          <w:color w:val="000000" w:themeColor="text1"/>
          <w:shd w:val="clear" w:color="auto" w:fill="FFFFFF"/>
        </w:rPr>
        <w:t>Pb_Redux</w:t>
      </w:r>
      <w:proofErr w:type="spellEnd"/>
      <w:r w:rsidRPr="00885A2B">
        <w:rPr>
          <w:color w:val="000000" w:themeColor="text1"/>
          <w:shd w:val="clear" w:color="auto" w:fill="FFFFFF"/>
        </w:rPr>
        <w:t>: </w:t>
      </w:r>
      <w:r w:rsidRPr="00885A2B">
        <w:rPr>
          <w:color w:val="000000" w:themeColor="text1"/>
        </w:rPr>
        <w:t>Geochemistry, Geophysics, Geosystems</w:t>
      </w:r>
      <w:r w:rsidRPr="00885A2B">
        <w:rPr>
          <w:color w:val="000000" w:themeColor="text1"/>
          <w:shd w:val="clear" w:color="auto" w:fill="FFFFFF"/>
        </w:rPr>
        <w:t>, </w:t>
      </w:r>
      <w:r w:rsidRPr="00885A2B">
        <w:rPr>
          <w:color w:val="000000" w:themeColor="text1"/>
        </w:rPr>
        <w:t>12</w:t>
      </w:r>
      <w:r w:rsidRPr="00885A2B">
        <w:rPr>
          <w:color w:val="000000" w:themeColor="text1"/>
          <w:shd w:val="clear" w:color="auto" w:fill="FFFFFF"/>
        </w:rPr>
        <w:t>(6).</w:t>
      </w:r>
    </w:p>
    <w:p w14:paraId="37458306" w14:textId="77777777" w:rsidR="006D247F" w:rsidRPr="00885A2B" w:rsidRDefault="006D247F" w:rsidP="006D247F">
      <w:pPr>
        <w:rPr>
          <w:color w:val="000000" w:themeColor="text1"/>
          <w:shd w:val="clear" w:color="auto" w:fill="FFFFFF"/>
        </w:rPr>
      </w:pPr>
    </w:p>
    <w:p w14:paraId="00C04650" w14:textId="7AB95903" w:rsidR="006D247F" w:rsidRDefault="006D247F" w:rsidP="006D247F">
      <w:pPr>
        <w:rPr>
          <w:color w:val="000000" w:themeColor="text1"/>
          <w:shd w:val="clear" w:color="auto" w:fill="FFFFFF"/>
        </w:rPr>
      </w:pPr>
      <w:r w:rsidRPr="00885A2B">
        <w:rPr>
          <w:color w:val="000000" w:themeColor="text1"/>
          <w:shd w:val="clear" w:color="auto" w:fill="FFFFFF"/>
        </w:rPr>
        <w:t>Condon, D.J., Schoene, B., McLean, N.M., Bowring, S.A. and Parrish, R.R., 2015, Metrology and traceability of U–Pb isotope dilution geochronology (EARTHTIME Tracer Calibration Part I): </w:t>
      </w:r>
      <w:proofErr w:type="spellStart"/>
      <w:r w:rsidRPr="00885A2B">
        <w:rPr>
          <w:color w:val="000000" w:themeColor="text1"/>
        </w:rPr>
        <w:t>Geochimica</w:t>
      </w:r>
      <w:proofErr w:type="spellEnd"/>
      <w:r w:rsidRPr="00885A2B">
        <w:rPr>
          <w:color w:val="000000" w:themeColor="text1"/>
        </w:rPr>
        <w:t xml:space="preserve"> et </w:t>
      </w:r>
      <w:proofErr w:type="spellStart"/>
      <w:r w:rsidRPr="00885A2B">
        <w:rPr>
          <w:color w:val="000000" w:themeColor="text1"/>
        </w:rPr>
        <w:t>Cosmochimica</w:t>
      </w:r>
      <w:proofErr w:type="spellEnd"/>
      <w:r w:rsidRPr="00885A2B">
        <w:rPr>
          <w:color w:val="000000" w:themeColor="text1"/>
        </w:rPr>
        <w:t xml:space="preserve"> Acta</w:t>
      </w:r>
      <w:r w:rsidRPr="00885A2B">
        <w:rPr>
          <w:color w:val="000000" w:themeColor="text1"/>
          <w:shd w:val="clear" w:color="auto" w:fill="FFFFFF"/>
        </w:rPr>
        <w:t>, </w:t>
      </w:r>
      <w:r w:rsidRPr="00885A2B">
        <w:rPr>
          <w:color w:val="000000" w:themeColor="text1"/>
        </w:rPr>
        <w:t>164</w:t>
      </w:r>
      <w:r w:rsidRPr="00885A2B">
        <w:rPr>
          <w:color w:val="000000" w:themeColor="text1"/>
          <w:shd w:val="clear" w:color="auto" w:fill="FFFFFF"/>
        </w:rPr>
        <w:t>, p. 464-480.</w:t>
      </w:r>
    </w:p>
    <w:p w14:paraId="3398CF30" w14:textId="08512B19" w:rsidR="000C7907" w:rsidRDefault="000C7907" w:rsidP="006D247F">
      <w:pPr>
        <w:rPr>
          <w:color w:val="000000" w:themeColor="text1"/>
          <w:shd w:val="clear" w:color="auto" w:fill="FFFFFF"/>
        </w:rPr>
      </w:pPr>
    </w:p>
    <w:p w14:paraId="2CEF1C93" w14:textId="587EA5A3" w:rsidR="000C7907" w:rsidRPr="000C7907" w:rsidRDefault="000C7907" w:rsidP="006D247F">
      <w:pPr>
        <w:rPr>
          <w:color w:val="000000"/>
        </w:rPr>
      </w:pPr>
      <w:r w:rsidRPr="007C1681">
        <w:rPr>
          <w:color w:val="000000"/>
          <w:shd w:val="clear" w:color="auto" w:fill="FFFFFF"/>
        </w:rPr>
        <w:t>Farrell, J.C., 2020, </w:t>
      </w:r>
      <w:r w:rsidRPr="007C1681">
        <w:rPr>
          <w:color w:val="000000"/>
        </w:rPr>
        <w:t xml:space="preserve">Lateral Variation of Fine-Grained, Organic-Rich Sediments of the Miocene Monterey Formation, </w:t>
      </w:r>
      <w:proofErr w:type="spellStart"/>
      <w:r w:rsidRPr="007C1681">
        <w:rPr>
          <w:color w:val="000000"/>
        </w:rPr>
        <w:t>Belridge</w:t>
      </w:r>
      <w:proofErr w:type="spellEnd"/>
      <w:r w:rsidRPr="007C1681">
        <w:rPr>
          <w:color w:val="000000"/>
        </w:rPr>
        <w:t xml:space="preserve"> Field Area, California [</w:t>
      </w:r>
      <w:proofErr w:type="spellStart"/>
      <w:proofErr w:type="gramStart"/>
      <w:r w:rsidRPr="007C1681">
        <w:rPr>
          <w:color w:val="000000"/>
        </w:rPr>
        <w:t>Masters</w:t>
      </w:r>
      <w:proofErr w:type="spellEnd"/>
      <w:proofErr w:type="gramEnd"/>
      <w:r w:rsidRPr="007C1681">
        <w:rPr>
          <w:color w:val="000000"/>
        </w:rPr>
        <w:t xml:space="preserve"> thesis]:</w:t>
      </w:r>
      <w:r w:rsidRPr="007C1681">
        <w:rPr>
          <w:color w:val="000000"/>
          <w:shd w:val="clear" w:color="auto" w:fill="FFFFFF"/>
        </w:rPr>
        <w:t xml:space="preserve"> California State University, Long Beach, 81p.</w:t>
      </w:r>
    </w:p>
    <w:p w14:paraId="6B562953" w14:textId="77777777" w:rsidR="006D247F" w:rsidRPr="00885A2B" w:rsidRDefault="006D247F" w:rsidP="006D247F">
      <w:pPr>
        <w:rPr>
          <w:color w:val="000000" w:themeColor="text1"/>
          <w:shd w:val="clear" w:color="auto" w:fill="FFFFFF"/>
        </w:rPr>
      </w:pPr>
    </w:p>
    <w:p w14:paraId="637C532E" w14:textId="77777777" w:rsidR="006D247F" w:rsidRPr="00885A2B" w:rsidRDefault="006D247F" w:rsidP="006D247F">
      <w:pPr>
        <w:rPr>
          <w:color w:val="000000" w:themeColor="text1"/>
        </w:rPr>
      </w:pPr>
      <w:proofErr w:type="spellStart"/>
      <w:r w:rsidRPr="00885A2B">
        <w:rPr>
          <w:color w:val="000000" w:themeColor="text1"/>
          <w:shd w:val="clear" w:color="auto" w:fill="FFFFFF"/>
        </w:rPr>
        <w:t>Föllmi</w:t>
      </w:r>
      <w:proofErr w:type="spellEnd"/>
      <w:r w:rsidRPr="00885A2B">
        <w:rPr>
          <w:color w:val="000000" w:themeColor="text1"/>
          <w:shd w:val="clear" w:color="auto" w:fill="FFFFFF"/>
        </w:rPr>
        <w:t xml:space="preserve">, K.B., </w:t>
      </w:r>
      <w:proofErr w:type="spellStart"/>
      <w:r w:rsidRPr="00885A2B">
        <w:rPr>
          <w:color w:val="000000" w:themeColor="text1"/>
          <w:shd w:val="clear" w:color="auto" w:fill="FFFFFF"/>
        </w:rPr>
        <w:t>Badertscher</w:t>
      </w:r>
      <w:proofErr w:type="spellEnd"/>
      <w:r w:rsidRPr="00885A2B">
        <w:rPr>
          <w:color w:val="000000" w:themeColor="text1"/>
          <w:shd w:val="clear" w:color="auto" w:fill="FFFFFF"/>
        </w:rPr>
        <w:t xml:space="preserve">, C., de </w:t>
      </w:r>
      <w:proofErr w:type="spellStart"/>
      <w:r w:rsidRPr="00885A2B">
        <w:rPr>
          <w:color w:val="000000" w:themeColor="text1"/>
          <w:shd w:val="clear" w:color="auto" w:fill="FFFFFF"/>
        </w:rPr>
        <w:t>Kaenel</w:t>
      </w:r>
      <w:proofErr w:type="spellEnd"/>
      <w:r w:rsidRPr="00885A2B">
        <w:rPr>
          <w:color w:val="000000" w:themeColor="text1"/>
          <w:shd w:val="clear" w:color="auto" w:fill="FFFFFF"/>
        </w:rPr>
        <w:t xml:space="preserve">, E., </w:t>
      </w:r>
      <w:proofErr w:type="spellStart"/>
      <w:r w:rsidRPr="00885A2B">
        <w:rPr>
          <w:color w:val="000000" w:themeColor="text1"/>
          <w:shd w:val="clear" w:color="auto" w:fill="FFFFFF"/>
        </w:rPr>
        <w:t>Stille</w:t>
      </w:r>
      <w:proofErr w:type="spellEnd"/>
      <w:r w:rsidRPr="00885A2B">
        <w:rPr>
          <w:color w:val="000000" w:themeColor="text1"/>
          <w:shd w:val="clear" w:color="auto" w:fill="FFFFFF"/>
        </w:rPr>
        <w:t xml:space="preserve">, P., John, C.M., </w:t>
      </w:r>
      <w:proofErr w:type="spellStart"/>
      <w:r w:rsidRPr="00885A2B">
        <w:rPr>
          <w:color w:val="000000" w:themeColor="text1"/>
          <w:shd w:val="clear" w:color="auto" w:fill="FFFFFF"/>
        </w:rPr>
        <w:t>Adatte</w:t>
      </w:r>
      <w:proofErr w:type="spellEnd"/>
      <w:r w:rsidRPr="00885A2B">
        <w:rPr>
          <w:color w:val="000000" w:themeColor="text1"/>
          <w:shd w:val="clear" w:color="auto" w:fill="FFFFFF"/>
        </w:rPr>
        <w:t xml:space="preserve">, T. and Steinmann, P., 2005, </w:t>
      </w:r>
      <w:proofErr w:type="spellStart"/>
      <w:r w:rsidRPr="00885A2B">
        <w:rPr>
          <w:color w:val="000000" w:themeColor="text1"/>
          <w:shd w:val="clear" w:color="auto" w:fill="FFFFFF"/>
        </w:rPr>
        <w:t>Phosphogenesis</w:t>
      </w:r>
      <w:proofErr w:type="spellEnd"/>
      <w:r w:rsidRPr="00885A2B">
        <w:rPr>
          <w:color w:val="000000" w:themeColor="text1"/>
          <w:shd w:val="clear" w:color="auto" w:fill="FFFFFF"/>
        </w:rPr>
        <w:t xml:space="preserve"> and organic-carbon preservation in the Miocene Monterey Formation at Naples Beach, California—The Monterey hypothesis revisited:</w:t>
      </w:r>
      <w:r w:rsidRPr="00885A2B">
        <w:rPr>
          <w:i/>
          <w:iCs/>
          <w:color w:val="000000" w:themeColor="text1"/>
          <w:shd w:val="clear" w:color="auto" w:fill="FFFFFF"/>
        </w:rPr>
        <w:t> </w:t>
      </w:r>
      <w:r w:rsidRPr="00885A2B">
        <w:rPr>
          <w:color w:val="000000" w:themeColor="text1"/>
        </w:rPr>
        <w:t>Geological Society of America Bulletin</w:t>
      </w:r>
      <w:r w:rsidRPr="00885A2B">
        <w:rPr>
          <w:color w:val="000000" w:themeColor="text1"/>
          <w:shd w:val="clear" w:color="auto" w:fill="FFFFFF"/>
        </w:rPr>
        <w:t>, </w:t>
      </w:r>
      <w:r w:rsidRPr="00885A2B">
        <w:rPr>
          <w:color w:val="000000" w:themeColor="text1"/>
        </w:rPr>
        <w:t>117</w:t>
      </w:r>
      <w:r w:rsidRPr="00885A2B">
        <w:rPr>
          <w:color w:val="000000" w:themeColor="text1"/>
          <w:shd w:val="clear" w:color="auto" w:fill="FFFFFF"/>
        </w:rPr>
        <w:t>(5-6), p. 589-619.</w:t>
      </w:r>
    </w:p>
    <w:p w14:paraId="33900505" w14:textId="77777777" w:rsidR="006D247F" w:rsidRPr="00885A2B" w:rsidRDefault="006D247F" w:rsidP="006D247F">
      <w:pPr>
        <w:rPr>
          <w:color w:val="000000" w:themeColor="text1"/>
          <w:shd w:val="clear" w:color="auto" w:fill="FFFFFF"/>
        </w:rPr>
      </w:pPr>
    </w:p>
    <w:p w14:paraId="371D6D94" w14:textId="77777777" w:rsidR="006D247F" w:rsidRPr="00885A2B" w:rsidRDefault="006D247F" w:rsidP="006D247F">
      <w:pPr>
        <w:rPr>
          <w:color w:val="000000" w:themeColor="text1"/>
          <w:shd w:val="clear" w:color="auto" w:fill="FFFFFF"/>
        </w:rPr>
      </w:pPr>
      <w:proofErr w:type="spellStart"/>
      <w:r w:rsidRPr="00885A2B">
        <w:rPr>
          <w:color w:val="000000" w:themeColor="text1"/>
          <w:shd w:val="clear" w:color="auto" w:fill="FFFFFF"/>
        </w:rPr>
        <w:t>Gerstenberger</w:t>
      </w:r>
      <w:proofErr w:type="spellEnd"/>
      <w:r w:rsidRPr="00885A2B">
        <w:rPr>
          <w:color w:val="000000" w:themeColor="text1"/>
          <w:shd w:val="clear" w:color="auto" w:fill="FFFFFF"/>
        </w:rPr>
        <w:t xml:space="preserve">, H. and </w:t>
      </w:r>
      <w:proofErr w:type="spellStart"/>
      <w:r w:rsidRPr="00885A2B">
        <w:rPr>
          <w:color w:val="000000" w:themeColor="text1"/>
          <w:shd w:val="clear" w:color="auto" w:fill="FFFFFF"/>
        </w:rPr>
        <w:t>Haase</w:t>
      </w:r>
      <w:proofErr w:type="spellEnd"/>
      <w:r w:rsidRPr="00885A2B">
        <w:rPr>
          <w:color w:val="000000" w:themeColor="text1"/>
          <w:shd w:val="clear" w:color="auto" w:fill="FFFFFF"/>
        </w:rPr>
        <w:t xml:space="preserve">, G., 1997, A highly effective emitter substance for mass spectrometric Pb isotope ratio determinations: </w:t>
      </w:r>
      <w:r w:rsidRPr="00885A2B">
        <w:rPr>
          <w:color w:val="000000" w:themeColor="text1"/>
        </w:rPr>
        <w:t>Chemical geology</w:t>
      </w:r>
      <w:r w:rsidRPr="00885A2B">
        <w:rPr>
          <w:color w:val="000000" w:themeColor="text1"/>
          <w:shd w:val="clear" w:color="auto" w:fill="FFFFFF"/>
        </w:rPr>
        <w:t>, </w:t>
      </w:r>
      <w:r w:rsidRPr="00885A2B">
        <w:rPr>
          <w:color w:val="000000" w:themeColor="text1"/>
        </w:rPr>
        <w:t>136</w:t>
      </w:r>
      <w:r w:rsidRPr="00885A2B">
        <w:rPr>
          <w:color w:val="000000" w:themeColor="text1"/>
          <w:shd w:val="clear" w:color="auto" w:fill="FFFFFF"/>
        </w:rPr>
        <w:t>(3-4), p. 309-312.</w:t>
      </w:r>
    </w:p>
    <w:p w14:paraId="7F019BA8" w14:textId="77777777" w:rsidR="006D247F" w:rsidRPr="00885A2B" w:rsidRDefault="006D247F" w:rsidP="006D247F">
      <w:pPr>
        <w:rPr>
          <w:color w:val="000000" w:themeColor="text1"/>
          <w:shd w:val="clear" w:color="auto" w:fill="FFFFFF"/>
        </w:rPr>
      </w:pPr>
    </w:p>
    <w:p w14:paraId="7BBD7483" w14:textId="7E6A34C8" w:rsidR="006D247F" w:rsidRDefault="006D247F" w:rsidP="006D247F">
      <w:pPr>
        <w:rPr>
          <w:color w:val="000000" w:themeColor="text1"/>
          <w:shd w:val="clear" w:color="auto" w:fill="FFFFFF"/>
        </w:rPr>
      </w:pPr>
      <w:r w:rsidRPr="00885A2B">
        <w:rPr>
          <w:color w:val="000000" w:themeColor="text1"/>
          <w:shd w:val="clear" w:color="auto" w:fill="FFFFFF"/>
        </w:rPr>
        <w:t>Gladney, E.S., 1980</w:t>
      </w:r>
      <w:r w:rsidR="00634F3E" w:rsidRPr="00885A2B">
        <w:rPr>
          <w:color w:val="000000" w:themeColor="text1"/>
          <w:shd w:val="clear" w:color="auto" w:fill="FFFFFF"/>
        </w:rPr>
        <w:t xml:space="preserve">, </w:t>
      </w:r>
      <w:r w:rsidRPr="00885A2B">
        <w:rPr>
          <w:color w:val="000000" w:themeColor="text1"/>
        </w:rPr>
        <w:t>Compilation of elemental concentration data for the United States Geological Survey's six geochemical exploration reference materials</w:t>
      </w:r>
      <w:r w:rsidRPr="00885A2B">
        <w:rPr>
          <w:rStyle w:val="apple-converted-space"/>
          <w:color w:val="000000" w:themeColor="text1"/>
          <w:shd w:val="clear" w:color="auto" w:fill="FFFFFF"/>
        </w:rPr>
        <w:t> </w:t>
      </w:r>
      <w:r w:rsidRPr="00885A2B">
        <w:rPr>
          <w:color w:val="000000" w:themeColor="text1"/>
          <w:shd w:val="clear" w:color="auto" w:fill="FFFFFF"/>
        </w:rPr>
        <w:t>(No. LA-8473-MS)</w:t>
      </w:r>
      <w:r w:rsidR="00634F3E" w:rsidRPr="00885A2B">
        <w:rPr>
          <w:color w:val="000000" w:themeColor="text1"/>
          <w:shd w:val="clear" w:color="auto" w:fill="FFFFFF"/>
        </w:rPr>
        <w:t xml:space="preserve">: </w:t>
      </w:r>
      <w:r w:rsidRPr="00885A2B">
        <w:rPr>
          <w:color w:val="000000" w:themeColor="text1"/>
          <w:shd w:val="clear" w:color="auto" w:fill="FFFFFF"/>
        </w:rPr>
        <w:t>Los Alamos Scientific Lab., NM (USA).</w:t>
      </w:r>
    </w:p>
    <w:p w14:paraId="4B77DE95" w14:textId="50A2D2C5" w:rsidR="000C7907" w:rsidRDefault="000C7907" w:rsidP="006D247F">
      <w:pPr>
        <w:rPr>
          <w:color w:val="000000" w:themeColor="text1"/>
          <w:shd w:val="clear" w:color="auto" w:fill="FFFFFF"/>
        </w:rPr>
      </w:pPr>
    </w:p>
    <w:p w14:paraId="117CA4D7" w14:textId="497EAE43" w:rsidR="000C7907" w:rsidRPr="000C7907" w:rsidRDefault="000C7907" w:rsidP="000C7907">
      <w:pPr>
        <w:textAlignment w:val="baseline"/>
        <w:rPr>
          <w:color w:val="000000"/>
        </w:rPr>
      </w:pPr>
      <w:r w:rsidRPr="007C1681">
        <w:rPr>
          <w:color w:val="000000"/>
          <w:shd w:val="clear" w:color="auto" w:fill="FFFFFF"/>
        </w:rPr>
        <w:t>Graham, S.A. and Williams, L.A., 1985, Tectonic, depositional, and diagenetic history of Monterey Formation (Miocene), central San Joaquin basin, California: </w:t>
      </w:r>
      <w:r w:rsidRPr="007C1681">
        <w:rPr>
          <w:color w:val="000000"/>
        </w:rPr>
        <w:t>AAPG bulletin</w:t>
      </w:r>
      <w:r w:rsidRPr="007C1681">
        <w:rPr>
          <w:color w:val="000000"/>
          <w:shd w:val="clear" w:color="auto" w:fill="FFFFFF"/>
        </w:rPr>
        <w:t>, </w:t>
      </w:r>
      <w:r w:rsidRPr="007C1681">
        <w:rPr>
          <w:color w:val="000000"/>
        </w:rPr>
        <w:t>69</w:t>
      </w:r>
      <w:r w:rsidRPr="007C1681">
        <w:rPr>
          <w:color w:val="000000"/>
          <w:shd w:val="clear" w:color="auto" w:fill="FFFFFF"/>
        </w:rPr>
        <w:t xml:space="preserve">(3), p. 385-411. </w:t>
      </w:r>
      <w:proofErr w:type="spellStart"/>
      <w:r w:rsidRPr="000C7907">
        <w:rPr>
          <w:color w:val="000000"/>
          <w:shd w:val="clear" w:color="auto" w:fill="FFFFFF"/>
        </w:rPr>
        <w:t>doi:</w:t>
      </w:r>
      <w:hyperlink r:id="rId7" w:history="1">
        <w:r w:rsidRPr="000C7907">
          <w:rPr>
            <w:rStyle w:val="BodyTextChar"/>
            <w:color w:val="000000"/>
            <w:sz w:val="24"/>
            <w:szCs w:val="24"/>
            <w:bdr w:val="none" w:sz="0" w:space="0" w:color="auto" w:frame="1"/>
          </w:rPr>
          <w:t>https</w:t>
        </w:r>
        <w:proofErr w:type="spellEnd"/>
        <w:r w:rsidRPr="000C7907">
          <w:rPr>
            <w:rStyle w:val="BodyTextChar"/>
            <w:color w:val="000000"/>
            <w:sz w:val="24"/>
            <w:szCs w:val="24"/>
            <w:bdr w:val="none" w:sz="0" w:space="0" w:color="auto" w:frame="1"/>
          </w:rPr>
          <w:t>://doi.org/10.1306/AD4624F7-16F7-11D7-8645000102C1865D</w:t>
        </w:r>
      </w:hyperlink>
    </w:p>
    <w:p w14:paraId="2E2BC8CA" w14:textId="77777777" w:rsidR="006D247F" w:rsidRPr="00885A2B" w:rsidRDefault="006D247F" w:rsidP="006D247F">
      <w:pPr>
        <w:rPr>
          <w:color w:val="000000" w:themeColor="text1"/>
          <w:shd w:val="clear" w:color="auto" w:fill="FFFFFF"/>
        </w:rPr>
      </w:pPr>
    </w:p>
    <w:p w14:paraId="60C2C951" w14:textId="1A7EEA74" w:rsidR="006D247F" w:rsidRPr="005A0207" w:rsidRDefault="006D247F" w:rsidP="006D247F">
      <w:pPr>
        <w:rPr>
          <w:color w:val="000000" w:themeColor="text1"/>
        </w:rPr>
      </w:pPr>
      <w:proofErr w:type="spellStart"/>
      <w:r w:rsidRPr="005A0207">
        <w:rPr>
          <w:color w:val="000000" w:themeColor="text1"/>
          <w:shd w:val="clear" w:color="auto" w:fill="FFFFFF"/>
        </w:rPr>
        <w:t>Hiess</w:t>
      </w:r>
      <w:proofErr w:type="spellEnd"/>
      <w:r w:rsidRPr="005A0207">
        <w:rPr>
          <w:color w:val="000000" w:themeColor="text1"/>
          <w:shd w:val="clear" w:color="auto" w:fill="FFFFFF"/>
        </w:rPr>
        <w:t>, J., Condon, D.J., McLean, N. and Noble, S.R., 2012</w:t>
      </w:r>
      <w:r w:rsidR="00634F3E" w:rsidRPr="00885A2B">
        <w:rPr>
          <w:color w:val="000000" w:themeColor="text1"/>
          <w:shd w:val="clear" w:color="auto" w:fill="FFFFFF"/>
        </w:rPr>
        <w:t xml:space="preserve">, </w:t>
      </w:r>
      <w:r w:rsidRPr="005A0207">
        <w:rPr>
          <w:color w:val="000000" w:themeColor="text1"/>
          <w:shd w:val="clear" w:color="auto" w:fill="FFFFFF"/>
        </w:rPr>
        <w:t>238U/235U systematics in terrestrial uranium-bearing minerals</w:t>
      </w:r>
      <w:r w:rsidR="00634F3E" w:rsidRPr="00885A2B">
        <w:rPr>
          <w:color w:val="000000" w:themeColor="text1"/>
          <w:shd w:val="clear" w:color="auto" w:fill="FFFFFF"/>
        </w:rPr>
        <w:t>:</w:t>
      </w:r>
      <w:r w:rsidRPr="005A0207">
        <w:rPr>
          <w:color w:val="000000" w:themeColor="text1"/>
          <w:shd w:val="clear" w:color="auto" w:fill="FFFFFF"/>
        </w:rPr>
        <w:t> </w:t>
      </w:r>
      <w:r w:rsidRPr="005A0207">
        <w:rPr>
          <w:color w:val="000000" w:themeColor="text1"/>
        </w:rPr>
        <w:t>Science</w:t>
      </w:r>
      <w:r w:rsidRPr="005A0207">
        <w:rPr>
          <w:color w:val="000000" w:themeColor="text1"/>
          <w:shd w:val="clear" w:color="auto" w:fill="FFFFFF"/>
        </w:rPr>
        <w:t>, </w:t>
      </w:r>
      <w:r w:rsidRPr="005A0207">
        <w:rPr>
          <w:color w:val="000000" w:themeColor="text1"/>
        </w:rPr>
        <w:t>335</w:t>
      </w:r>
      <w:r w:rsidRPr="005A0207">
        <w:rPr>
          <w:color w:val="000000" w:themeColor="text1"/>
          <w:shd w:val="clear" w:color="auto" w:fill="FFFFFF"/>
        </w:rPr>
        <w:t>(6076), p.1610-1614.</w:t>
      </w:r>
    </w:p>
    <w:p w14:paraId="2BB223C2" w14:textId="77777777" w:rsidR="006D247F" w:rsidRPr="00885A2B" w:rsidRDefault="006D247F" w:rsidP="006D247F">
      <w:pPr>
        <w:rPr>
          <w:color w:val="000000" w:themeColor="text1"/>
          <w:shd w:val="clear" w:color="auto" w:fill="FFFFFF"/>
        </w:rPr>
      </w:pPr>
    </w:p>
    <w:p w14:paraId="6C12A290" w14:textId="77777777" w:rsidR="006D247F" w:rsidRPr="00885A2B" w:rsidRDefault="006D247F" w:rsidP="006D247F">
      <w:pPr>
        <w:rPr>
          <w:color w:val="000000" w:themeColor="text1"/>
          <w:shd w:val="clear" w:color="auto" w:fill="FFFFFF"/>
        </w:rPr>
      </w:pPr>
      <w:r w:rsidRPr="00885A2B">
        <w:rPr>
          <w:color w:val="000000" w:themeColor="text1"/>
          <w:shd w:val="clear" w:color="auto" w:fill="FFFFFF"/>
        </w:rPr>
        <w:t xml:space="preserve">Hoke, G.D., Schmitz, M.D. and Bowring, S.A., 2014, An ultrasonic method for isolating nonclay components from clay‐rich material: </w:t>
      </w:r>
      <w:r w:rsidRPr="00885A2B">
        <w:rPr>
          <w:color w:val="000000" w:themeColor="text1"/>
        </w:rPr>
        <w:t>Geochemistry, Geophysics, Geosystems</w:t>
      </w:r>
      <w:r w:rsidRPr="00885A2B">
        <w:rPr>
          <w:color w:val="000000" w:themeColor="text1"/>
          <w:shd w:val="clear" w:color="auto" w:fill="FFFFFF"/>
        </w:rPr>
        <w:t>, </w:t>
      </w:r>
      <w:r w:rsidRPr="00885A2B">
        <w:rPr>
          <w:color w:val="000000" w:themeColor="text1"/>
        </w:rPr>
        <w:t>15</w:t>
      </w:r>
      <w:r w:rsidRPr="00885A2B">
        <w:rPr>
          <w:color w:val="000000" w:themeColor="text1"/>
          <w:shd w:val="clear" w:color="auto" w:fill="FFFFFF"/>
        </w:rPr>
        <w:t>(2), p. 492-498.</w:t>
      </w:r>
    </w:p>
    <w:p w14:paraId="21F36D65" w14:textId="77777777" w:rsidR="006D247F" w:rsidRPr="00885A2B" w:rsidRDefault="006D247F" w:rsidP="006D247F">
      <w:pPr>
        <w:rPr>
          <w:color w:val="000000" w:themeColor="text1"/>
          <w:shd w:val="clear" w:color="auto" w:fill="FFFFFF"/>
        </w:rPr>
      </w:pPr>
    </w:p>
    <w:p w14:paraId="12B87191" w14:textId="77777777" w:rsidR="006D247F" w:rsidRPr="00885A2B" w:rsidRDefault="006D247F" w:rsidP="006D247F">
      <w:pPr>
        <w:rPr>
          <w:color w:val="000000" w:themeColor="text1"/>
          <w:shd w:val="clear" w:color="auto" w:fill="FFFFFF"/>
        </w:rPr>
      </w:pPr>
      <w:proofErr w:type="spellStart"/>
      <w:r w:rsidRPr="00885A2B">
        <w:rPr>
          <w:color w:val="000000" w:themeColor="text1"/>
          <w:shd w:val="clear" w:color="auto" w:fill="FFFFFF"/>
        </w:rPr>
        <w:t>Horstwood</w:t>
      </w:r>
      <w:proofErr w:type="spellEnd"/>
      <w:r w:rsidRPr="00885A2B">
        <w:rPr>
          <w:color w:val="000000" w:themeColor="text1"/>
          <w:shd w:val="clear" w:color="auto" w:fill="FFFFFF"/>
        </w:rPr>
        <w:t xml:space="preserve">, M.S., </w:t>
      </w:r>
      <w:proofErr w:type="spellStart"/>
      <w:r w:rsidRPr="00885A2B">
        <w:rPr>
          <w:color w:val="000000" w:themeColor="text1"/>
          <w:shd w:val="clear" w:color="auto" w:fill="FFFFFF"/>
        </w:rPr>
        <w:t>Košler</w:t>
      </w:r>
      <w:proofErr w:type="spellEnd"/>
      <w:r w:rsidRPr="00885A2B">
        <w:rPr>
          <w:color w:val="000000" w:themeColor="text1"/>
          <w:shd w:val="clear" w:color="auto" w:fill="FFFFFF"/>
        </w:rPr>
        <w:t xml:space="preserve">, J., </w:t>
      </w:r>
      <w:proofErr w:type="spellStart"/>
      <w:r w:rsidRPr="00885A2B">
        <w:rPr>
          <w:color w:val="000000" w:themeColor="text1"/>
          <w:shd w:val="clear" w:color="auto" w:fill="FFFFFF"/>
        </w:rPr>
        <w:t>Gehrels</w:t>
      </w:r>
      <w:proofErr w:type="spellEnd"/>
      <w:r w:rsidRPr="00885A2B">
        <w:rPr>
          <w:color w:val="000000" w:themeColor="text1"/>
          <w:shd w:val="clear" w:color="auto" w:fill="FFFFFF"/>
        </w:rPr>
        <w:t xml:space="preserve">, G., Jackson, S.E., McLean, N.M., Paton, C., Pearson, N.J., </w:t>
      </w:r>
      <w:proofErr w:type="spellStart"/>
      <w:r w:rsidRPr="00885A2B">
        <w:rPr>
          <w:color w:val="000000" w:themeColor="text1"/>
          <w:shd w:val="clear" w:color="auto" w:fill="FFFFFF"/>
        </w:rPr>
        <w:t>Sircombe</w:t>
      </w:r>
      <w:proofErr w:type="spellEnd"/>
      <w:r w:rsidRPr="00885A2B">
        <w:rPr>
          <w:color w:val="000000" w:themeColor="text1"/>
          <w:shd w:val="clear" w:color="auto" w:fill="FFFFFF"/>
        </w:rPr>
        <w:t xml:space="preserve">, K., Sylvester, P., </w:t>
      </w:r>
      <w:proofErr w:type="spellStart"/>
      <w:r w:rsidRPr="00885A2B">
        <w:rPr>
          <w:color w:val="000000" w:themeColor="text1"/>
          <w:shd w:val="clear" w:color="auto" w:fill="FFFFFF"/>
        </w:rPr>
        <w:t>Vermeesch</w:t>
      </w:r>
      <w:proofErr w:type="spellEnd"/>
      <w:r w:rsidRPr="00885A2B">
        <w:rPr>
          <w:color w:val="000000" w:themeColor="text1"/>
          <w:shd w:val="clear" w:color="auto" w:fill="FFFFFF"/>
        </w:rPr>
        <w:t>, P. and Bowring, J.F., 2016, Community‐derived standards for LA‐ICP‐MS U‐(Th‐) Pb geochronology–Uncertainty propagation, age interpretation and data reporting: </w:t>
      </w:r>
      <w:proofErr w:type="spellStart"/>
      <w:r w:rsidRPr="00885A2B">
        <w:rPr>
          <w:color w:val="000000" w:themeColor="text1"/>
        </w:rPr>
        <w:t>Geostandards</w:t>
      </w:r>
      <w:proofErr w:type="spellEnd"/>
      <w:r w:rsidRPr="00885A2B">
        <w:rPr>
          <w:color w:val="000000" w:themeColor="text1"/>
        </w:rPr>
        <w:t xml:space="preserve"> and </w:t>
      </w:r>
      <w:proofErr w:type="spellStart"/>
      <w:r w:rsidRPr="00885A2B">
        <w:rPr>
          <w:color w:val="000000" w:themeColor="text1"/>
        </w:rPr>
        <w:t>Geoanalytical</w:t>
      </w:r>
      <w:proofErr w:type="spellEnd"/>
      <w:r w:rsidRPr="00885A2B">
        <w:rPr>
          <w:color w:val="000000" w:themeColor="text1"/>
        </w:rPr>
        <w:t xml:space="preserve"> Research</w:t>
      </w:r>
      <w:r w:rsidRPr="00885A2B">
        <w:rPr>
          <w:color w:val="000000" w:themeColor="text1"/>
          <w:shd w:val="clear" w:color="auto" w:fill="FFFFFF"/>
        </w:rPr>
        <w:t>, </w:t>
      </w:r>
      <w:r w:rsidRPr="00885A2B">
        <w:rPr>
          <w:color w:val="000000" w:themeColor="text1"/>
        </w:rPr>
        <w:t>40</w:t>
      </w:r>
      <w:r w:rsidRPr="00885A2B">
        <w:rPr>
          <w:color w:val="000000" w:themeColor="text1"/>
          <w:shd w:val="clear" w:color="auto" w:fill="FFFFFF"/>
        </w:rPr>
        <w:t>(3), p. 311-332.</w:t>
      </w:r>
    </w:p>
    <w:p w14:paraId="48E99227" w14:textId="77777777" w:rsidR="006D247F" w:rsidRPr="00885A2B" w:rsidRDefault="006D247F" w:rsidP="006D247F">
      <w:pPr>
        <w:rPr>
          <w:color w:val="000000" w:themeColor="text1"/>
          <w:shd w:val="clear" w:color="auto" w:fill="FFFFFF"/>
        </w:rPr>
      </w:pPr>
    </w:p>
    <w:p w14:paraId="4398D123" w14:textId="77777777" w:rsidR="006D247F" w:rsidRPr="00885A2B" w:rsidRDefault="006D247F" w:rsidP="006D247F">
      <w:pPr>
        <w:rPr>
          <w:color w:val="000000" w:themeColor="text1"/>
          <w:shd w:val="clear" w:color="auto" w:fill="FFFFFF"/>
        </w:rPr>
      </w:pPr>
      <w:r w:rsidRPr="00885A2B">
        <w:rPr>
          <w:color w:val="000000" w:themeColor="text1"/>
          <w:shd w:val="clear" w:color="auto" w:fill="FFFFFF"/>
        </w:rPr>
        <w:lastRenderedPageBreak/>
        <w:t>Jackson, S.E., Pearson, N.J., Griffin, W.L. and Belousova, E.A., 2004, The application of laser ablation-inductively coupled plasma-mass spectrometry to in situ U–Pb zircon geochronology: </w:t>
      </w:r>
      <w:r w:rsidRPr="00885A2B">
        <w:rPr>
          <w:color w:val="000000" w:themeColor="text1"/>
        </w:rPr>
        <w:t>Chemical geology</w:t>
      </w:r>
      <w:r w:rsidRPr="00885A2B">
        <w:rPr>
          <w:color w:val="000000" w:themeColor="text1"/>
          <w:shd w:val="clear" w:color="auto" w:fill="FFFFFF"/>
        </w:rPr>
        <w:t>, </w:t>
      </w:r>
      <w:r w:rsidRPr="00885A2B">
        <w:rPr>
          <w:color w:val="000000" w:themeColor="text1"/>
        </w:rPr>
        <w:t>211</w:t>
      </w:r>
      <w:r w:rsidRPr="00885A2B">
        <w:rPr>
          <w:color w:val="000000" w:themeColor="text1"/>
          <w:shd w:val="clear" w:color="auto" w:fill="FFFFFF"/>
        </w:rPr>
        <w:t>(1-2), p. 47-69.</w:t>
      </w:r>
    </w:p>
    <w:p w14:paraId="589C05ED" w14:textId="77777777" w:rsidR="006D247F" w:rsidRPr="00885A2B" w:rsidRDefault="006D247F" w:rsidP="006D247F">
      <w:pPr>
        <w:rPr>
          <w:color w:val="000000" w:themeColor="text1"/>
          <w:shd w:val="clear" w:color="auto" w:fill="FFFFFF"/>
        </w:rPr>
      </w:pPr>
    </w:p>
    <w:p w14:paraId="749C499C" w14:textId="0EF2C9BA" w:rsidR="006D247F" w:rsidRPr="00885A2B" w:rsidRDefault="006D247F" w:rsidP="006D247F">
      <w:pPr>
        <w:rPr>
          <w:color w:val="000000" w:themeColor="text1"/>
        </w:rPr>
      </w:pPr>
      <w:r w:rsidRPr="00885A2B">
        <w:rPr>
          <w:color w:val="000000" w:themeColor="text1"/>
          <w:shd w:val="clear" w:color="auto" w:fill="FFFFFF"/>
        </w:rPr>
        <w:t xml:space="preserve">John, C.M., </w:t>
      </w:r>
      <w:proofErr w:type="spellStart"/>
      <w:r w:rsidRPr="00885A2B">
        <w:rPr>
          <w:color w:val="000000" w:themeColor="text1"/>
          <w:shd w:val="clear" w:color="auto" w:fill="FFFFFF"/>
        </w:rPr>
        <w:t>Follmi</w:t>
      </w:r>
      <w:proofErr w:type="spellEnd"/>
      <w:r w:rsidRPr="00885A2B">
        <w:rPr>
          <w:color w:val="000000" w:themeColor="text1"/>
          <w:shd w:val="clear" w:color="auto" w:fill="FFFFFF"/>
        </w:rPr>
        <w:t xml:space="preserve">, K.B., De </w:t>
      </w:r>
      <w:proofErr w:type="spellStart"/>
      <w:r w:rsidRPr="00885A2B">
        <w:rPr>
          <w:color w:val="000000" w:themeColor="text1"/>
          <w:shd w:val="clear" w:color="auto" w:fill="FFFFFF"/>
        </w:rPr>
        <w:t>Kaenel</w:t>
      </w:r>
      <w:proofErr w:type="spellEnd"/>
      <w:r w:rsidRPr="00885A2B">
        <w:rPr>
          <w:color w:val="000000" w:themeColor="text1"/>
          <w:shd w:val="clear" w:color="auto" w:fill="FFFFFF"/>
        </w:rPr>
        <w:t xml:space="preserve">, E., </w:t>
      </w:r>
      <w:proofErr w:type="spellStart"/>
      <w:r w:rsidRPr="00885A2B">
        <w:rPr>
          <w:color w:val="000000" w:themeColor="text1"/>
          <w:shd w:val="clear" w:color="auto" w:fill="FFFFFF"/>
        </w:rPr>
        <w:t>Adatte</w:t>
      </w:r>
      <w:proofErr w:type="spellEnd"/>
      <w:r w:rsidRPr="00885A2B">
        <w:rPr>
          <w:color w:val="000000" w:themeColor="text1"/>
          <w:shd w:val="clear" w:color="auto" w:fill="FFFFFF"/>
        </w:rPr>
        <w:t xml:space="preserve">, T., Steinmann, P. and </w:t>
      </w:r>
      <w:proofErr w:type="spellStart"/>
      <w:r w:rsidRPr="00885A2B">
        <w:rPr>
          <w:color w:val="000000" w:themeColor="text1"/>
          <w:shd w:val="clear" w:color="auto" w:fill="FFFFFF"/>
        </w:rPr>
        <w:t>Badertscher</w:t>
      </w:r>
      <w:proofErr w:type="spellEnd"/>
      <w:r w:rsidRPr="00885A2B">
        <w:rPr>
          <w:color w:val="000000" w:themeColor="text1"/>
          <w:shd w:val="clear" w:color="auto" w:fill="FFFFFF"/>
        </w:rPr>
        <w:t>, C., 2002, Carbonaceous and phosphate-rich sediments of the Miocene Monterey formation at El Capitan State Beach, California, USA: </w:t>
      </w:r>
      <w:r w:rsidRPr="00885A2B">
        <w:rPr>
          <w:color w:val="000000" w:themeColor="text1"/>
        </w:rPr>
        <w:t>Journal of Sedimentary Research</w:t>
      </w:r>
      <w:r w:rsidRPr="00885A2B">
        <w:rPr>
          <w:color w:val="000000" w:themeColor="text1"/>
          <w:shd w:val="clear" w:color="auto" w:fill="FFFFFF"/>
        </w:rPr>
        <w:t>, </w:t>
      </w:r>
      <w:r w:rsidRPr="00885A2B">
        <w:rPr>
          <w:color w:val="000000" w:themeColor="text1"/>
        </w:rPr>
        <w:t>72</w:t>
      </w:r>
      <w:r w:rsidRPr="00885A2B">
        <w:rPr>
          <w:color w:val="000000" w:themeColor="text1"/>
          <w:shd w:val="clear" w:color="auto" w:fill="FFFFFF"/>
        </w:rPr>
        <w:t>(2), p. 252-267.</w:t>
      </w:r>
    </w:p>
    <w:p w14:paraId="2AC0D0D2" w14:textId="77777777" w:rsidR="006D247F" w:rsidRPr="00885A2B" w:rsidRDefault="006D247F" w:rsidP="006D247F">
      <w:pPr>
        <w:rPr>
          <w:color w:val="000000" w:themeColor="text1"/>
          <w:shd w:val="clear" w:color="auto" w:fill="FFFFFF"/>
        </w:rPr>
      </w:pPr>
    </w:p>
    <w:p w14:paraId="4217D88A" w14:textId="77777777" w:rsidR="006D247F" w:rsidRPr="00885A2B" w:rsidRDefault="006D247F" w:rsidP="006D247F">
      <w:pPr>
        <w:rPr>
          <w:color w:val="000000" w:themeColor="text1"/>
          <w:shd w:val="clear" w:color="auto" w:fill="FAFAFA"/>
        </w:rPr>
      </w:pPr>
      <w:r w:rsidRPr="00885A2B">
        <w:rPr>
          <w:color w:val="000000" w:themeColor="text1"/>
          <w:shd w:val="clear" w:color="auto" w:fill="FAFAFA"/>
        </w:rPr>
        <w:t xml:space="preserve">Keller, C.B., Schoene, B., </w:t>
      </w:r>
      <w:proofErr w:type="spellStart"/>
      <w:r w:rsidRPr="00885A2B">
        <w:rPr>
          <w:color w:val="000000" w:themeColor="text1"/>
          <w:shd w:val="clear" w:color="auto" w:fill="FAFAFA"/>
        </w:rPr>
        <w:t>Samperton</w:t>
      </w:r>
      <w:proofErr w:type="spellEnd"/>
      <w:r w:rsidRPr="00885A2B">
        <w:rPr>
          <w:color w:val="000000" w:themeColor="text1"/>
          <w:shd w:val="clear" w:color="auto" w:fill="FAFAFA"/>
        </w:rPr>
        <w:t>, K.M. (2018), A stochastic sampling approach to zircon eruption age interpretation: </w:t>
      </w:r>
      <w:r w:rsidRPr="00885A2B">
        <w:rPr>
          <w:color w:val="000000" w:themeColor="text1"/>
          <w:bdr w:val="none" w:sz="0" w:space="0" w:color="auto" w:frame="1"/>
          <w:shd w:val="clear" w:color="auto" w:fill="FAFAFA"/>
        </w:rPr>
        <w:t xml:space="preserve">Geochem. </w:t>
      </w:r>
      <w:proofErr w:type="spellStart"/>
      <w:r w:rsidRPr="00885A2B">
        <w:rPr>
          <w:color w:val="000000" w:themeColor="text1"/>
          <w:bdr w:val="none" w:sz="0" w:space="0" w:color="auto" w:frame="1"/>
          <w:shd w:val="clear" w:color="auto" w:fill="FAFAFA"/>
        </w:rPr>
        <w:t>Persp</w:t>
      </w:r>
      <w:proofErr w:type="spellEnd"/>
      <w:r w:rsidRPr="00885A2B">
        <w:rPr>
          <w:color w:val="000000" w:themeColor="text1"/>
          <w:bdr w:val="none" w:sz="0" w:space="0" w:color="auto" w:frame="1"/>
          <w:shd w:val="clear" w:color="auto" w:fill="FAFAFA"/>
        </w:rPr>
        <w:t>. Let.</w:t>
      </w:r>
      <w:r w:rsidRPr="00885A2B">
        <w:rPr>
          <w:color w:val="000000" w:themeColor="text1"/>
          <w:shd w:val="clear" w:color="auto" w:fill="FAFAFA"/>
        </w:rPr>
        <w:t> 8, p. 31–35.</w:t>
      </w:r>
    </w:p>
    <w:p w14:paraId="27DAEE37" w14:textId="77777777" w:rsidR="006D247F" w:rsidRPr="00885A2B" w:rsidRDefault="006D247F" w:rsidP="006D247F">
      <w:pPr>
        <w:rPr>
          <w:color w:val="000000" w:themeColor="text1"/>
        </w:rPr>
      </w:pPr>
    </w:p>
    <w:p w14:paraId="14F183C8" w14:textId="04F6E66E" w:rsidR="006D247F" w:rsidRPr="00885A2B" w:rsidRDefault="006D247F" w:rsidP="006D247F">
      <w:pPr>
        <w:rPr>
          <w:color w:val="000000" w:themeColor="text1"/>
        </w:rPr>
      </w:pPr>
      <w:r w:rsidRPr="00885A2B">
        <w:rPr>
          <w:color w:val="000000" w:themeColor="text1"/>
          <w:shd w:val="clear" w:color="auto" w:fill="FFFFFF"/>
        </w:rPr>
        <w:t>Krogh, T.E., 1973, A low-contamination method for hydrothermal decomposition of zircon and extraction of U and Pb for isotopic age determinations</w:t>
      </w:r>
      <w:r w:rsidR="00634F3E" w:rsidRPr="00885A2B">
        <w:rPr>
          <w:color w:val="000000" w:themeColor="text1"/>
          <w:shd w:val="clear" w:color="auto" w:fill="FFFFFF"/>
        </w:rPr>
        <w:t>:</w:t>
      </w:r>
      <w:r w:rsidRPr="00885A2B">
        <w:rPr>
          <w:color w:val="000000" w:themeColor="text1"/>
          <w:shd w:val="clear" w:color="auto" w:fill="FFFFFF"/>
        </w:rPr>
        <w:t xml:space="preserve"> </w:t>
      </w:r>
      <w:proofErr w:type="spellStart"/>
      <w:r w:rsidRPr="00885A2B">
        <w:rPr>
          <w:color w:val="000000" w:themeColor="text1"/>
        </w:rPr>
        <w:t>Geochimica</w:t>
      </w:r>
      <w:proofErr w:type="spellEnd"/>
      <w:r w:rsidRPr="00885A2B">
        <w:rPr>
          <w:color w:val="000000" w:themeColor="text1"/>
        </w:rPr>
        <w:t xml:space="preserve"> et </w:t>
      </w:r>
      <w:proofErr w:type="spellStart"/>
      <w:r w:rsidRPr="00885A2B">
        <w:rPr>
          <w:color w:val="000000" w:themeColor="text1"/>
        </w:rPr>
        <w:t>Cosmochimica</w:t>
      </w:r>
      <w:proofErr w:type="spellEnd"/>
      <w:r w:rsidRPr="00885A2B">
        <w:rPr>
          <w:color w:val="000000" w:themeColor="text1"/>
        </w:rPr>
        <w:t xml:space="preserve"> Acta</w:t>
      </w:r>
      <w:r w:rsidRPr="00885A2B">
        <w:rPr>
          <w:color w:val="000000" w:themeColor="text1"/>
          <w:shd w:val="clear" w:color="auto" w:fill="FFFFFF"/>
        </w:rPr>
        <w:t>, </w:t>
      </w:r>
      <w:r w:rsidRPr="00885A2B">
        <w:rPr>
          <w:i/>
          <w:iCs/>
          <w:color w:val="000000" w:themeColor="text1"/>
        </w:rPr>
        <w:t>37</w:t>
      </w:r>
      <w:r w:rsidRPr="00885A2B">
        <w:rPr>
          <w:color w:val="000000" w:themeColor="text1"/>
          <w:shd w:val="clear" w:color="auto" w:fill="FFFFFF"/>
        </w:rPr>
        <w:t>(3), pp.485-494.</w:t>
      </w:r>
    </w:p>
    <w:p w14:paraId="1059544B" w14:textId="77777777" w:rsidR="006D247F" w:rsidRPr="00885A2B" w:rsidRDefault="006D247F" w:rsidP="006D247F">
      <w:pPr>
        <w:rPr>
          <w:color w:val="000000" w:themeColor="text1"/>
        </w:rPr>
      </w:pPr>
    </w:p>
    <w:p w14:paraId="4E038368" w14:textId="77777777" w:rsidR="006D247F" w:rsidRPr="00885A2B" w:rsidRDefault="006D247F" w:rsidP="006D247F">
      <w:pPr>
        <w:rPr>
          <w:color w:val="000000" w:themeColor="text1"/>
          <w:shd w:val="clear" w:color="auto" w:fill="FFFFFF"/>
        </w:rPr>
      </w:pPr>
      <w:proofErr w:type="spellStart"/>
      <w:r w:rsidRPr="00885A2B">
        <w:rPr>
          <w:color w:val="000000" w:themeColor="text1"/>
          <w:shd w:val="clear" w:color="auto" w:fill="FFFFFF"/>
        </w:rPr>
        <w:t>Kylander</w:t>
      </w:r>
      <w:proofErr w:type="spellEnd"/>
      <w:r w:rsidRPr="00885A2B">
        <w:rPr>
          <w:color w:val="000000" w:themeColor="text1"/>
          <w:shd w:val="clear" w:color="auto" w:fill="FFFFFF"/>
        </w:rPr>
        <w:t xml:space="preserve">-Clark, A.R., Hacker, B.R. and Cottle, J.M., 2013, Laser-ablation split-stream ICP </w:t>
      </w:r>
      <w:proofErr w:type="spellStart"/>
      <w:r w:rsidRPr="00885A2B">
        <w:rPr>
          <w:color w:val="000000" w:themeColor="text1"/>
          <w:shd w:val="clear" w:color="auto" w:fill="FFFFFF"/>
        </w:rPr>
        <w:t>petrochronology</w:t>
      </w:r>
      <w:proofErr w:type="spellEnd"/>
      <w:r w:rsidRPr="00885A2B">
        <w:rPr>
          <w:color w:val="000000" w:themeColor="text1"/>
          <w:shd w:val="clear" w:color="auto" w:fill="FFFFFF"/>
        </w:rPr>
        <w:t xml:space="preserve">: </w:t>
      </w:r>
      <w:r w:rsidRPr="00885A2B">
        <w:rPr>
          <w:color w:val="000000" w:themeColor="text1"/>
        </w:rPr>
        <w:t>Chemical Geology</w:t>
      </w:r>
      <w:r w:rsidRPr="00885A2B">
        <w:rPr>
          <w:color w:val="000000" w:themeColor="text1"/>
          <w:shd w:val="clear" w:color="auto" w:fill="FFFFFF"/>
        </w:rPr>
        <w:t>, </w:t>
      </w:r>
      <w:r w:rsidRPr="00885A2B">
        <w:rPr>
          <w:color w:val="000000" w:themeColor="text1"/>
        </w:rPr>
        <w:t>345</w:t>
      </w:r>
      <w:r w:rsidRPr="00885A2B">
        <w:rPr>
          <w:color w:val="000000" w:themeColor="text1"/>
          <w:shd w:val="clear" w:color="auto" w:fill="FFFFFF"/>
        </w:rPr>
        <w:t>, p. 99-112.</w:t>
      </w:r>
    </w:p>
    <w:p w14:paraId="77D51587" w14:textId="5EDBB736" w:rsidR="006D247F" w:rsidRDefault="006D247F" w:rsidP="006D247F">
      <w:pPr>
        <w:rPr>
          <w:color w:val="000000" w:themeColor="text1"/>
          <w:shd w:val="clear" w:color="auto" w:fill="FFFFFF"/>
        </w:rPr>
      </w:pPr>
    </w:p>
    <w:p w14:paraId="4C2DFBD9" w14:textId="77777777" w:rsidR="000C7907" w:rsidRPr="007C1681" w:rsidRDefault="000C7907" w:rsidP="000C7907">
      <w:pPr>
        <w:rPr>
          <w:color w:val="000000"/>
        </w:rPr>
      </w:pPr>
      <w:r w:rsidRPr="007C1681">
        <w:rPr>
          <w:color w:val="000000"/>
          <w:shd w:val="clear" w:color="auto" w:fill="FFFFFF"/>
        </w:rPr>
        <w:t xml:space="preserve">Li, Z., Zhang, Y.G., Torres, </w:t>
      </w:r>
      <w:proofErr w:type="gramStart"/>
      <w:r w:rsidRPr="007C1681">
        <w:rPr>
          <w:color w:val="000000"/>
          <w:shd w:val="clear" w:color="auto" w:fill="FFFFFF"/>
        </w:rPr>
        <w:t>M.</w:t>
      </w:r>
      <w:proofErr w:type="gramEnd"/>
      <w:r w:rsidRPr="007C1681">
        <w:rPr>
          <w:color w:val="000000"/>
          <w:shd w:val="clear" w:color="auto" w:fill="FFFFFF"/>
        </w:rPr>
        <w:t xml:space="preserve"> and Mills, B.J., 2023, Neogene burial of organic carbon in the global ocean: </w:t>
      </w:r>
      <w:r w:rsidRPr="007C1681">
        <w:rPr>
          <w:color w:val="000000"/>
        </w:rPr>
        <w:t>Nature</w:t>
      </w:r>
      <w:r w:rsidRPr="007C1681">
        <w:rPr>
          <w:color w:val="000000"/>
          <w:shd w:val="clear" w:color="auto" w:fill="FFFFFF"/>
        </w:rPr>
        <w:t>,</w:t>
      </w:r>
      <w:r w:rsidRPr="007C1681">
        <w:rPr>
          <w:rStyle w:val="apple-converted-space"/>
          <w:color w:val="000000"/>
          <w:shd w:val="clear" w:color="auto" w:fill="FFFFFF"/>
        </w:rPr>
        <w:t> </w:t>
      </w:r>
      <w:r w:rsidRPr="007C1681">
        <w:rPr>
          <w:color w:val="000000"/>
        </w:rPr>
        <w:t>613</w:t>
      </w:r>
      <w:r w:rsidRPr="007C1681">
        <w:rPr>
          <w:color w:val="000000"/>
          <w:shd w:val="clear" w:color="auto" w:fill="FFFFFF"/>
        </w:rPr>
        <w:t xml:space="preserve">(7942), p.90-95. </w:t>
      </w:r>
      <w:proofErr w:type="spellStart"/>
      <w:proofErr w:type="gramStart"/>
      <w:r w:rsidRPr="007C1681">
        <w:rPr>
          <w:color w:val="000000"/>
          <w:shd w:val="clear" w:color="auto" w:fill="FFFFFF"/>
        </w:rPr>
        <w:t>doi:https</w:t>
      </w:r>
      <w:proofErr w:type="spellEnd"/>
      <w:r w:rsidRPr="007C1681">
        <w:rPr>
          <w:color w:val="000000"/>
          <w:shd w:val="clear" w:color="auto" w:fill="FFFFFF"/>
        </w:rPr>
        <w:t>://doi.org/10.1038/s41586-022-05413-6</w:t>
      </w:r>
      <w:proofErr w:type="gramEnd"/>
    </w:p>
    <w:p w14:paraId="2E108E40" w14:textId="77777777" w:rsidR="000C7907" w:rsidRPr="00885A2B" w:rsidRDefault="000C7907" w:rsidP="006D247F">
      <w:pPr>
        <w:rPr>
          <w:color w:val="000000" w:themeColor="text1"/>
          <w:shd w:val="clear" w:color="auto" w:fill="FFFFFF"/>
        </w:rPr>
      </w:pPr>
    </w:p>
    <w:p w14:paraId="44A7D9B3" w14:textId="77777777" w:rsidR="006D247F" w:rsidRPr="00885A2B" w:rsidRDefault="006D247F" w:rsidP="006D247F">
      <w:pPr>
        <w:rPr>
          <w:color w:val="000000" w:themeColor="text1"/>
          <w:shd w:val="clear" w:color="auto" w:fill="FFFFFF"/>
        </w:rPr>
      </w:pPr>
      <w:proofErr w:type="spellStart"/>
      <w:r w:rsidRPr="00885A2B">
        <w:rPr>
          <w:color w:val="000000" w:themeColor="text1"/>
          <w:shd w:val="clear" w:color="auto" w:fill="FFFFFF"/>
        </w:rPr>
        <w:t>Mattinson</w:t>
      </w:r>
      <w:proofErr w:type="spellEnd"/>
      <w:r w:rsidRPr="00885A2B">
        <w:rPr>
          <w:color w:val="000000" w:themeColor="text1"/>
          <w:shd w:val="clear" w:color="auto" w:fill="FFFFFF"/>
        </w:rPr>
        <w:t xml:space="preserve">, J.M., 2005, Zircon U–Pb chemical abrasion (“CA-TIMS”) method: combined annealing and multi-step partial dissolution analysis for improved precision and accuracy of zircon ages: </w:t>
      </w:r>
      <w:r w:rsidRPr="00885A2B">
        <w:rPr>
          <w:color w:val="000000" w:themeColor="text1"/>
        </w:rPr>
        <w:t>Chemical Geology</w:t>
      </w:r>
      <w:r w:rsidRPr="00885A2B">
        <w:rPr>
          <w:color w:val="000000" w:themeColor="text1"/>
          <w:shd w:val="clear" w:color="auto" w:fill="FFFFFF"/>
        </w:rPr>
        <w:t>, </w:t>
      </w:r>
      <w:r w:rsidRPr="00885A2B">
        <w:rPr>
          <w:color w:val="000000" w:themeColor="text1"/>
        </w:rPr>
        <w:t>220</w:t>
      </w:r>
      <w:r w:rsidRPr="00885A2B">
        <w:rPr>
          <w:color w:val="000000" w:themeColor="text1"/>
          <w:shd w:val="clear" w:color="auto" w:fill="FFFFFF"/>
        </w:rPr>
        <w:t>(1-2), p. 47-66.</w:t>
      </w:r>
    </w:p>
    <w:p w14:paraId="76577307" w14:textId="77777777" w:rsidR="006D247F" w:rsidRPr="00885A2B" w:rsidRDefault="006D247F" w:rsidP="006D247F">
      <w:pPr>
        <w:rPr>
          <w:color w:val="000000" w:themeColor="text1"/>
          <w:shd w:val="clear" w:color="auto" w:fill="FFFFFF"/>
        </w:rPr>
      </w:pPr>
    </w:p>
    <w:p w14:paraId="13E4CCEE" w14:textId="77777777" w:rsidR="006D247F" w:rsidRPr="00885A2B" w:rsidRDefault="006D247F" w:rsidP="006D247F">
      <w:pPr>
        <w:rPr>
          <w:color w:val="000000" w:themeColor="text1"/>
        </w:rPr>
      </w:pPr>
      <w:r w:rsidRPr="00885A2B">
        <w:rPr>
          <w:color w:val="000000" w:themeColor="text1"/>
          <w:shd w:val="clear" w:color="auto" w:fill="FFFFFF"/>
        </w:rPr>
        <w:t xml:space="preserve">McLean, N.M., Bowring, J.F. and Bowring, S.A., 2011, An algorithm for U‐Pb isotope dilution data reduction and uncertainty propagation: </w:t>
      </w:r>
      <w:r w:rsidRPr="00885A2B">
        <w:rPr>
          <w:color w:val="000000" w:themeColor="text1"/>
        </w:rPr>
        <w:t>Geochemistry, Geophysics, Geosystems</w:t>
      </w:r>
      <w:r w:rsidRPr="00885A2B">
        <w:rPr>
          <w:color w:val="000000" w:themeColor="text1"/>
          <w:shd w:val="clear" w:color="auto" w:fill="FFFFFF"/>
        </w:rPr>
        <w:t>, </w:t>
      </w:r>
      <w:r w:rsidRPr="00885A2B">
        <w:rPr>
          <w:color w:val="000000" w:themeColor="text1"/>
        </w:rPr>
        <w:t>12</w:t>
      </w:r>
      <w:r w:rsidRPr="00885A2B">
        <w:rPr>
          <w:color w:val="000000" w:themeColor="text1"/>
          <w:shd w:val="clear" w:color="auto" w:fill="FFFFFF"/>
        </w:rPr>
        <w:t>(6).</w:t>
      </w:r>
    </w:p>
    <w:p w14:paraId="4B9683D4" w14:textId="77777777" w:rsidR="006D247F" w:rsidRPr="00885A2B" w:rsidRDefault="006D247F" w:rsidP="006D247F">
      <w:pPr>
        <w:rPr>
          <w:color w:val="000000" w:themeColor="text1"/>
          <w:shd w:val="clear" w:color="auto" w:fill="FFFFFF"/>
        </w:rPr>
      </w:pPr>
    </w:p>
    <w:p w14:paraId="684C2CC9" w14:textId="77777777" w:rsidR="006D247F" w:rsidRPr="00885A2B" w:rsidRDefault="006D247F" w:rsidP="006D247F">
      <w:pPr>
        <w:rPr>
          <w:color w:val="000000" w:themeColor="text1"/>
          <w:shd w:val="clear" w:color="auto" w:fill="FFFFFF"/>
        </w:rPr>
      </w:pPr>
      <w:r w:rsidRPr="00885A2B">
        <w:rPr>
          <w:color w:val="000000" w:themeColor="text1"/>
          <w:shd w:val="clear" w:color="auto" w:fill="FFFFFF"/>
        </w:rPr>
        <w:t xml:space="preserve">McLean, N.M., Condon, D.J., Schoene, B. and Bowring, S.A., 2015, Evaluating uncertainties in the calibration of isotopic reference materials and multi-element isotopic tracers (EARTHTIME Tracer Calibration Part II): </w:t>
      </w:r>
      <w:proofErr w:type="spellStart"/>
      <w:r w:rsidRPr="00885A2B">
        <w:rPr>
          <w:color w:val="000000" w:themeColor="text1"/>
        </w:rPr>
        <w:t>Geochimica</w:t>
      </w:r>
      <w:proofErr w:type="spellEnd"/>
      <w:r w:rsidRPr="00885A2B">
        <w:rPr>
          <w:color w:val="000000" w:themeColor="text1"/>
        </w:rPr>
        <w:t xml:space="preserve"> et </w:t>
      </w:r>
      <w:proofErr w:type="spellStart"/>
      <w:r w:rsidRPr="00885A2B">
        <w:rPr>
          <w:color w:val="000000" w:themeColor="text1"/>
        </w:rPr>
        <w:t>Cosmochimica</w:t>
      </w:r>
      <w:proofErr w:type="spellEnd"/>
      <w:r w:rsidRPr="00885A2B">
        <w:rPr>
          <w:color w:val="000000" w:themeColor="text1"/>
        </w:rPr>
        <w:t xml:space="preserve"> Acta</w:t>
      </w:r>
      <w:r w:rsidRPr="00885A2B">
        <w:rPr>
          <w:color w:val="000000" w:themeColor="text1"/>
          <w:shd w:val="clear" w:color="auto" w:fill="FFFFFF"/>
        </w:rPr>
        <w:t>, </w:t>
      </w:r>
      <w:r w:rsidRPr="00885A2B">
        <w:rPr>
          <w:color w:val="000000" w:themeColor="text1"/>
        </w:rPr>
        <w:t>164</w:t>
      </w:r>
      <w:r w:rsidRPr="00885A2B">
        <w:rPr>
          <w:color w:val="000000" w:themeColor="text1"/>
          <w:shd w:val="clear" w:color="auto" w:fill="FFFFFF"/>
        </w:rPr>
        <w:t>, p. 481-501.</w:t>
      </w:r>
    </w:p>
    <w:p w14:paraId="4D5F13E1" w14:textId="77777777" w:rsidR="006D247F" w:rsidRPr="00885A2B" w:rsidRDefault="006D247F" w:rsidP="006D247F">
      <w:pPr>
        <w:rPr>
          <w:color w:val="000000" w:themeColor="text1"/>
          <w:shd w:val="clear" w:color="auto" w:fill="FFFFFF"/>
        </w:rPr>
      </w:pPr>
    </w:p>
    <w:p w14:paraId="538A780D" w14:textId="1239BED4" w:rsidR="006D247F" w:rsidRDefault="006D247F" w:rsidP="006D247F">
      <w:pPr>
        <w:rPr>
          <w:color w:val="000000" w:themeColor="text1"/>
          <w:shd w:val="clear" w:color="auto" w:fill="FFFFFF"/>
        </w:rPr>
      </w:pPr>
      <w:r w:rsidRPr="00885A2B">
        <w:rPr>
          <w:color w:val="000000" w:themeColor="text1"/>
          <w:shd w:val="clear" w:color="auto" w:fill="FFFFFF"/>
        </w:rPr>
        <w:t xml:space="preserve">Paton, C., Woodhead, J.D., </w:t>
      </w:r>
      <w:proofErr w:type="spellStart"/>
      <w:r w:rsidRPr="00885A2B">
        <w:rPr>
          <w:color w:val="000000" w:themeColor="text1"/>
          <w:shd w:val="clear" w:color="auto" w:fill="FFFFFF"/>
        </w:rPr>
        <w:t>Hellstrom</w:t>
      </w:r>
      <w:proofErr w:type="spellEnd"/>
      <w:r w:rsidRPr="00885A2B">
        <w:rPr>
          <w:color w:val="000000" w:themeColor="text1"/>
          <w:shd w:val="clear" w:color="auto" w:fill="FFFFFF"/>
        </w:rPr>
        <w:t xml:space="preserve">, J.C., </w:t>
      </w:r>
      <w:proofErr w:type="spellStart"/>
      <w:r w:rsidRPr="00885A2B">
        <w:rPr>
          <w:color w:val="000000" w:themeColor="text1"/>
          <w:shd w:val="clear" w:color="auto" w:fill="FFFFFF"/>
        </w:rPr>
        <w:t>Hergt</w:t>
      </w:r>
      <w:proofErr w:type="spellEnd"/>
      <w:r w:rsidRPr="00885A2B">
        <w:rPr>
          <w:color w:val="000000" w:themeColor="text1"/>
          <w:shd w:val="clear" w:color="auto" w:fill="FFFFFF"/>
        </w:rPr>
        <w:t>, J.M., Greig, A. and Maas, R., 2010, Improved laser ablation U‐Pb zircon geochronology through robust downhole fractionation correction: </w:t>
      </w:r>
      <w:r w:rsidRPr="00885A2B">
        <w:rPr>
          <w:color w:val="000000" w:themeColor="text1"/>
        </w:rPr>
        <w:t>Geochemistry, Geophysics, Geosystems</w:t>
      </w:r>
      <w:r w:rsidRPr="00885A2B">
        <w:rPr>
          <w:color w:val="000000" w:themeColor="text1"/>
          <w:shd w:val="clear" w:color="auto" w:fill="FFFFFF"/>
        </w:rPr>
        <w:t>, </w:t>
      </w:r>
      <w:r w:rsidRPr="00885A2B">
        <w:rPr>
          <w:i/>
          <w:iCs/>
          <w:color w:val="000000" w:themeColor="text1"/>
        </w:rPr>
        <w:t>11</w:t>
      </w:r>
      <w:r w:rsidRPr="00885A2B">
        <w:rPr>
          <w:color w:val="000000" w:themeColor="text1"/>
          <w:shd w:val="clear" w:color="auto" w:fill="FFFFFF"/>
        </w:rPr>
        <w:t>(3).</w:t>
      </w:r>
    </w:p>
    <w:p w14:paraId="4C5A98A4" w14:textId="77777777" w:rsidR="000C7907" w:rsidRPr="00885A2B" w:rsidRDefault="000C7907" w:rsidP="006D247F">
      <w:pPr>
        <w:rPr>
          <w:color w:val="000000" w:themeColor="text1"/>
        </w:rPr>
      </w:pPr>
    </w:p>
    <w:p w14:paraId="29D30BCE" w14:textId="77777777" w:rsidR="000C7907" w:rsidRPr="007C1681" w:rsidRDefault="000C7907" w:rsidP="000C7907">
      <w:pPr>
        <w:rPr>
          <w:color w:val="000000"/>
        </w:rPr>
      </w:pPr>
      <w:r w:rsidRPr="007C1681">
        <w:rPr>
          <w:color w:val="000000"/>
          <w:shd w:val="clear" w:color="auto" w:fill="FFFFFF"/>
        </w:rPr>
        <w:t xml:space="preserve">Schwartz, D.E., 1988, Characterizing the lithology, petrophysical properties, and depositional setting of the </w:t>
      </w:r>
      <w:proofErr w:type="spellStart"/>
      <w:r w:rsidRPr="007C1681">
        <w:rPr>
          <w:color w:val="000000"/>
          <w:shd w:val="clear" w:color="auto" w:fill="FFFFFF"/>
        </w:rPr>
        <w:t>Belridge</w:t>
      </w:r>
      <w:proofErr w:type="spellEnd"/>
      <w:r w:rsidRPr="007C1681">
        <w:rPr>
          <w:color w:val="000000"/>
          <w:shd w:val="clear" w:color="auto" w:fill="FFFFFF"/>
        </w:rPr>
        <w:t xml:space="preserve"> diatomite, South </w:t>
      </w:r>
      <w:proofErr w:type="spellStart"/>
      <w:r w:rsidRPr="007C1681">
        <w:rPr>
          <w:color w:val="000000"/>
          <w:shd w:val="clear" w:color="auto" w:fill="FFFFFF"/>
        </w:rPr>
        <w:t>Belridge</w:t>
      </w:r>
      <w:proofErr w:type="spellEnd"/>
      <w:r w:rsidRPr="007C1681">
        <w:rPr>
          <w:color w:val="000000"/>
          <w:shd w:val="clear" w:color="auto" w:fill="FFFFFF"/>
        </w:rPr>
        <w:t xml:space="preserve"> field, Kern County, California, </w:t>
      </w:r>
      <w:r w:rsidRPr="007C1681">
        <w:rPr>
          <w:i/>
          <w:iCs/>
          <w:color w:val="000000"/>
          <w:shd w:val="clear" w:color="auto" w:fill="FFFFFF"/>
        </w:rPr>
        <w:t>in</w:t>
      </w:r>
      <w:r w:rsidRPr="007C1681">
        <w:rPr>
          <w:color w:val="000000"/>
          <w:shd w:val="clear" w:color="auto" w:fill="FFFFFF"/>
        </w:rPr>
        <w:t xml:space="preserve"> Graham, </w:t>
      </w:r>
      <w:proofErr w:type="spellStart"/>
      <w:r w:rsidRPr="007C1681">
        <w:rPr>
          <w:color w:val="000000"/>
          <w:shd w:val="clear" w:color="auto" w:fill="FFFFFF"/>
        </w:rPr>
        <w:t>Sephan</w:t>
      </w:r>
      <w:proofErr w:type="spellEnd"/>
      <w:r w:rsidRPr="007C1681">
        <w:rPr>
          <w:color w:val="000000"/>
          <w:shd w:val="clear" w:color="auto" w:fill="FFFFFF"/>
        </w:rPr>
        <w:t xml:space="preserve"> A., (ed.), Studies of the Geology of the San Joaquin Basin: Pacific Section SEPM, 60, p. 281-301. </w:t>
      </w:r>
    </w:p>
    <w:p w14:paraId="022C7859" w14:textId="77777777" w:rsidR="006D247F" w:rsidRPr="00885A2B" w:rsidRDefault="006D247F" w:rsidP="006D247F">
      <w:pPr>
        <w:rPr>
          <w:color w:val="000000" w:themeColor="text1"/>
          <w:shd w:val="clear" w:color="auto" w:fill="FFFFFF"/>
        </w:rPr>
      </w:pPr>
    </w:p>
    <w:p w14:paraId="7F1197D7" w14:textId="35A7DE73" w:rsidR="006D247F" w:rsidRPr="00885A2B" w:rsidRDefault="006D247F" w:rsidP="006D247F">
      <w:pPr>
        <w:rPr>
          <w:color w:val="000000" w:themeColor="text1"/>
          <w:shd w:val="clear" w:color="auto" w:fill="FFFFFF"/>
        </w:rPr>
      </w:pPr>
      <w:proofErr w:type="spellStart"/>
      <w:r w:rsidRPr="00885A2B">
        <w:rPr>
          <w:color w:val="000000" w:themeColor="text1"/>
          <w:shd w:val="clear" w:color="auto" w:fill="FFFFFF"/>
        </w:rPr>
        <w:t>Sláma</w:t>
      </w:r>
      <w:proofErr w:type="spellEnd"/>
      <w:r w:rsidRPr="00885A2B">
        <w:rPr>
          <w:color w:val="000000" w:themeColor="text1"/>
          <w:shd w:val="clear" w:color="auto" w:fill="FFFFFF"/>
        </w:rPr>
        <w:t xml:space="preserve">, J., </w:t>
      </w:r>
      <w:proofErr w:type="spellStart"/>
      <w:r w:rsidRPr="00885A2B">
        <w:rPr>
          <w:color w:val="000000" w:themeColor="text1"/>
          <w:shd w:val="clear" w:color="auto" w:fill="FFFFFF"/>
        </w:rPr>
        <w:t>Košler</w:t>
      </w:r>
      <w:proofErr w:type="spellEnd"/>
      <w:r w:rsidRPr="00885A2B">
        <w:rPr>
          <w:color w:val="000000" w:themeColor="text1"/>
          <w:shd w:val="clear" w:color="auto" w:fill="FFFFFF"/>
        </w:rPr>
        <w:t xml:space="preserve">, J., Condon, D.J., Crowley, J.L., Gerdes, A., </w:t>
      </w:r>
      <w:proofErr w:type="spellStart"/>
      <w:r w:rsidRPr="00885A2B">
        <w:rPr>
          <w:color w:val="000000" w:themeColor="text1"/>
          <w:shd w:val="clear" w:color="auto" w:fill="FFFFFF"/>
        </w:rPr>
        <w:t>Hanchar</w:t>
      </w:r>
      <w:proofErr w:type="spellEnd"/>
      <w:r w:rsidRPr="00885A2B">
        <w:rPr>
          <w:color w:val="000000" w:themeColor="text1"/>
          <w:shd w:val="clear" w:color="auto" w:fill="FFFFFF"/>
        </w:rPr>
        <w:t xml:space="preserve">, J.M., </w:t>
      </w:r>
      <w:proofErr w:type="spellStart"/>
      <w:r w:rsidRPr="00885A2B">
        <w:rPr>
          <w:color w:val="000000" w:themeColor="text1"/>
          <w:shd w:val="clear" w:color="auto" w:fill="FFFFFF"/>
        </w:rPr>
        <w:t>Horstwood</w:t>
      </w:r>
      <w:proofErr w:type="spellEnd"/>
      <w:r w:rsidRPr="00885A2B">
        <w:rPr>
          <w:color w:val="000000" w:themeColor="text1"/>
          <w:shd w:val="clear" w:color="auto" w:fill="FFFFFF"/>
        </w:rPr>
        <w:t xml:space="preserve">, M.S., Morris, G.A., </w:t>
      </w:r>
      <w:proofErr w:type="spellStart"/>
      <w:r w:rsidRPr="00885A2B">
        <w:rPr>
          <w:color w:val="000000" w:themeColor="text1"/>
          <w:shd w:val="clear" w:color="auto" w:fill="FFFFFF"/>
        </w:rPr>
        <w:t>Nasdala</w:t>
      </w:r>
      <w:proofErr w:type="spellEnd"/>
      <w:r w:rsidRPr="00885A2B">
        <w:rPr>
          <w:color w:val="000000" w:themeColor="text1"/>
          <w:shd w:val="clear" w:color="auto" w:fill="FFFFFF"/>
        </w:rPr>
        <w:t xml:space="preserve">, L., Norberg, N. and </w:t>
      </w:r>
      <w:proofErr w:type="spellStart"/>
      <w:r w:rsidRPr="00885A2B">
        <w:rPr>
          <w:color w:val="000000" w:themeColor="text1"/>
          <w:shd w:val="clear" w:color="auto" w:fill="FFFFFF"/>
        </w:rPr>
        <w:t>Schaltegger</w:t>
      </w:r>
      <w:proofErr w:type="spellEnd"/>
      <w:r w:rsidRPr="00885A2B">
        <w:rPr>
          <w:color w:val="000000" w:themeColor="text1"/>
          <w:shd w:val="clear" w:color="auto" w:fill="FFFFFF"/>
        </w:rPr>
        <w:t xml:space="preserve">, U., 2008, </w:t>
      </w:r>
      <w:proofErr w:type="spellStart"/>
      <w:r w:rsidRPr="00885A2B">
        <w:rPr>
          <w:color w:val="000000" w:themeColor="text1"/>
          <w:shd w:val="clear" w:color="auto" w:fill="FFFFFF"/>
        </w:rPr>
        <w:t>Plešovice</w:t>
      </w:r>
      <w:proofErr w:type="spellEnd"/>
      <w:r w:rsidRPr="00885A2B">
        <w:rPr>
          <w:color w:val="000000" w:themeColor="text1"/>
          <w:shd w:val="clear" w:color="auto" w:fill="FFFFFF"/>
        </w:rPr>
        <w:t xml:space="preserve"> zircon—a new natural reference material for U–Pb and Hf isotopic microanalysis</w:t>
      </w:r>
      <w:r w:rsidRPr="00885A2B">
        <w:rPr>
          <w:i/>
          <w:iCs/>
          <w:color w:val="000000" w:themeColor="text1"/>
          <w:shd w:val="clear" w:color="auto" w:fill="FFFFFF"/>
        </w:rPr>
        <w:t>: </w:t>
      </w:r>
      <w:r w:rsidRPr="00885A2B">
        <w:rPr>
          <w:color w:val="000000" w:themeColor="text1"/>
        </w:rPr>
        <w:t>Chemical Geology</w:t>
      </w:r>
      <w:r w:rsidRPr="00885A2B">
        <w:rPr>
          <w:color w:val="000000" w:themeColor="text1"/>
          <w:shd w:val="clear" w:color="auto" w:fill="FFFFFF"/>
        </w:rPr>
        <w:t>, </w:t>
      </w:r>
      <w:r w:rsidRPr="00885A2B">
        <w:rPr>
          <w:color w:val="000000" w:themeColor="text1"/>
        </w:rPr>
        <w:t>249</w:t>
      </w:r>
      <w:r w:rsidRPr="00885A2B">
        <w:rPr>
          <w:color w:val="000000" w:themeColor="text1"/>
          <w:shd w:val="clear" w:color="auto" w:fill="FFFFFF"/>
        </w:rPr>
        <w:t>(1-2), p. 1-35.</w:t>
      </w:r>
    </w:p>
    <w:p w14:paraId="60FB0512" w14:textId="77777777" w:rsidR="006D247F" w:rsidRPr="00885A2B" w:rsidRDefault="006D247F" w:rsidP="006D247F">
      <w:pPr>
        <w:rPr>
          <w:color w:val="000000" w:themeColor="text1"/>
          <w:shd w:val="clear" w:color="auto" w:fill="FFFFFF"/>
        </w:rPr>
      </w:pPr>
    </w:p>
    <w:p w14:paraId="18FE7EF3" w14:textId="77777777" w:rsidR="006D247F" w:rsidRPr="00885A2B" w:rsidRDefault="006D247F" w:rsidP="006D247F">
      <w:pPr>
        <w:rPr>
          <w:color w:val="000000" w:themeColor="text1"/>
        </w:rPr>
      </w:pPr>
      <w:proofErr w:type="spellStart"/>
      <w:r w:rsidRPr="00885A2B">
        <w:rPr>
          <w:color w:val="000000" w:themeColor="text1"/>
          <w:shd w:val="clear" w:color="auto" w:fill="FFFFFF"/>
        </w:rPr>
        <w:lastRenderedPageBreak/>
        <w:t>Szymanowski</w:t>
      </w:r>
      <w:proofErr w:type="spellEnd"/>
      <w:r w:rsidRPr="00885A2B">
        <w:rPr>
          <w:color w:val="000000" w:themeColor="text1"/>
          <w:shd w:val="clear" w:color="auto" w:fill="FFFFFF"/>
        </w:rPr>
        <w:t>, D. and Schoene, B., 2020, U–Pb ID-TIMS geochronology using ATONA amplifiers: </w:t>
      </w:r>
      <w:r w:rsidRPr="00885A2B">
        <w:rPr>
          <w:color w:val="000000" w:themeColor="text1"/>
        </w:rPr>
        <w:t>Journal of Analytical Atomic Spectrometry</w:t>
      </w:r>
      <w:r w:rsidRPr="00885A2B">
        <w:rPr>
          <w:color w:val="000000" w:themeColor="text1"/>
          <w:shd w:val="clear" w:color="auto" w:fill="FFFFFF"/>
        </w:rPr>
        <w:t>, </w:t>
      </w:r>
      <w:r w:rsidRPr="00885A2B">
        <w:rPr>
          <w:color w:val="000000" w:themeColor="text1"/>
        </w:rPr>
        <w:t>35</w:t>
      </w:r>
      <w:r w:rsidRPr="00885A2B">
        <w:rPr>
          <w:color w:val="000000" w:themeColor="text1"/>
          <w:shd w:val="clear" w:color="auto" w:fill="FFFFFF"/>
        </w:rPr>
        <w:t>(6), p. 1207-1216.</w:t>
      </w:r>
    </w:p>
    <w:p w14:paraId="7658E9F8" w14:textId="77777777" w:rsidR="006D247F" w:rsidRPr="00885A2B" w:rsidRDefault="006D247F" w:rsidP="006D247F">
      <w:pPr>
        <w:rPr>
          <w:color w:val="000000" w:themeColor="text1"/>
        </w:rPr>
      </w:pPr>
    </w:p>
    <w:p w14:paraId="4C14CA0D" w14:textId="77777777" w:rsidR="006D247F" w:rsidRPr="00885A2B" w:rsidRDefault="006D247F" w:rsidP="006D247F">
      <w:pPr>
        <w:rPr>
          <w:color w:val="000000" w:themeColor="text1"/>
        </w:rPr>
      </w:pPr>
      <w:proofErr w:type="spellStart"/>
      <w:r w:rsidRPr="00885A2B">
        <w:rPr>
          <w:color w:val="000000" w:themeColor="text1"/>
          <w:shd w:val="clear" w:color="auto" w:fill="FFFFFF"/>
        </w:rPr>
        <w:t>Vermeesch</w:t>
      </w:r>
      <w:proofErr w:type="spellEnd"/>
      <w:r w:rsidRPr="00885A2B">
        <w:rPr>
          <w:color w:val="000000" w:themeColor="text1"/>
          <w:shd w:val="clear" w:color="auto" w:fill="FFFFFF"/>
        </w:rPr>
        <w:t xml:space="preserve">, P., 2018, </w:t>
      </w:r>
      <w:proofErr w:type="spellStart"/>
      <w:r w:rsidRPr="00885A2B">
        <w:rPr>
          <w:color w:val="000000" w:themeColor="text1"/>
          <w:shd w:val="clear" w:color="auto" w:fill="FFFFFF"/>
        </w:rPr>
        <w:t>IsoplotR</w:t>
      </w:r>
      <w:proofErr w:type="spellEnd"/>
      <w:r w:rsidRPr="00885A2B">
        <w:rPr>
          <w:color w:val="000000" w:themeColor="text1"/>
          <w:shd w:val="clear" w:color="auto" w:fill="FFFFFF"/>
        </w:rPr>
        <w:t>: A free and open toolbox for geochronology: </w:t>
      </w:r>
      <w:r w:rsidRPr="00885A2B">
        <w:rPr>
          <w:color w:val="000000" w:themeColor="text1"/>
        </w:rPr>
        <w:t>Geoscience Frontiers</w:t>
      </w:r>
      <w:r w:rsidRPr="00885A2B">
        <w:rPr>
          <w:color w:val="000000" w:themeColor="text1"/>
          <w:shd w:val="clear" w:color="auto" w:fill="FFFFFF"/>
        </w:rPr>
        <w:t>, </w:t>
      </w:r>
      <w:r w:rsidRPr="00885A2B">
        <w:rPr>
          <w:color w:val="000000" w:themeColor="text1"/>
        </w:rPr>
        <w:t>9</w:t>
      </w:r>
      <w:r w:rsidRPr="00885A2B">
        <w:rPr>
          <w:color w:val="000000" w:themeColor="text1"/>
          <w:shd w:val="clear" w:color="auto" w:fill="FFFFFF"/>
        </w:rPr>
        <w:t>(5), p. 1479-1493.</w:t>
      </w:r>
    </w:p>
    <w:p w14:paraId="54983168" w14:textId="77777777" w:rsidR="006D247F" w:rsidRPr="00885A2B" w:rsidRDefault="006D247F" w:rsidP="006D247F">
      <w:pPr>
        <w:rPr>
          <w:color w:val="000000" w:themeColor="text1"/>
        </w:rPr>
      </w:pPr>
    </w:p>
    <w:p w14:paraId="6DAC5711" w14:textId="77777777" w:rsidR="006D247F" w:rsidRPr="00885A2B" w:rsidRDefault="006D247F" w:rsidP="006D247F">
      <w:pPr>
        <w:rPr>
          <w:color w:val="000000" w:themeColor="text1"/>
          <w:shd w:val="clear" w:color="auto" w:fill="FFFFFF"/>
        </w:rPr>
      </w:pPr>
      <w:proofErr w:type="spellStart"/>
      <w:r w:rsidRPr="00885A2B">
        <w:rPr>
          <w:color w:val="000000" w:themeColor="text1"/>
          <w:shd w:val="clear" w:color="auto" w:fill="FFFFFF"/>
        </w:rPr>
        <w:t>Wiedenbeck</w:t>
      </w:r>
      <w:proofErr w:type="spellEnd"/>
      <w:r w:rsidRPr="00885A2B">
        <w:rPr>
          <w:color w:val="000000" w:themeColor="text1"/>
          <w:shd w:val="clear" w:color="auto" w:fill="FFFFFF"/>
        </w:rPr>
        <w:t xml:space="preserve">, M.A.P.C., Alle, P., Corfu, F.Y., Griffin, W.L., Meier, M., </w:t>
      </w:r>
      <w:proofErr w:type="spellStart"/>
      <w:r w:rsidRPr="00885A2B">
        <w:rPr>
          <w:color w:val="000000" w:themeColor="text1"/>
          <w:shd w:val="clear" w:color="auto" w:fill="FFFFFF"/>
        </w:rPr>
        <w:t>Oberli</w:t>
      </w:r>
      <w:proofErr w:type="spellEnd"/>
      <w:r w:rsidRPr="00885A2B">
        <w:rPr>
          <w:color w:val="000000" w:themeColor="text1"/>
          <w:shd w:val="clear" w:color="auto" w:fill="FFFFFF"/>
        </w:rPr>
        <w:t xml:space="preserve">, F.V., </w:t>
      </w:r>
      <w:proofErr w:type="spellStart"/>
      <w:r w:rsidRPr="00885A2B">
        <w:rPr>
          <w:color w:val="000000" w:themeColor="text1"/>
          <w:shd w:val="clear" w:color="auto" w:fill="FFFFFF"/>
        </w:rPr>
        <w:t>Quadt</w:t>
      </w:r>
      <w:proofErr w:type="spellEnd"/>
      <w:r w:rsidRPr="00885A2B">
        <w:rPr>
          <w:color w:val="000000" w:themeColor="text1"/>
          <w:shd w:val="clear" w:color="auto" w:fill="FFFFFF"/>
        </w:rPr>
        <w:t>, A.V., Roddick, J.C. and Spiegel, W., 1995, Three natural zircon standards for U‐Th‐Pb, Lu‐Hf, trace element and REE analyses: </w:t>
      </w:r>
      <w:proofErr w:type="spellStart"/>
      <w:r w:rsidRPr="00885A2B">
        <w:rPr>
          <w:color w:val="000000" w:themeColor="text1"/>
        </w:rPr>
        <w:t>Geostandards</w:t>
      </w:r>
      <w:proofErr w:type="spellEnd"/>
      <w:r w:rsidRPr="00885A2B">
        <w:rPr>
          <w:color w:val="000000" w:themeColor="text1"/>
        </w:rPr>
        <w:t xml:space="preserve"> newsletter</w:t>
      </w:r>
      <w:r w:rsidRPr="00885A2B">
        <w:rPr>
          <w:color w:val="000000" w:themeColor="text1"/>
          <w:shd w:val="clear" w:color="auto" w:fill="FFFFFF"/>
        </w:rPr>
        <w:t>, </w:t>
      </w:r>
      <w:r w:rsidRPr="00885A2B">
        <w:rPr>
          <w:color w:val="000000" w:themeColor="text1"/>
        </w:rPr>
        <w:t>19</w:t>
      </w:r>
      <w:r w:rsidRPr="00885A2B">
        <w:rPr>
          <w:color w:val="000000" w:themeColor="text1"/>
          <w:shd w:val="clear" w:color="auto" w:fill="FFFFFF"/>
        </w:rPr>
        <w:t>(1), p. 1-23.</w:t>
      </w:r>
    </w:p>
    <w:p w14:paraId="079523C9" w14:textId="77777777" w:rsidR="006D247F" w:rsidRPr="00885A2B" w:rsidRDefault="006D247F" w:rsidP="006D247F">
      <w:pPr>
        <w:rPr>
          <w:color w:val="000000" w:themeColor="text1"/>
          <w:shd w:val="clear" w:color="auto" w:fill="FFFFFF"/>
        </w:rPr>
      </w:pPr>
    </w:p>
    <w:p w14:paraId="7F8A8C30" w14:textId="77777777" w:rsidR="006D247F" w:rsidRPr="00885A2B" w:rsidRDefault="006D247F" w:rsidP="006D247F">
      <w:pPr>
        <w:rPr>
          <w:color w:val="000000" w:themeColor="text1"/>
          <w:shd w:val="clear" w:color="auto" w:fill="FFFFFF"/>
        </w:rPr>
      </w:pPr>
      <w:r w:rsidRPr="00885A2B">
        <w:rPr>
          <w:color w:val="000000" w:themeColor="text1"/>
          <w:shd w:val="clear" w:color="auto" w:fill="FFFFFF"/>
        </w:rPr>
        <w:t xml:space="preserve">Wendt, I. and Carl, C., 1991, The statistical distribution of the mean squared weighted deviation: </w:t>
      </w:r>
      <w:r w:rsidRPr="00885A2B">
        <w:rPr>
          <w:color w:val="000000" w:themeColor="text1"/>
        </w:rPr>
        <w:t>Chemical Geology: Isotope Geoscience Section</w:t>
      </w:r>
      <w:r w:rsidRPr="00885A2B">
        <w:rPr>
          <w:color w:val="000000" w:themeColor="text1"/>
          <w:shd w:val="clear" w:color="auto" w:fill="FFFFFF"/>
        </w:rPr>
        <w:t>, </w:t>
      </w:r>
      <w:r w:rsidRPr="00885A2B">
        <w:rPr>
          <w:color w:val="000000" w:themeColor="text1"/>
        </w:rPr>
        <w:t>86</w:t>
      </w:r>
      <w:r w:rsidRPr="00885A2B">
        <w:rPr>
          <w:color w:val="000000" w:themeColor="text1"/>
          <w:shd w:val="clear" w:color="auto" w:fill="FFFFFF"/>
        </w:rPr>
        <w:t>(4), p. 275-285.</w:t>
      </w:r>
    </w:p>
    <w:p w14:paraId="01311A28" w14:textId="77777777" w:rsidR="006D247F" w:rsidRPr="00885A2B" w:rsidRDefault="006D247F" w:rsidP="006D247F">
      <w:pPr>
        <w:rPr>
          <w:color w:val="000000" w:themeColor="text1"/>
          <w:shd w:val="clear" w:color="auto" w:fill="FFFFFF"/>
        </w:rPr>
      </w:pPr>
    </w:p>
    <w:p w14:paraId="53C528CD" w14:textId="26D432A6" w:rsidR="006D247F" w:rsidRPr="000715C4" w:rsidRDefault="006D247F" w:rsidP="006D247F">
      <w:pPr>
        <w:rPr>
          <w:color w:val="000000" w:themeColor="text1"/>
        </w:rPr>
      </w:pPr>
      <w:r w:rsidRPr="000715C4">
        <w:rPr>
          <w:color w:val="000000" w:themeColor="text1"/>
          <w:shd w:val="clear" w:color="auto" w:fill="FFFFFF"/>
        </w:rPr>
        <w:t>Wilson, S.A., Potts, P.J. and Webb, P.C., 2021</w:t>
      </w:r>
      <w:r w:rsidR="00634F3E" w:rsidRPr="00885A2B">
        <w:rPr>
          <w:color w:val="000000" w:themeColor="text1"/>
          <w:shd w:val="clear" w:color="auto" w:fill="FFFFFF"/>
        </w:rPr>
        <w:t>,</w:t>
      </w:r>
      <w:r w:rsidRPr="000715C4">
        <w:rPr>
          <w:color w:val="000000" w:themeColor="text1"/>
          <w:shd w:val="clear" w:color="auto" w:fill="FFFFFF"/>
        </w:rPr>
        <w:t xml:space="preserve"> Three New Geochemical Reference Materials for Mineral Exploration and Environmental Contamination Studies: SdAR‐L2, SdAR‐M2 and SdAR‐H1</w:t>
      </w:r>
      <w:r w:rsidR="00634F3E" w:rsidRPr="00885A2B">
        <w:rPr>
          <w:color w:val="000000" w:themeColor="text1"/>
          <w:shd w:val="clear" w:color="auto" w:fill="FFFFFF"/>
        </w:rPr>
        <w:t>:</w:t>
      </w:r>
      <w:r w:rsidRPr="000715C4">
        <w:rPr>
          <w:color w:val="000000" w:themeColor="text1"/>
          <w:shd w:val="clear" w:color="auto" w:fill="FFFFFF"/>
        </w:rPr>
        <w:t> </w:t>
      </w:r>
      <w:proofErr w:type="spellStart"/>
      <w:r w:rsidRPr="000715C4">
        <w:rPr>
          <w:color w:val="000000" w:themeColor="text1"/>
        </w:rPr>
        <w:t>Geostandards</w:t>
      </w:r>
      <w:proofErr w:type="spellEnd"/>
      <w:r w:rsidRPr="000715C4">
        <w:rPr>
          <w:color w:val="000000" w:themeColor="text1"/>
        </w:rPr>
        <w:t xml:space="preserve"> and </w:t>
      </w:r>
      <w:proofErr w:type="spellStart"/>
      <w:r w:rsidRPr="000715C4">
        <w:rPr>
          <w:color w:val="000000" w:themeColor="text1"/>
        </w:rPr>
        <w:t>Geoanalytical</w:t>
      </w:r>
      <w:proofErr w:type="spellEnd"/>
      <w:r w:rsidRPr="000715C4">
        <w:rPr>
          <w:color w:val="000000" w:themeColor="text1"/>
        </w:rPr>
        <w:t xml:space="preserve"> Research</w:t>
      </w:r>
      <w:r w:rsidRPr="000715C4">
        <w:rPr>
          <w:color w:val="000000" w:themeColor="text1"/>
          <w:shd w:val="clear" w:color="auto" w:fill="FFFFFF"/>
        </w:rPr>
        <w:t>, </w:t>
      </w:r>
      <w:r w:rsidRPr="000715C4">
        <w:rPr>
          <w:color w:val="000000" w:themeColor="text1"/>
        </w:rPr>
        <w:t>45</w:t>
      </w:r>
      <w:r w:rsidRPr="000715C4">
        <w:rPr>
          <w:color w:val="000000" w:themeColor="text1"/>
          <w:shd w:val="clear" w:color="auto" w:fill="FFFFFF"/>
        </w:rPr>
        <w:t>(2), p.</w:t>
      </w:r>
      <w:r w:rsidR="00634F3E" w:rsidRPr="00885A2B">
        <w:rPr>
          <w:color w:val="000000" w:themeColor="text1"/>
          <w:shd w:val="clear" w:color="auto" w:fill="FFFFFF"/>
        </w:rPr>
        <w:t xml:space="preserve"> </w:t>
      </w:r>
      <w:r w:rsidRPr="000715C4">
        <w:rPr>
          <w:color w:val="000000" w:themeColor="text1"/>
          <w:shd w:val="clear" w:color="auto" w:fill="FFFFFF"/>
        </w:rPr>
        <w:t>359-367.</w:t>
      </w:r>
    </w:p>
    <w:p w14:paraId="0A9F07DD" w14:textId="179A58D5" w:rsidR="006D247F" w:rsidRPr="00885A2B" w:rsidRDefault="006D247F" w:rsidP="009E27F8">
      <w:pPr>
        <w:rPr>
          <w:b/>
          <w:bCs/>
        </w:rPr>
      </w:pPr>
    </w:p>
    <w:p w14:paraId="174EA338" w14:textId="3ED86BE4" w:rsidR="006D247F" w:rsidRPr="00885A2B" w:rsidRDefault="006D247F" w:rsidP="009E27F8">
      <w:pPr>
        <w:rPr>
          <w:b/>
          <w:bCs/>
        </w:rPr>
      </w:pPr>
    </w:p>
    <w:p w14:paraId="0FAFEDC9" w14:textId="6B41F755" w:rsidR="006D247F" w:rsidRPr="00885A2B" w:rsidRDefault="006D247F" w:rsidP="009E27F8">
      <w:pPr>
        <w:rPr>
          <w:b/>
          <w:bCs/>
        </w:rPr>
      </w:pPr>
    </w:p>
    <w:p w14:paraId="5CBA6460" w14:textId="3D730F90" w:rsidR="006D247F" w:rsidRPr="00885A2B" w:rsidRDefault="006D247F" w:rsidP="006D247F">
      <w:pPr>
        <w:jc w:val="center"/>
        <w:rPr>
          <w:b/>
          <w:bCs/>
        </w:rPr>
      </w:pPr>
      <w:r w:rsidRPr="00885A2B">
        <w:rPr>
          <w:b/>
          <w:bCs/>
        </w:rPr>
        <w:t>* * *</w:t>
      </w:r>
      <w:r w:rsidRPr="00885A2B">
        <w:rPr>
          <w:b/>
          <w:bCs/>
        </w:rPr>
        <w:br/>
      </w:r>
      <w:r w:rsidRPr="00885A2B">
        <w:rPr>
          <w:b/>
          <w:bCs/>
        </w:rPr>
        <w:br/>
      </w:r>
    </w:p>
    <w:p w14:paraId="5C51B9E9" w14:textId="77777777" w:rsidR="000E15BD" w:rsidRPr="00885A2B" w:rsidRDefault="000E15BD" w:rsidP="009E27F8">
      <w:pPr>
        <w:rPr>
          <w:b/>
          <w:bCs/>
        </w:rPr>
      </w:pPr>
    </w:p>
    <w:p w14:paraId="5C063A2D" w14:textId="004D98AE" w:rsidR="008B4439" w:rsidRPr="0008321A" w:rsidRDefault="008B4439" w:rsidP="0008321A">
      <w:pPr>
        <w:rPr>
          <w:b/>
          <w:bCs/>
        </w:rPr>
      </w:pPr>
      <w:r w:rsidRPr="0008321A">
        <w:rPr>
          <w:b/>
          <w:bCs/>
        </w:rPr>
        <w:t>SUPPLEMENTARY MATERIAL</w:t>
      </w:r>
      <w:r w:rsidR="00AF699A" w:rsidRPr="0008321A">
        <w:rPr>
          <w:b/>
          <w:bCs/>
        </w:rPr>
        <w:t xml:space="preserve"> TABLE AND </w:t>
      </w:r>
      <w:r w:rsidRPr="0008321A">
        <w:rPr>
          <w:b/>
          <w:bCs/>
        </w:rPr>
        <w:t>FIGURE CAPTIONS</w:t>
      </w:r>
    </w:p>
    <w:p w14:paraId="32F0636A" w14:textId="4B22B7D8" w:rsidR="008B4439" w:rsidRPr="00885A2B" w:rsidRDefault="008B4439" w:rsidP="009E27F8">
      <w:pPr>
        <w:rPr>
          <w:b/>
          <w:bCs/>
        </w:rPr>
      </w:pPr>
    </w:p>
    <w:p w14:paraId="57EEEFA5" w14:textId="22DA52EA" w:rsidR="008B4439" w:rsidRPr="00885A2B" w:rsidRDefault="008B4439" w:rsidP="009E27F8">
      <w:r w:rsidRPr="00885A2B">
        <w:rPr>
          <w:b/>
          <w:bCs/>
        </w:rPr>
        <w:t xml:space="preserve">Table SM1. </w:t>
      </w:r>
      <w:r w:rsidRPr="00885A2B">
        <w:t xml:space="preserve">Compilation of bentonite samples dated with U-Pb geochronology. Sample locations, reference sections, and stratigraphic heights are included, along with calculated weighted mean LA-ICPMS ages, TIMS weighted mean ages, and modeled Bayesian eruptive ages utilizing a variety of prior crystallization distributions. Ages used in the age-height model are in bold text. </w:t>
      </w:r>
    </w:p>
    <w:p w14:paraId="2CABA470" w14:textId="4FD036D3" w:rsidR="008B4439" w:rsidRPr="00885A2B" w:rsidRDefault="008B4439" w:rsidP="009E27F8"/>
    <w:p w14:paraId="01D42A34" w14:textId="15278659" w:rsidR="008B4439" w:rsidRPr="00885A2B" w:rsidRDefault="008B4439" w:rsidP="009E27F8">
      <w:r w:rsidRPr="00885A2B">
        <w:rPr>
          <w:b/>
          <w:bCs/>
        </w:rPr>
        <w:t xml:space="preserve">Table SM2. </w:t>
      </w:r>
      <w:r w:rsidRPr="00885A2B">
        <w:t xml:space="preserve">Compiled LA-ICPMS U-Pb data. Analyses used to calculate weighted mean ages are in bold text, while </w:t>
      </w:r>
      <w:r w:rsidR="006D20A1" w:rsidRPr="00885A2B">
        <w:t xml:space="preserve">analyses </w:t>
      </w:r>
      <w:r w:rsidRPr="00885A2B">
        <w:t xml:space="preserve">interpreted as detrital or inherited are italicized. </w:t>
      </w:r>
    </w:p>
    <w:p w14:paraId="2AEB7CBB" w14:textId="271CD73E" w:rsidR="008B4439" w:rsidRPr="00885A2B" w:rsidRDefault="008B4439" w:rsidP="009E27F8"/>
    <w:p w14:paraId="187A400A" w14:textId="65C3E762" w:rsidR="008B4439" w:rsidRPr="00885A2B" w:rsidRDefault="008B4439" w:rsidP="009E27F8">
      <w:r w:rsidRPr="00885A2B">
        <w:rPr>
          <w:b/>
          <w:bCs/>
        </w:rPr>
        <w:t xml:space="preserve">Table SM3. </w:t>
      </w:r>
      <w:r w:rsidRPr="00885A2B">
        <w:t>Compiled CA-ID-TIMS U-Pb data. Analyses used to calculate weighted mean and modeled eruptive ages are in bold text.</w:t>
      </w:r>
    </w:p>
    <w:p w14:paraId="27908646" w14:textId="6E7C05F1" w:rsidR="008B4439" w:rsidRPr="00885A2B" w:rsidRDefault="008B4439" w:rsidP="009E27F8"/>
    <w:p w14:paraId="26FCD894" w14:textId="2CFE9302" w:rsidR="008B4439" w:rsidRPr="00885A2B" w:rsidRDefault="008B4439" w:rsidP="009E27F8">
      <w:r w:rsidRPr="00885A2B">
        <w:rPr>
          <w:b/>
          <w:bCs/>
        </w:rPr>
        <w:t xml:space="preserve">Table SM4. </w:t>
      </w:r>
      <w:r w:rsidRPr="00885A2B">
        <w:t>Compiled total organic carbon</w:t>
      </w:r>
      <w:r w:rsidR="00975B0B">
        <w:t xml:space="preserve"> and </w:t>
      </w:r>
      <w:r w:rsidR="00975B0B" w:rsidRPr="008D01C0">
        <w:rPr>
          <w:color w:val="1E1E21"/>
          <w:vertAlign w:val="superscript"/>
        </w:rPr>
        <w:t>13</w:t>
      </w:r>
      <w:r w:rsidR="00975B0B" w:rsidRPr="008D01C0">
        <w:t>C</w:t>
      </w:r>
      <w:r w:rsidR="00975B0B" w:rsidRPr="00B31131">
        <w:rPr>
          <w:vertAlign w:val="subscript"/>
        </w:rPr>
        <w:t>org</w:t>
      </w:r>
      <w:r w:rsidR="00975B0B">
        <w:t xml:space="preserve"> </w:t>
      </w:r>
      <w:r w:rsidRPr="00885A2B">
        <w:t>from El Capitan</w:t>
      </w:r>
      <w:r w:rsidR="00150D38" w:rsidRPr="00885A2B">
        <w:t xml:space="preserve"> shales</w:t>
      </w:r>
      <w:r w:rsidRPr="00885A2B">
        <w:t xml:space="preserve">. </w:t>
      </w:r>
    </w:p>
    <w:p w14:paraId="00B6184C" w14:textId="64CEC4AB" w:rsidR="00150D38" w:rsidRPr="00885A2B" w:rsidRDefault="00150D38" w:rsidP="009E27F8"/>
    <w:p w14:paraId="6B5BC2A4" w14:textId="663CF9A0" w:rsidR="00150D38" w:rsidRPr="00885A2B" w:rsidRDefault="00150D38" w:rsidP="009E27F8">
      <w:r w:rsidRPr="00885A2B">
        <w:rPr>
          <w:b/>
          <w:bCs/>
        </w:rPr>
        <w:t xml:space="preserve">Table SM5. </w:t>
      </w:r>
      <w:r w:rsidRPr="00885A2B">
        <w:t xml:space="preserve">Compiled XRF data (Al, Ca, Si, and </w:t>
      </w:r>
      <w:proofErr w:type="spellStart"/>
      <w:r w:rsidRPr="00885A2B">
        <w:t>Ti</w:t>
      </w:r>
      <w:proofErr w:type="spellEnd"/>
      <w:r w:rsidRPr="00885A2B">
        <w:t xml:space="preserve"> abundances) from El Capitan shales. </w:t>
      </w:r>
    </w:p>
    <w:p w14:paraId="29125C8C" w14:textId="407522CD" w:rsidR="008B4439" w:rsidRPr="00885A2B" w:rsidRDefault="008B4439" w:rsidP="009E27F8"/>
    <w:p w14:paraId="43E0499E" w14:textId="73F2CFE1" w:rsidR="00BF6B66" w:rsidRPr="00885A2B" w:rsidRDefault="008B4439" w:rsidP="009E27F8">
      <w:pPr>
        <w:rPr>
          <w:color w:val="202122"/>
          <w:shd w:val="clear" w:color="auto" w:fill="FFFFFF"/>
        </w:rPr>
      </w:pPr>
      <w:r w:rsidRPr="00885A2B">
        <w:rPr>
          <w:b/>
          <w:bCs/>
        </w:rPr>
        <w:t>Figur</w:t>
      </w:r>
      <w:r w:rsidR="00340634" w:rsidRPr="00885A2B">
        <w:rPr>
          <w:b/>
          <w:bCs/>
        </w:rPr>
        <w:t>e</w:t>
      </w:r>
      <w:r w:rsidRPr="00885A2B">
        <w:rPr>
          <w:b/>
          <w:bCs/>
        </w:rPr>
        <w:t xml:space="preserve"> SM1. </w:t>
      </w:r>
      <w:r w:rsidR="00BF6B66" w:rsidRPr="00885A2B">
        <w:rPr>
          <w:color w:val="202122"/>
          <w:shd w:val="clear" w:color="auto" w:fill="FFFFFF"/>
        </w:rPr>
        <w:t xml:space="preserve">Visualization (ranked-age and </w:t>
      </w:r>
      <w:proofErr w:type="spellStart"/>
      <w:r w:rsidR="00BF6B66" w:rsidRPr="00885A2B">
        <w:rPr>
          <w:color w:val="202122"/>
          <w:shd w:val="clear" w:color="auto" w:fill="FFFFFF"/>
        </w:rPr>
        <w:t>concordia</w:t>
      </w:r>
      <w:proofErr w:type="spellEnd"/>
      <w:r w:rsidR="00BF6B66" w:rsidRPr="00885A2B">
        <w:rPr>
          <w:color w:val="202122"/>
          <w:shd w:val="clear" w:color="auto" w:fill="FFFFFF"/>
        </w:rPr>
        <w:t xml:space="preserve"> diagrams) of geochronological analyses used to generate ages for the following samples</w:t>
      </w:r>
      <w:r w:rsidR="00D93CDC" w:rsidRPr="00885A2B">
        <w:rPr>
          <w:color w:val="202122"/>
          <w:shd w:val="clear" w:color="auto" w:fill="FFFFFF"/>
        </w:rPr>
        <w:t xml:space="preserve"> from El Capitan</w:t>
      </w:r>
      <w:r w:rsidR="00BF6B66" w:rsidRPr="00885A2B">
        <w:rPr>
          <w:color w:val="202122"/>
          <w:shd w:val="clear" w:color="auto" w:fill="FFFFFF"/>
        </w:rPr>
        <w:t>: A) EAGC2010 (LA-ICPMS and TIMS), B) EAGC2011 (LA-ICPMS and TIMS), C) EAGC2012 (LA-ICPMS and TIMS), D)</w:t>
      </w:r>
      <w:r w:rsidR="00B46968" w:rsidRPr="00885A2B">
        <w:rPr>
          <w:color w:val="202122"/>
          <w:shd w:val="clear" w:color="auto" w:fill="FFFFFF"/>
        </w:rPr>
        <w:t xml:space="preserve"> EAGC2001 (LA-ICPMS), </w:t>
      </w:r>
      <w:r w:rsidR="00BF6B66" w:rsidRPr="00885A2B">
        <w:rPr>
          <w:color w:val="202122"/>
          <w:shd w:val="clear" w:color="auto" w:fill="FFFFFF"/>
        </w:rPr>
        <w:t xml:space="preserve"> E)</w:t>
      </w:r>
      <w:r w:rsidR="00B46968" w:rsidRPr="00885A2B">
        <w:rPr>
          <w:color w:val="202122"/>
          <w:shd w:val="clear" w:color="auto" w:fill="FFFFFF"/>
        </w:rPr>
        <w:t xml:space="preserve"> EAGC2002 (LA-ICPMS), </w:t>
      </w:r>
      <w:r w:rsidR="00BF6B66" w:rsidRPr="00885A2B">
        <w:rPr>
          <w:color w:val="202122"/>
          <w:shd w:val="clear" w:color="auto" w:fill="FFFFFF"/>
        </w:rPr>
        <w:t xml:space="preserve"> F) </w:t>
      </w:r>
      <w:r w:rsidR="00B46968" w:rsidRPr="00885A2B">
        <w:rPr>
          <w:color w:val="202122"/>
          <w:shd w:val="clear" w:color="auto" w:fill="FFFFFF"/>
        </w:rPr>
        <w:t xml:space="preserve">EAGC2003 (LA-ICPMS and TIMS MDA), </w:t>
      </w:r>
      <w:r w:rsidR="00BF6B66" w:rsidRPr="00885A2B">
        <w:rPr>
          <w:color w:val="202122"/>
          <w:shd w:val="clear" w:color="auto" w:fill="FFFFFF"/>
        </w:rPr>
        <w:t>G)</w:t>
      </w:r>
      <w:r w:rsidR="00B46968" w:rsidRPr="00885A2B">
        <w:rPr>
          <w:color w:val="202122"/>
          <w:shd w:val="clear" w:color="auto" w:fill="FFFFFF"/>
        </w:rPr>
        <w:t xml:space="preserve"> EAGC2006 (LA-ICPMS and TIMS),</w:t>
      </w:r>
      <w:r w:rsidR="00BF6B66" w:rsidRPr="00885A2B">
        <w:rPr>
          <w:color w:val="202122"/>
          <w:shd w:val="clear" w:color="auto" w:fill="FFFFFF"/>
        </w:rPr>
        <w:t xml:space="preserve"> H</w:t>
      </w:r>
      <w:r w:rsidR="00B46968" w:rsidRPr="00885A2B">
        <w:rPr>
          <w:color w:val="202122"/>
          <w:shd w:val="clear" w:color="auto" w:fill="FFFFFF"/>
        </w:rPr>
        <w:t xml:space="preserve">) EAGC2008 (LA-ICPMS and TIMS), </w:t>
      </w:r>
      <w:r w:rsidR="00D93CDC" w:rsidRPr="00885A2B">
        <w:rPr>
          <w:color w:val="000000" w:themeColor="text1"/>
          <w:shd w:val="clear" w:color="auto" w:fill="FFFFFF"/>
        </w:rPr>
        <w:t>I)</w:t>
      </w:r>
      <w:r w:rsidR="00D93CDC" w:rsidRPr="00885A2B">
        <w:rPr>
          <w:b/>
          <w:bCs/>
          <w:color w:val="000000" w:themeColor="text1"/>
          <w:shd w:val="clear" w:color="auto" w:fill="FFFFFF"/>
        </w:rPr>
        <w:t xml:space="preserve"> </w:t>
      </w:r>
      <w:r w:rsidR="00B46968" w:rsidRPr="00885A2B">
        <w:rPr>
          <w:color w:val="202122"/>
          <w:shd w:val="clear" w:color="auto" w:fill="FFFFFF"/>
        </w:rPr>
        <w:lastRenderedPageBreak/>
        <w:t xml:space="preserve">F1917-33.7 (TIMS),  J) F1917-13.4 (LA-ICPMS and TIMS MDA), K) </w:t>
      </w:r>
      <w:r w:rsidR="00D93CDC" w:rsidRPr="00885A2B">
        <w:rPr>
          <w:color w:val="000000" w:themeColor="text1"/>
          <w:shd w:val="clear" w:color="auto" w:fill="FFFFFF"/>
        </w:rPr>
        <w:t xml:space="preserve">F1917-8.2 (LA-ICPMS and TIMS), </w:t>
      </w:r>
      <w:r w:rsidR="00B46968" w:rsidRPr="00885A2B">
        <w:rPr>
          <w:color w:val="000000" w:themeColor="text1"/>
          <w:shd w:val="clear" w:color="auto" w:fill="FFFFFF"/>
        </w:rPr>
        <w:t>L</w:t>
      </w:r>
      <w:r w:rsidR="00D93CDC" w:rsidRPr="00885A2B">
        <w:rPr>
          <w:color w:val="000000" w:themeColor="text1"/>
          <w:shd w:val="clear" w:color="auto" w:fill="FFFFFF"/>
        </w:rPr>
        <w:t>)</w:t>
      </w:r>
      <w:r w:rsidR="00DF5976" w:rsidRPr="00885A2B">
        <w:rPr>
          <w:color w:val="000000" w:themeColor="text1"/>
          <w:shd w:val="clear" w:color="auto" w:fill="FFFFFF"/>
        </w:rPr>
        <w:t xml:space="preserve"> </w:t>
      </w:r>
      <w:r w:rsidR="00D93CDC" w:rsidRPr="00885A2B">
        <w:rPr>
          <w:color w:val="000000" w:themeColor="text1"/>
          <w:shd w:val="clear" w:color="auto" w:fill="FFFFFF"/>
        </w:rPr>
        <w:t xml:space="preserve">F1917-0.7 (LA-ICPMS and TIMS), </w:t>
      </w:r>
      <w:r w:rsidR="00B46968" w:rsidRPr="00885A2B">
        <w:rPr>
          <w:color w:val="202122"/>
          <w:shd w:val="clear" w:color="auto" w:fill="FFFFFF"/>
        </w:rPr>
        <w:t>M</w:t>
      </w:r>
      <w:r w:rsidR="00D93CDC" w:rsidRPr="00885A2B">
        <w:rPr>
          <w:color w:val="202122"/>
          <w:shd w:val="clear" w:color="auto" w:fill="FFFFFF"/>
        </w:rPr>
        <w:t>) M1801-0.73 (LA-ICPMS)</w:t>
      </w:r>
      <w:r w:rsidR="00B46968" w:rsidRPr="00885A2B">
        <w:rPr>
          <w:color w:val="202122"/>
          <w:shd w:val="clear" w:color="auto" w:fill="FFFFFF"/>
        </w:rPr>
        <w:t xml:space="preserve">, N) EAGC2009 (LA-ICPMS MDA). </w:t>
      </w:r>
    </w:p>
    <w:p w14:paraId="42DF5B62" w14:textId="23FA379B" w:rsidR="007B198D" w:rsidRPr="00885A2B" w:rsidRDefault="007B198D" w:rsidP="009E27F8">
      <w:pPr>
        <w:rPr>
          <w:b/>
          <w:bCs/>
          <w:color w:val="202122"/>
          <w:shd w:val="clear" w:color="auto" w:fill="FFFFFF"/>
        </w:rPr>
      </w:pPr>
    </w:p>
    <w:p w14:paraId="346EB067" w14:textId="77777777" w:rsidR="00340634" w:rsidRPr="00885A2B" w:rsidRDefault="00340634" w:rsidP="009E27F8">
      <w:pPr>
        <w:rPr>
          <w:color w:val="202122"/>
          <w:sz w:val="16"/>
          <w:szCs w:val="16"/>
          <w:shd w:val="clear" w:color="auto" w:fill="FFFFFF"/>
        </w:rPr>
      </w:pPr>
    </w:p>
    <w:p w14:paraId="6AA4A5E8" w14:textId="532032D4" w:rsidR="009E27F8" w:rsidRPr="00885A2B" w:rsidRDefault="00D93CDC" w:rsidP="005D0D4B">
      <w:pPr>
        <w:rPr>
          <w:b/>
          <w:bCs/>
        </w:rPr>
      </w:pPr>
      <w:r w:rsidRPr="00885A2B">
        <w:rPr>
          <w:b/>
          <w:bCs/>
          <w:color w:val="202122"/>
          <w:shd w:val="clear" w:color="auto" w:fill="FFFFFF"/>
        </w:rPr>
        <w:t>Figure SM</w:t>
      </w:r>
      <w:r w:rsidR="00925905">
        <w:rPr>
          <w:b/>
          <w:bCs/>
          <w:color w:val="202122"/>
          <w:shd w:val="clear" w:color="auto" w:fill="FFFFFF"/>
        </w:rPr>
        <w:t>2</w:t>
      </w:r>
      <w:r w:rsidR="00D1107A" w:rsidRPr="00885A2B">
        <w:rPr>
          <w:b/>
          <w:bCs/>
          <w:color w:val="202122"/>
          <w:shd w:val="clear" w:color="auto" w:fill="FFFFFF"/>
        </w:rPr>
        <w:t>.</w:t>
      </w:r>
      <w:r w:rsidRPr="00885A2B">
        <w:rPr>
          <w:color w:val="202122"/>
          <w:shd w:val="clear" w:color="auto" w:fill="FFFFFF"/>
        </w:rPr>
        <w:t xml:space="preserve"> Visualization (ranked-age and </w:t>
      </w:r>
      <w:proofErr w:type="spellStart"/>
      <w:r w:rsidRPr="00885A2B">
        <w:rPr>
          <w:color w:val="202122"/>
          <w:shd w:val="clear" w:color="auto" w:fill="FFFFFF"/>
        </w:rPr>
        <w:t>concordia</w:t>
      </w:r>
      <w:proofErr w:type="spellEnd"/>
      <w:r w:rsidRPr="00885A2B">
        <w:rPr>
          <w:color w:val="202122"/>
          <w:shd w:val="clear" w:color="auto" w:fill="FFFFFF"/>
        </w:rPr>
        <w:t xml:space="preserve"> diagrams) of geochronological analyses used to generate ages for the following samples from Naples Beach: A) EA1902-16.6 (LA-ICPMS and TIMS), B) EA1902-12.34 (LA-ICPMS</w:t>
      </w:r>
      <w:r w:rsidR="00DF5976" w:rsidRPr="00885A2B">
        <w:rPr>
          <w:color w:val="202122"/>
          <w:shd w:val="clear" w:color="auto" w:fill="FFFFFF"/>
        </w:rPr>
        <w:t xml:space="preserve"> and TIMS MDA</w:t>
      </w:r>
      <w:r w:rsidRPr="00885A2B">
        <w:rPr>
          <w:color w:val="202122"/>
          <w:shd w:val="clear" w:color="auto" w:fill="FFFFFF"/>
        </w:rPr>
        <w:t>), C) EA1902-12.0 (LA-ICPMS), D)</w:t>
      </w:r>
      <w:r w:rsidR="00B46968" w:rsidRPr="00885A2B">
        <w:rPr>
          <w:color w:val="202122"/>
          <w:shd w:val="clear" w:color="auto" w:fill="FFFFFF"/>
        </w:rPr>
        <w:t xml:space="preserve"> EA1902-11.73 (LA-ICPMS and TIMS, </w:t>
      </w:r>
      <w:r w:rsidRPr="00885A2B">
        <w:rPr>
          <w:color w:val="202122"/>
          <w:shd w:val="clear" w:color="auto" w:fill="FFFFFF"/>
        </w:rPr>
        <w:t>E)</w:t>
      </w:r>
      <w:r w:rsidR="00B46968" w:rsidRPr="00885A2B">
        <w:rPr>
          <w:color w:val="202122"/>
          <w:shd w:val="clear" w:color="auto" w:fill="FFFFFF"/>
        </w:rPr>
        <w:t xml:space="preserve"> EA1902-11.55 (LA-ICPMS), </w:t>
      </w:r>
      <w:r w:rsidRPr="00885A2B">
        <w:rPr>
          <w:color w:val="202122"/>
          <w:shd w:val="clear" w:color="auto" w:fill="FFFFFF"/>
        </w:rPr>
        <w:t xml:space="preserve"> F) EA1902-9.2 (LA-ICPMS), G) F1916-24.9 (LA-ICPMS), H) M1806 (LA-ICPMS), I) M1805 (LA-ICPMS),  J) </w:t>
      </w:r>
      <w:r w:rsidR="00B46968" w:rsidRPr="00885A2B">
        <w:rPr>
          <w:color w:val="202122"/>
          <w:shd w:val="clear" w:color="auto" w:fill="FFFFFF"/>
        </w:rPr>
        <w:t xml:space="preserve">M1804_6.5 (LA-ICPMS), </w:t>
      </w:r>
      <w:r w:rsidRPr="00885A2B">
        <w:rPr>
          <w:color w:val="202122"/>
          <w:shd w:val="clear" w:color="auto" w:fill="FFFFFF"/>
        </w:rPr>
        <w:t xml:space="preserve">K) </w:t>
      </w:r>
      <w:r w:rsidR="00B46968" w:rsidRPr="00885A2B">
        <w:rPr>
          <w:color w:val="202122"/>
          <w:shd w:val="clear" w:color="auto" w:fill="FFFFFF"/>
        </w:rPr>
        <w:t>M1808 (LA-ICPMS).</w:t>
      </w:r>
    </w:p>
    <w:p w14:paraId="044504DB" w14:textId="77777777" w:rsidR="005D0D4B" w:rsidRPr="00885A2B" w:rsidRDefault="005D0D4B">
      <w:pPr>
        <w:rPr>
          <w:color w:val="000000" w:themeColor="text1"/>
        </w:rPr>
      </w:pPr>
    </w:p>
    <w:p w14:paraId="04AC9569" w14:textId="52351EFA" w:rsidR="00E3207D" w:rsidRPr="00885A2B" w:rsidRDefault="00D93CDC">
      <w:pPr>
        <w:rPr>
          <w:color w:val="202122"/>
          <w:shd w:val="clear" w:color="auto" w:fill="FFFFFF"/>
        </w:rPr>
      </w:pPr>
      <w:r w:rsidRPr="00885A2B">
        <w:rPr>
          <w:b/>
          <w:bCs/>
          <w:color w:val="202122"/>
          <w:shd w:val="clear" w:color="auto" w:fill="FFFFFF"/>
        </w:rPr>
        <w:t>Figure SM</w:t>
      </w:r>
      <w:r w:rsidR="00925905">
        <w:rPr>
          <w:b/>
          <w:bCs/>
          <w:color w:val="202122"/>
          <w:shd w:val="clear" w:color="auto" w:fill="FFFFFF"/>
        </w:rPr>
        <w:t>3</w:t>
      </w:r>
      <w:r w:rsidRPr="00885A2B">
        <w:rPr>
          <w:b/>
          <w:bCs/>
          <w:color w:val="202122"/>
          <w:shd w:val="clear" w:color="auto" w:fill="FFFFFF"/>
        </w:rPr>
        <w:t>.</w:t>
      </w:r>
      <w:r w:rsidRPr="00885A2B">
        <w:rPr>
          <w:color w:val="202122"/>
          <w:shd w:val="clear" w:color="auto" w:fill="FFFFFF"/>
        </w:rPr>
        <w:t xml:space="preserve"> Visualization (ranked-age and </w:t>
      </w:r>
      <w:proofErr w:type="spellStart"/>
      <w:r w:rsidRPr="00885A2B">
        <w:rPr>
          <w:color w:val="202122"/>
          <w:shd w:val="clear" w:color="auto" w:fill="FFFFFF"/>
        </w:rPr>
        <w:t>concordia</w:t>
      </w:r>
      <w:proofErr w:type="spellEnd"/>
      <w:r w:rsidRPr="00885A2B">
        <w:rPr>
          <w:color w:val="202122"/>
          <w:shd w:val="clear" w:color="auto" w:fill="FFFFFF"/>
        </w:rPr>
        <w:t xml:space="preserve"> diagrams) of geochronological analyses used to generate ages for the following samples from </w:t>
      </w:r>
      <w:proofErr w:type="spellStart"/>
      <w:r w:rsidRPr="00885A2B">
        <w:rPr>
          <w:color w:val="202122"/>
          <w:shd w:val="clear" w:color="auto" w:fill="FFFFFF"/>
        </w:rPr>
        <w:t>Tajiguas</w:t>
      </w:r>
      <w:proofErr w:type="spellEnd"/>
      <w:r w:rsidRPr="00885A2B">
        <w:rPr>
          <w:color w:val="202122"/>
          <w:shd w:val="clear" w:color="auto" w:fill="FFFFFF"/>
        </w:rPr>
        <w:t xml:space="preserve"> Beach: A)</w:t>
      </w:r>
      <w:r w:rsidR="00B46968" w:rsidRPr="00885A2B">
        <w:rPr>
          <w:color w:val="202122"/>
          <w:shd w:val="clear" w:color="auto" w:fill="FFFFFF"/>
        </w:rPr>
        <w:t xml:space="preserve"> EAGC2016 (LA-ICPMS), </w:t>
      </w:r>
      <w:r w:rsidRPr="00885A2B">
        <w:rPr>
          <w:color w:val="202122"/>
          <w:shd w:val="clear" w:color="auto" w:fill="FFFFFF"/>
        </w:rPr>
        <w:t>B)</w:t>
      </w:r>
      <w:r w:rsidR="00B46968" w:rsidRPr="00885A2B">
        <w:rPr>
          <w:color w:val="202122"/>
          <w:shd w:val="clear" w:color="auto" w:fill="FFFFFF"/>
        </w:rPr>
        <w:t xml:space="preserve"> EAGC2013 (LA-ICPMS),</w:t>
      </w:r>
      <w:r w:rsidRPr="00885A2B">
        <w:rPr>
          <w:color w:val="202122"/>
          <w:shd w:val="clear" w:color="auto" w:fill="FFFFFF"/>
        </w:rPr>
        <w:t xml:space="preserve"> C)</w:t>
      </w:r>
      <w:r w:rsidR="00B46968" w:rsidRPr="00885A2B">
        <w:rPr>
          <w:color w:val="202122"/>
          <w:shd w:val="clear" w:color="auto" w:fill="FFFFFF"/>
        </w:rPr>
        <w:t xml:space="preserve"> EAGC2014 (LA-ICPMS),</w:t>
      </w:r>
      <w:r w:rsidRPr="00885A2B">
        <w:rPr>
          <w:color w:val="202122"/>
          <w:shd w:val="clear" w:color="auto" w:fill="FFFFFF"/>
        </w:rPr>
        <w:t xml:space="preserve"> D)</w:t>
      </w:r>
      <w:r w:rsidR="00B46968" w:rsidRPr="00885A2B">
        <w:rPr>
          <w:color w:val="202122"/>
          <w:shd w:val="clear" w:color="auto" w:fill="FFFFFF"/>
        </w:rPr>
        <w:t xml:space="preserve"> EAGC2107 (LA-ICPMS), </w:t>
      </w:r>
      <w:r w:rsidR="0027526F" w:rsidRPr="00885A2B">
        <w:rPr>
          <w:color w:val="202122"/>
          <w:shd w:val="clear" w:color="auto" w:fill="FFFFFF"/>
        </w:rPr>
        <w:t xml:space="preserve">E) </w:t>
      </w:r>
      <w:r w:rsidR="00B46968" w:rsidRPr="00885A2B">
        <w:rPr>
          <w:color w:val="202122"/>
          <w:shd w:val="clear" w:color="auto" w:fill="FFFFFF"/>
        </w:rPr>
        <w:t>EAGC2103 (LA-ICPMS and TIMS MDA).</w:t>
      </w:r>
    </w:p>
    <w:p w14:paraId="3B7428AC" w14:textId="77777777" w:rsidR="00AB527F" w:rsidRPr="00885A2B" w:rsidRDefault="00AB527F">
      <w:pPr>
        <w:rPr>
          <w:color w:val="202122"/>
          <w:shd w:val="clear" w:color="auto" w:fill="FFFFFF"/>
        </w:rPr>
      </w:pPr>
    </w:p>
    <w:p w14:paraId="6885DBF2" w14:textId="77777777" w:rsidR="0059428F" w:rsidRDefault="0027526F" w:rsidP="0059428F">
      <w:pPr>
        <w:rPr>
          <w:color w:val="202122"/>
          <w:shd w:val="clear" w:color="auto" w:fill="FFFFFF"/>
        </w:rPr>
      </w:pPr>
      <w:r w:rsidRPr="00885A2B">
        <w:rPr>
          <w:b/>
          <w:bCs/>
          <w:color w:val="202122"/>
          <w:shd w:val="clear" w:color="auto" w:fill="FFFFFF"/>
        </w:rPr>
        <w:t>Figure SM</w:t>
      </w:r>
      <w:r w:rsidR="00925905">
        <w:rPr>
          <w:b/>
          <w:bCs/>
          <w:color w:val="202122"/>
          <w:shd w:val="clear" w:color="auto" w:fill="FFFFFF"/>
        </w:rPr>
        <w:t>4</w:t>
      </w:r>
      <w:r w:rsidRPr="00885A2B">
        <w:rPr>
          <w:b/>
          <w:bCs/>
          <w:color w:val="202122"/>
          <w:shd w:val="clear" w:color="auto" w:fill="FFFFFF"/>
        </w:rPr>
        <w:t>.</w:t>
      </w:r>
      <w:r w:rsidRPr="00885A2B">
        <w:rPr>
          <w:color w:val="202122"/>
          <w:shd w:val="clear" w:color="auto" w:fill="FFFFFF"/>
        </w:rPr>
        <w:t xml:space="preserve"> Visualization (ranked-age and </w:t>
      </w:r>
      <w:proofErr w:type="spellStart"/>
      <w:r w:rsidRPr="00885A2B">
        <w:rPr>
          <w:color w:val="202122"/>
          <w:shd w:val="clear" w:color="auto" w:fill="FFFFFF"/>
        </w:rPr>
        <w:t>concordia</w:t>
      </w:r>
      <w:proofErr w:type="spellEnd"/>
      <w:r w:rsidRPr="00885A2B">
        <w:rPr>
          <w:color w:val="202122"/>
          <w:shd w:val="clear" w:color="auto" w:fill="FFFFFF"/>
        </w:rPr>
        <w:t xml:space="preserve"> diagrams) of geochronological analyses used to generate ages for the following samples from </w:t>
      </w:r>
      <w:proofErr w:type="spellStart"/>
      <w:r w:rsidRPr="00885A2B">
        <w:rPr>
          <w:color w:val="202122"/>
          <w:shd w:val="clear" w:color="auto" w:fill="FFFFFF"/>
        </w:rPr>
        <w:t>Tajiguas</w:t>
      </w:r>
      <w:proofErr w:type="spellEnd"/>
      <w:r w:rsidRPr="00885A2B">
        <w:rPr>
          <w:color w:val="202122"/>
          <w:shd w:val="clear" w:color="auto" w:fill="FFFFFF"/>
        </w:rPr>
        <w:t xml:space="preserve"> Beach: A)</w:t>
      </w:r>
      <w:r w:rsidR="004D1F2B" w:rsidRPr="00885A2B">
        <w:rPr>
          <w:color w:val="202122"/>
          <w:shd w:val="clear" w:color="auto" w:fill="FFFFFF"/>
        </w:rPr>
        <w:t xml:space="preserve"> F1914-3.6 (LA-ICPMS and TIMS)</w:t>
      </w:r>
      <w:r w:rsidRPr="00885A2B">
        <w:rPr>
          <w:color w:val="202122"/>
          <w:shd w:val="clear" w:color="auto" w:fill="FFFFFF"/>
        </w:rPr>
        <w:t xml:space="preserve">, B) </w:t>
      </w:r>
      <w:r w:rsidR="004D1F2B" w:rsidRPr="00885A2B">
        <w:rPr>
          <w:color w:val="202122"/>
          <w:shd w:val="clear" w:color="auto" w:fill="FFFFFF"/>
        </w:rPr>
        <w:t>F1915-7.2 (LA-ICPMS and TIMS MDA).</w:t>
      </w:r>
    </w:p>
    <w:p w14:paraId="1611030C" w14:textId="291BEC4A" w:rsidR="0059428F" w:rsidRDefault="0059428F"/>
    <w:p w14:paraId="2F448DDA" w14:textId="7402BC29" w:rsidR="00975B0B" w:rsidRDefault="00975B0B"/>
    <w:p w14:paraId="64CEDD05" w14:textId="7763F64E" w:rsidR="0081454D" w:rsidRPr="00797CB0" w:rsidRDefault="00975B0B" w:rsidP="0081454D">
      <w:r w:rsidRPr="00975B0B">
        <w:rPr>
          <w:b/>
          <w:bCs/>
        </w:rPr>
        <w:t>Figure SM</w:t>
      </w:r>
      <w:r w:rsidR="0081454D">
        <w:rPr>
          <w:b/>
          <w:bCs/>
        </w:rPr>
        <w:t>5</w:t>
      </w:r>
      <w:r w:rsidRPr="00975B0B">
        <w:rPr>
          <w:b/>
          <w:bCs/>
        </w:rPr>
        <w:t xml:space="preserve">. </w:t>
      </w:r>
      <w:r>
        <w:t xml:space="preserve">Sensitivity test of the carbon isotope box model </w:t>
      </w:r>
      <w:r w:rsidR="0090419E">
        <w:t>defined</w:t>
      </w:r>
      <w:r>
        <w:t xml:space="preserve"> in Eq. 3 and Fig. 10 of the manuscript. </w:t>
      </w:r>
      <w:r w:rsidR="00B42C24">
        <w:t xml:space="preserve">A) </w:t>
      </w:r>
      <w:proofErr w:type="spellStart"/>
      <w:r w:rsidR="00B42C24">
        <w:t>f</w:t>
      </w:r>
      <w:r w:rsidR="00B42C24" w:rsidRPr="0081454D">
        <w:rPr>
          <w:vertAlign w:val="subscript"/>
        </w:rPr>
        <w:t>org</w:t>
      </w:r>
      <w:proofErr w:type="spellEnd"/>
      <w:r w:rsidR="00B42C24">
        <w:t xml:space="preserve"> calculated for pre-Monterey </w:t>
      </w:r>
      <w:r w:rsidR="0081454D">
        <w:t>Event</w:t>
      </w:r>
      <w:r w:rsidR="00B42C24">
        <w:t xml:space="preserve"> conditions </w:t>
      </w:r>
      <w:proofErr w:type="gramStart"/>
      <w:r w:rsidR="00B42C24">
        <w:t xml:space="preserve">( </w:t>
      </w:r>
      <w:r w:rsidR="0081454D" w:rsidRPr="008D01C0">
        <w:rPr>
          <w:rFonts w:ascii="Cambria Math" w:hAnsi="Cambria Math" w:cs="Cambria Math"/>
          <w:color w:val="1E1E21"/>
        </w:rPr>
        <w:t>𝛿</w:t>
      </w:r>
      <w:proofErr w:type="gramEnd"/>
      <w:r w:rsidR="0081454D" w:rsidRPr="008D01C0">
        <w:rPr>
          <w:color w:val="1E1E21"/>
          <w:vertAlign w:val="superscript"/>
        </w:rPr>
        <w:t>13</w:t>
      </w:r>
      <w:r w:rsidR="0081454D" w:rsidRPr="008D01C0">
        <w:t>C</w:t>
      </w:r>
      <w:r w:rsidR="0081454D">
        <w:rPr>
          <w:vertAlign w:val="subscript"/>
        </w:rPr>
        <w:t>carb</w:t>
      </w:r>
      <w:r w:rsidR="0081454D">
        <w:t xml:space="preserve"> of ~0.5‰), given a range of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rPr>
          <w:color w:val="1E1E21"/>
        </w:rPr>
        <w:t>C</w:t>
      </w:r>
      <w:r w:rsidR="0081454D">
        <w:rPr>
          <w:color w:val="1E1E21"/>
          <w:vertAlign w:val="subscript"/>
        </w:rPr>
        <w:t>in</w:t>
      </w:r>
      <w:r w:rsidR="0081454D" w:rsidRPr="008D01C0">
        <w:rPr>
          <w:rFonts w:ascii="Cambria Math" w:hAnsi="Cambria Math" w:cs="Cambria Math"/>
          <w:color w:val="1E1E21"/>
        </w:rPr>
        <w:t xml:space="preserve"> </w:t>
      </w:r>
      <w:r w:rsidR="0081454D">
        <w:rPr>
          <w:rFonts w:ascii="Cambria Math" w:hAnsi="Cambria Math" w:cs="Cambria Math"/>
          <w:color w:val="1E1E21"/>
        </w:rPr>
        <w:t xml:space="preserve">and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sidRPr="00B31131">
        <w:rPr>
          <w:vertAlign w:val="subscript"/>
        </w:rPr>
        <w:t>org</w:t>
      </w:r>
      <w:r w:rsidR="0081454D">
        <w:t xml:space="preserve"> values</w:t>
      </w:r>
      <w:r w:rsidR="0081454D">
        <w:t xml:space="preserve"> and a global carbon burial flux of ~0.6GtC/yr. B)</w:t>
      </w:r>
      <w:r w:rsidR="0081454D" w:rsidRPr="0081454D">
        <w:t xml:space="preserve"> </w:t>
      </w:r>
      <w:proofErr w:type="spellStart"/>
      <w:r w:rsidR="0081454D">
        <w:t>f</w:t>
      </w:r>
      <w:r w:rsidR="0081454D" w:rsidRPr="0081454D">
        <w:rPr>
          <w:vertAlign w:val="subscript"/>
        </w:rPr>
        <w:t>org</w:t>
      </w:r>
      <w:proofErr w:type="spellEnd"/>
      <w:r w:rsidR="0081454D">
        <w:t xml:space="preserve"> calculated for </w:t>
      </w:r>
      <w:r w:rsidR="0081454D">
        <w:t>syn-</w:t>
      </w:r>
      <w:r w:rsidR="0081454D">
        <w:t xml:space="preserve">Monterey </w:t>
      </w:r>
      <w:r w:rsidR="0081454D">
        <w:t>Event</w:t>
      </w:r>
      <w:r w:rsidR="0081454D">
        <w:t xml:space="preserve"> conditions (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Pr>
          <w:vertAlign w:val="subscript"/>
        </w:rPr>
        <w:t>carb</w:t>
      </w:r>
      <w:r w:rsidR="0081454D">
        <w:t xml:space="preserve"> of ~</w:t>
      </w:r>
      <w:r w:rsidR="0081454D">
        <w:t>1</w:t>
      </w:r>
      <w:r w:rsidR="0081454D">
        <w:t>.5‰)</w:t>
      </w:r>
      <w:r w:rsidR="0081454D">
        <w:t xml:space="preserve">, </w:t>
      </w:r>
      <w:r w:rsidR="0081454D">
        <w:t xml:space="preserve">given a range of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rPr>
          <w:color w:val="1E1E21"/>
        </w:rPr>
        <w:t>C</w:t>
      </w:r>
      <w:r w:rsidR="0081454D">
        <w:rPr>
          <w:color w:val="1E1E21"/>
          <w:vertAlign w:val="subscript"/>
        </w:rPr>
        <w:t>in</w:t>
      </w:r>
      <w:r w:rsidR="0081454D" w:rsidRPr="008D01C0">
        <w:rPr>
          <w:rFonts w:ascii="Cambria Math" w:hAnsi="Cambria Math" w:cs="Cambria Math"/>
          <w:color w:val="1E1E21"/>
        </w:rPr>
        <w:t xml:space="preserve"> </w:t>
      </w:r>
      <w:r w:rsidR="0081454D">
        <w:rPr>
          <w:rFonts w:ascii="Cambria Math" w:hAnsi="Cambria Math" w:cs="Cambria Math"/>
          <w:color w:val="1E1E21"/>
        </w:rPr>
        <w:t xml:space="preserve">and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sidRPr="00B31131">
        <w:rPr>
          <w:vertAlign w:val="subscript"/>
        </w:rPr>
        <w:t>org</w:t>
      </w:r>
      <w:r w:rsidR="0081454D">
        <w:t xml:space="preserve"> values and a global carbon burial flux of ~0.6GtC/yr. </w:t>
      </w:r>
      <w:r w:rsidR="0081454D">
        <w:t>C</w:t>
      </w:r>
      <w:r w:rsidR="0081454D">
        <w:t>)</w:t>
      </w:r>
      <w:r w:rsidR="0081454D">
        <w:t xml:space="preserve"> change in </w:t>
      </w:r>
      <w:proofErr w:type="spellStart"/>
      <w:r w:rsidR="0081454D">
        <w:t>f</w:t>
      </w:r>
      <w:r w:rsidR="0081454D" w:rsidRPr="0081454D">
        <w:rPr>
          <w:vertAlign w:val="subscript"/>
        </w:rPr>
        <w:t>org</w:t>
      </w:r>
      <w:proofErr w:type="spellEnd"/>
      <w:r w:rsidR="0081454D">
        <w:t xml:space="preserve"> </w:t>
      </w:r>
      <w:r w:rsidR="0081454D">
        <w:t>(</w:t>
      </w:r>
      <w:r w:rsidR="0081454D">
        <w:rPr>
          <w:lang w:val="el-GR"/>
        </w:rPr>
        <w:t>Δ</w:t>
      </w:r>
      <w:r w:rsidR="0081454D" w:rsidRPr="005348D9">
        <w:t xml:space="preserve"> </w:t>
      </w:r>
      <w:proofErr w:type="spellStart"/>
      <w:r w:rsidR="0081454D">
        <w:t>f</w:t>
      </w:r>
      <w:r w:rsidR="0081454D" w:rsidRPr="00507B77">
        <w:rPr>
          <w:vertAlign w:val="subscript"/>
        </w:rPr>
        <w:t>org</w:t>
      </w:r>
      <w:proofErr w:type="spellEnd"/>
      <w:r w:rsidR="0081454D">
        <w:t>) required to drive a shift in</w:t>
      </w:r>
      <w:r w:rsidR="0081454D" w:rsidRPr="0081454D">
        <w:rPr>
          <w:rFonts w:ascii="Cambria Math" w:hAnsi="Cambria Math" w:cs="Cambria Math"/>
          <w:color w:val="1E1E21"/>
        </w:rPr>
        <w:t xml:space="preserve">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Pr>
          <w:vertAlign w:val="subscript"/>
        </w:rPr>
        <w:t>carb</w:t>
      </w:r>
      <w:r w:rsidR="0081454D">
        <w:t xml:space="preserve"> </w:t>
      </w:r>
      <w:r w:rsidR="0081454D">
        <w:t>from ~0.5</w:t>
      </w:r>
      <w:r w:rsidR="0081454D">
        <w:t>‰</w:t>
      </w:r>
      <w:r w:rsidR="0081454D">
        <w:t xml:space="preserve"> to</w:t>
      </w:r>
      <w:r w:rsidR="0081454D">
        <w:t xml:space="preserve"> ~1.5‰</w:t>
      </w:r>
      <w:r w:rsidR="0081454D">
        <w:t xml:space="preserve"> for a given combination of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rPr>
          <w:color w:val="1E1E21"/>
        </w:rPr>
        <w:t>C</w:t>
      </w:r>
      <w:r w:rsidR="0081454D">
        <w:rPr>
          <w:color w:val="1E1E21"/>
          <w:vertAlign w:val="subscript"/>
        </w:rPr>
        <w:t>in</w:t>
      </w:r>
      <w:r w:rsidR="0081454D" w:rsidRPr="008D01C0">
        <w:rPr>
          <w:rFonts w:ascii="Cambria Math" w:hAnsi="Cambria Math" w:cs="Cambria Math"/>
          <w:color w:val="1E1E21"/>
        </w:rPr>
        <w:t xml:space="preserve"> </w:t>
      </w:r>
      <w:r w:rsidR="0081454D">
        <w:rPr>
          <w:rFonts w:ascii="Cambria Math" w:hAnsi="Cambria Math" w:cs="Cambria Math"/>
          <w:color w:val="1E1E21"/>
        </w:rPr>
        <w:t xml:space="preserve">and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sidRPr="00B31131">
        <w:rPr>
          <w:vertAlign w:val="subscript"/>
        </w:rPr>
        <w:t>org</w:t>
      </w:r>
      <w:r w:rsidR="0081454D">
        <w:t xml:space="preserve"> values.</w:t>
      </w:r>
      <w:r w:rsidR="0081454D">
        <w:t xml:space="preserve"> D) Sustained organic carbon mass accumulation rates (OCMARs) in circum-Pacific basins (total area of 600,000km</w:t>
      </w:r>
      <w:r w:rsidR="0081454D" w:rsidRPr="0081454D">
        <w:rPr>
          <w:vertAlign w:val="superscript"/>
        </w:rPr>
        <w:t>2</w:t>
      </w:r>
      <w:r w:rsidR="0081454D">
        <w:t xml:space="preserve">) required to explain </w:t>
      </w:r>
      <w:r w:rsidR="0081454D">
        <w:t>a shift in</w:t>
      </w:r>
      <w:r w:rsidR="0081454D" w:rsidRPr="0081454D">
        <w:rPr>
          <w:rFonts w:ascii="Cambria Math" w:hAnsi="Cambria Math" w:cs="Cambria Math"/>
          <w:color w:val="1E1E21"/>
        </w:rPr>
        <w:t xml:space="preserve">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Pr>
          <w:vertAlign w:val="subscript"/>
        </w:rPr>
        <w:t>carb</w:t>
      </w:r>
      <w:r w:rsidR="0081454D">
        <w:t xml:space="preserve"> from ~0.5‰ to ~1.5‰ </w:t>
      </w:r>
      <w:r w:rsidR="0081454D">
        <w:t>through organic carbon burial in the Monterey F</w:t>
      </w:r>
      <w:r w:rsidR="00797CB0">
        <w:t>ormation</w:t>
      </w:r>
      <w:r w:rsidR="0081454D">
        <w:t xml:space="preserve"> and equivalent strata for </w:t>
      </w:r>
      <w:r w:rsidR="0081454D">
        <w:t xml:space="preserve">a given combination of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rPr>
          <w:color w:val="1E1E21"/>
        </w:rPr>
        <w:t>C</w:t>
      </w:r>
      <w:r w:rsidR="0081454D">
        <w:rPr>
          <w:color w:val="1E1E21"/>
          <w:vertAlign w:val="subscript"/>
        </w:rPr>
        <w:t>in</w:t>
      </w:r>
      <w:r w:rsidR="0081454D" w:rsidRPr="008D01C0">
        <w:rPr>
          <w:rFonts w:ascii="Cambria Math" w:hAnsi="Cambria Math" w:cs="Cambria Math"/>
          <w:color w:val="1E1E21"/>
        </w:rPr>
        <w:t xml:space="preserve"> </w:t>
      </w:r>
      <w:r w:rsidR="0081454D">
        <w:rPr>
          <w:rFonts w:ascii="Cambria Math" w:hAnsi="Cambria Math" w:cs="Cambria Math"/>
          <w:color w:val="1E1E21"/>
        </w:rPr>
        <w:t xml:space="preserve">and </w:t>
      </w:r>
      <w:r w:rsidR="0081454D" w:rsidRPr="008D01C0">
        <w:rPr>
          <w:rFonts w:ascii="Cambria Math" w:hAnsi="Cambria Math" w:cs="Cambria Math"/>
          <w:color w:val="1E1E21"/>
        </w:rPr>
        <w:t>𝛿</w:t>
      </w:r>
      <w:r w:rsidR="0081454D" w:rsidRPr="008D01C0">
        <w:rPr>
          <w:color w:val="1E1E21"/>
          <w:vertAlign w:val="superscript"/>
        </w:rPr>
        <w:t>13</w:t>
      </w:r>
      <w:r w:rsidR="0081454D" w:rsidRPr="008D01C0">
        <w:t>C</w:t>
      </w:r>
      <w:r w:rsidR="0081454D" w:rsidRPr="00B31131">
        <w:rPr>
          <w:vertAlign w:val="subscript"/>
        </w:rPr>
        <w:t>org</w:t>
      </w:r>
      <w:r w:rsidR="0081454D">
        <w:t xml:space="preserve"> values.</w:t>
      </w:r>
      <w:r w:rsidR="0081454D">
        <w:t xml:space="preserve"> </w:t>
      </w:r>
      <w:r w:rsidR="00797CB0">
        <w:t xml:space="preserve">In all panels, the red triangle indicates the model output for the assumed </w:t>
      </w:r>
      <w:r w:rsidR="00797CB0" w:rsidRPr="008D01C0">
        <w:rPr>
          <w:rFonts w:ascii="Cambria Math" w:hAnsi="Cambria Math" w:cs="Cambria Math"/>
          <w:color w:val="1E1E21"/>
        </w:rPr>
        <w:t>𝛿</w:t>
      </w:r>
      <w:r w:rsidR="00797CB0" w:rsidRPr="008D01C0">
        <w:rPr>
          <w:color w:val="1E1E21"/>
          <w:vertAlign w:val="superscript"/>
        </w:rPr>
        <w:t>13</w:t>
      </w:r>
      <w:r w:rsidR="00797CB0" w:rsidRPr="008D01C0">
        <w:rPr>
          <w:color w:val="1E1E21"/>
        </w:rPr>
        <w:t>C</w:t>
      </w:r>
      <w:r w:rsidR="00797CB0">
        <w:rPr>
          <w:color w:val="1E1E21"/>
          <w:vertAlign w:val="subscript"/>
        </w:rPr>
        <w:t>in</w:t>
      </w:r>
      <w:r w:rsidR="00797CB0" w:rsidRPr="008D01C0">
        <w:rPr>
          <w:rFonts w:ascii="Cambria Math" w:hAnsi="Cambria Math" w:cs="Cambria Math"/>
          <w:color w:val="1E1E21"/>
        </w:rPr>
        <w:t xml:space="preserve"> </w:t>
      </w:r>
      <w:r w:rsidR="00797CB0">
        <w:rPr>
          <w:rFonts w:ascii="Cambria Math" w:hAnsi="Cambria Math" w:cs="Cambria Math"/>
          <w:color w:val="1E1E21"/>
        </w:rPr>
        <w:t xml:space="preserve">and </w:t>
      </w:r>
      <w:r w:rsidR="00797CB0" w:rsidRPr="008D01C0">
        <w:rPr>
          <w:rFonts w:ascii="Cambria Math" w:hAnsi="Cambria Math" w:cs="Cambria Math"/>
          <w:color w:val="1E1E21"/>
        </w:rPr>
        <w:t>𝛿</w:t>
      </w:r>
      <w:r w:rsidR="00797CB0" w:rsidRPr="008D01C0">
        <w:rPr>
          <w:color w:val="1E1E21"/>
          <w:vertAlign w:val="superscript"/>
        </w:rPr>
        <w:t>13</w:t>
      </w:r>
      <w:r w:rsidR="00797CB0" w:rsidRPr="008D01C0">
        <w:t>C</w:t>
      </w:r>
      <w:r w:rsidR="00797CB0" w:rsidRPr="00B31131">
        <w:rPr>
          <w:vertAlign w:val="subscript"/>
        </w:rPr>
        <w:t>org</w:t>
      </w:r>
      <w:r w:rsidR="00797CB0">
        <w:t xml:space="preserve"> compositions (-6‰ and -23‰, respectively) discussed in the main text. </w:t>
      </w:r>
    </w:p>
    <w:p w14:paraId="27F9542D" w14:textId="3760625E" w:rsidR="00975B0B" w:rsidRDefault="00975B0B"/>
    <w:p w14:paraId="07AA77C9" w14:textId="31C20002" w:rsidR="007A1480" w:rsidRDefault="007A1480"/>
    <w:p w14:paraId="7A872A15" w14:textId="2E667445" w:rsidR="007A1480" w:rsidRDefault="007A1480"/>
    <w:p w14:paraId="2B8752A9" w14:textId="6B9B99D5" w:rsidR="007A1480" w:rsidRPr="0081454D" w:rsidRDefault="007A1480" w:rsidP="007A1480">
      <w:pPr>
        <w:jc w:val="center"/>
      </w:pPr>
      <w:r>
        <w:t>*  *  *</w:t>
      </w:r>
    </w:p>
    <w:sectPr w:rsidR="007A1480" w:rsidRPr="00814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E4F80" w14:textId="77777777" w:rsidR="00C25818" w:rsidRDefault="00C25818" w:rsidP="00D655C5">
      <w:r>
        <w:separator/>
      </w:r>
    </w:p>
  </w:endnote>
  <w:endnote w:type="continuationSeparator" w:id="0">
    <w:p w14:paraId="5D48C50C" w14:textId="77777777" w:rsidR="00C25818" w:rsidRDefault="00C25818" w:rsidP="00D6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E68D3" w14:textId="77777777" w:rsidR="00C25818" w:rsidRDefault="00C25818" w:rsidP="00D655C5">
      <w:r>
        <w:separator/>
      </w:r>
    </w:p>
  </w:footnote>
  <w:footnote w:type="continuationSeparator" w:id="0">
    <w:p w14:paraId="1D6B910C" w14:textId="77777777" w:rsidR="00C25818" w:rsidRDefault="00C25818" w:rsidP="00D65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4A1C"/>
    <w:multiLevelType w:val="multilevel"/>
    <w:tmpl w:val="764CD78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C914F0"/>
    <w:multiLevelType w:val="hybridMultilevel"/>
    <w:tmpl w:val="D09462F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02F6B"/>
    <w:multiLevelType w:val="hybridMultilevel"/>
    <w:tmpl w:val="6B60ADD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A274A"/>
    <w:multiLevelType w:val="hybridMultilevel"/>
    <w:tmpl w:val="EBD4A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41BE9"/>
    <w:multiLevelType w:val="hybridMultilevel"/>
    <w:tmpl w:val="94FC20A8"/>
    <w:lvl w:ilvl="0" w:tplc="C406C9A6">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4A83ECF"/>
    <w:multiLevelType w:val="hybridMultilevel"/>
    <w:tmpl w:val="E4AC4B7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117B2"/>
    <w:multiLevelType w:val="hybridMultilevel"/>
    <w:tmpl w:val="97A8988A"/>
    <w:lvl w:ilvl="0" w:tplc="27BCA28E">
      <w:start w:val="3"/>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0B74CA6"/>
    <w:multiLevelType w:val="hybridMultilevel"/>
    <w:tmpl w:val="76CA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E75B5"/>
    <w:multiLevelType w:val="multilevel"/>
    <w:tmpl w:val="764CD782"/>
    <w:styleLink w:val="CurrentList1"/>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4A7C14"/>
    <w:multiLevelType w:val="hybridMultilevel"/>
    <w:tmpl w:val="096E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9"/>
  </w:num>
  <w:num w:numId="5">
    <w:abstractNumId w:val="3"/>
  </w:num>
  <w:num w:numId="6">
    <w:abstractNumId w:val="1"/>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97"/>
    <w:rsid w:val="00002164"/>
    <w:rsid w:val="000061E3"/>
    <w:rsid w:val="00030210"/>
    <w:rsid w:val="000447E6"/>
    <w:rsid w:val="00044F65"/>
    <w:rsid w:val="000765B9"/>
    <w:rsid w:val="0008321A"/>
    <w:rsid w:val="00085D6E"/>
    <w:rsid w:val="000A3CF5"/>
    <w:rsid w:val="000B02FC"/>
    <w:rsid w:val="000B06C2"/>
    <w:rsid w:val="000C7907"/>
    <w:rsid w:val="000E15BD"/>
    <w:rsid w:val="000E456F"/>
    <w:rsid w:val="00106C32"/>
    <w:rsid w:val="00106FE8"/>
    <w:rsid w:val="00116356"/>
    <w:rsid w:val="00150D38"/>
    <w:rsid w:val="001A0270"/>
    <w:rsid w:val="001C5856"/>
    <w:rsid w:val="001D301E"/>
    <w:rsid w:val="001E2411"/>
    <w:rsid w:val="00273359"/>
    <w:rsid w:val="0027526F"/>
    <w:rsid w:val="0027793D"/>
    <w:rsid w:val="002A5D27"/>
    <w:rsid w:val="002B4A4C"/>
    <w:rsid w:val="002B6671"/>
    <w:rsid w:val="002C3156"/>
    <w:rsid w:val="002D7459"/>
    <w:rsid w:val="002E05B5"/>
    <w:rsid w:val="002F1455"/>
    <w:rsid w:val="0030085D"/>
    <w:rsid w:val="00317AA4"/>
    <w:rsid w:val="00340634"/>
    <w:rsid w:val="003409FB"/>
    <w:rsid w:val="00344752"/>
    <w:rsid w:val="003552C5"/>
    <w:rsid w:val="00363D64"/>
    <w:rsid w:val="003C6912"/>
    <w:rsid w:val="003C79BC"/>
    <w:rsid w:val="004363C2"/>
    <w:rsid w:val="00436443"/>
    <w:rsid w:val="00437423"/>
    <w:rsid w:val="004554FF"/>
    <w:rsid w:val="004A653E"/>
    <w:rsid w:val="004B02D9"/>
    <w:rsid w:val="004B64AE"/>
    <w:rsid w:val="004D1F2B"/>
    <w:rsid w:val="004D7457"/>
    <w:rsid w:val="00501E4C"/>
    <w:rsid w:val="00504310"/>
    <w:rsid w:val="00507B77"/>
    <w:rsid w:val="0052396D"/>
    <w:rsid w:val="005258C9"/>
    <w:rsid w:val="005325B5"/>
    <w:rsid w:val="005348D9"/>
    <w:rsid w:val="0059428F"/>
    <w:rsid w:val="00594832"/>
    <w:rsid w:val="00595DC7"/>
    <w:rsid w:val="005C03FB"/>
    <w:rsid w:val="005C3641"/>
    <w:rsid w:val="005C4797"/>
    <w:rsid w:val="005D0D4B"/>
    <w:rsid w:val="005D5C1E"/>
    <w:rsid w:val="00606273"/>
    <w:rsid w:val="00607511"/>
    <w:rsid w:val="0061484B"/>
    <w:rsid w:val="0062771E"/>
    <w:rsid w:val="00627E04"/>
    <w:rsid w:val="0063191D"/>
    <w:rsid w:val="00634F3E"/>
    <w:rsid w:val="00654493"/>
    <w:rsid w:val="00686501"/>
    <w:rsid w:val="006A4AFE"/>
    <w:rsid w:val="006D20A1"/>
    <w:rsid w:val="006D247F"/>
    <w:rsid w:val="00703A8F"/>
    <w:rsid w:val="007808B9"/>
    <w:rsid w:val="00797CB0"/>
    <w:rsid w:val="007A0D2A"/>
    <w:rsid w:val="007A1480"/>
    <w:rsid w:val="007B198D"/>
    <w:rsid w:val="007B6589"/>
    <w:rsid w:val="007D4C43"/>
    <w:rsid w:val="007D642B"/>
    <w:rsid w:val="007E4A96"/>
    <w:rsid w:val="007F1E84"/>
    <w:rsid w:val="00805223"/>
    <w:rsid w:val="0081454D"/>
    <w:rsid w:val="008319EF"/>
    <w:rsid w:val="0084028D"/>
    <w:rsid w:val="00876605"/>
    <w:rsid w:val="00885A2B"/>
    <w:rsid w:val="0089420E"/>
    <w:rsid w:val="008B4439"/>
    <w:rsid w:val="0090419E"/>
    <w:rsid w:val="0092404A"/>
    <w:rsid w:val="00925905"/>
    <w:rsid w:val="00930D0C"/>
    <w:rsid w:val="00937C89"/>
    <w:rsid w:val="00967BA0"/>
    <w:rsid w:val="00975B0B"/>
    <w:rsid w:val="009931A4"/>
    <w:rsid w:val="009A00F1"/>
    <w:rsid w:val="009B0E11"/>
    <w:rsid w:val="009C395D"/>
    <w:rsid w:val="009E27F8"/>
    <w:rsid w:val="009E5BFF"/>
    <w:rsid w:val="00A2481A"/>
    <w:rsid w:val="00A2524A"/>
    <w:rsid w:val="00A268AD"/>
    <w:rsid w:val="00A5058E"/>
    <w:rsid w:val="00A611EE"/>
    <w:rsid w:val="00A612D2"/>
    <w:rsid w:val="00A62ABB"/>
    <w:rsid w:val="00A825E5"/>
    <w:rsid w:val="00AA349E"/>
    <w:rsid w:val="00AA6694"/>
    <w:rsid w:val="00AB527F"/>
    <w:rsid w:val="00AB7346"/>
    <w:rsid w:val="00AC4A8F"/>
    <w:rsid w:val="00AE575D"/>
    <w:rsid w:val="00AF699A"/>
    <w:rsid w:val="00B35651"/>
    <w:rsid w:val="00B42333"/>
    <w:rsid w:val="00B42C24"/>
    <w:rsid w:val="00B46968"/>
    <w:rsid w:val="00B7032F"/>
    <w:rsid w:val="00BA2DFB"/>
    <w:rsid w:val="00BB02AD"/>
    <w:rsid w:val="00BC5941"/>
    <w:rsid w:val="00BD002D"/>
    <w:rsid w:val="00BD0AFD"/>
    <w:rsid w:val="00BD6506"/>
    <w:rsid w:val="00BD6CE1"/>
    <w:rsid w:val="00BE7F4F"/>
    <w:rsid w:val="00BF6B66"/>
    <w:rsid w:val="00C16DFF"/>
    <w:rsid w:val="00C179C6"/>
    <w:rsid w:val="00C25818"/>
    <w:rsid w:val="00C31E81"/>
    <w:rsid w:val="00C33A24"/>
    <w:rsid w:val="00C56175"/>
    <w:rsid w:val="00C56B81"/>
    <w:rsid w:val="00C616BE"/>
    <w:rsid w:val="00C66891"/>
    <w:rsid w:val="00C67E9A"/>
    <w:rsid w:val="00C72521"/>
    <w:rsid w:val="00C94EC8"/>
    <w:rsid w:val="00CC7BC2"/>
    <w:rsid w:val="00CD3CA3"/>
    <w:rsid w:val="00CF43A1"/>
    <w:rsid w:val="00CF4926"/>
    <w:rsid w:val="00D04BA7"/>
    <w:rsid w:val="00D05020"/>
    <w:rsid w:val="00D1107A"/>
    <w:rsid w:val="00D46D8E"/>
    <w:rsid w:val="00D47423"/>
    <w:rsid w:val="00D47622"/>
    <w:rsid w:val="00D517AB"/>
    <w:rsid w:val="00D6237E"/>
    <w:rsid w:val="00D655C5"/>
    <w:rsid w:val="00D93CDC"/>
    <w:rsid w:val="00D954B4"/>
    <w:rsid w:val="00DB32A8"/>
    <w:rsid w:val="00DF29BA"/>
    <w:rsid w:val="00DF5976"/>
    <w:rsid w:val="00E228A0"/>
    <w:rsid w:val="00E3207D"/>
    <w:rsid w:val="00E43BA3"/>
    <w:rsid w:val="00E43BD1"/>
    <w:rsid w:val="00E44A86"/>
    <w:rsid w:val="00EB2CB1"/>
    <w:rsid w:val="00EB7902"/>
    <w:rsid w:val="00EC2601"/>
    <w:rsid w:val="00ED08D4"/>
    <w:rsid w:val="00ED4E30"/>
    <w:rsid w:val="00EE61B2"/>
    <w:rsid w:val="00F23EDA"/>
    <w:rsid w:val="00F30597"/>
    <w:rsid w:val="00F3061D"/>
    <w:rsid w:val="00F3278E"/>
    <w:rsid w:val="00F40393"/>
    <w:rsid w:val="00F41036"/>
    <w:rsid w:val="00F5533C"/>
    <w:rsid w:val="00F64330"/>
    <w:rsid w:val="00F738B1"/>
    <w:rsid w:val="00FB2304"/>
    <w:rsid w:val="00FB7393"/>
    <w:rsid w:val="00FC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9957"/>
  <w15:chartTrackingRefBased/>
  <w15:docId w15:val="{26A59153-D1A7-4845-A04F-E0B8B830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3641"/>
  </w:style>
  <w:style w:type="character" w:styleId="CommentReference">
    <w:name w:val="annotation reference"/>
    <w:basedOn w:val="DefaultParagraphFont"/>
    <w:uiPriority w:val="99"/>
    <w:semiHidden/>
    <w:unhideWhenUsed/>
    <w:rsid w:val="00BA2DFB"/>
    <w:rPr>
      <w:sz w:val="16"/>
      <w:szCs w:val="16"/>
    </w:rPr>
  </w:style>
  <w:style w:type="paragraph" w:styleId="CommentText">
    <w:name w:val="annotation text"/>
    <w:basedOn w:val="Normal"/>
    <w:link w:val="CommentTextChar"/>
    <w:uiPriority w:val="99"/>
    <w:semiHidden/>
    <w:unhideWhenUsed/>
    <w:rsid w:val="000765B9"/>
    <w:rPr>
      <w:sz w:val="20"/>
      <w:szCs w:val="20"/>
    </w:rPr>
  </w:style>
  <w:style w:type="character" w:customStyle="1" w:styleId="CommentTextChar">
    <w:name w:val="Comment Text Char"/>
    <w:basedOn w:val="DefaultParagraphFont"/>
    <w:link w:val="CommentText"/>
    <w:uiPriority w:val="99"/>
    <w:semiHidden/>
    <w:rsid w:val="000765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5B9"/>
    <w:rPr>
      <w:b/>
      <w:bCs/>
    </w:rPr>
  </w:style>
  <w:style w:type="character" w:customStyle="1" w:styleId="CommentSubjectChar">
    <w:name w:val="Comment Subject Char"/>
    <w:basedOn w:val="CommentTextChar"/>
    <w:link w:val="CommentSubject"/>
    <w:uiPriority w:val="99"/>
    <w:semiHidden/>
    <w:rsid w:val="000765B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9C395D"/>
    <w:rPr>
      <w:color w:val="808080"/>
    </w:rPr>
  </w:style>
  <w:style w:type="paragraph" w:styleId="Header">
    <w:name w:val="header"/>
    <w:basedOn w:val="Normal"/>
    <w:link w:val="HeaderChar"/>
    <w:uiPriority w:val="99"/>
    <w:unhideWhenUsed/>
    <w:rsid w:val="00D655C5"/>
    <w:pPr>
      <w:tabs>
        <w:tab w:val="center" w:pos="4680"/>
        <w:tab w:val="right" w:pos="9360"/>
      </w:tabs>
    </w:pPr>
  </w:style>
  <w:style w:type="character" w:customStyle="1" w:styleId="HeaderChar">
    <w:name w:val="Header Char"/>
    <w:basedOn w:val="DefaultParagraphFont"/>
    <w:link w:val="Header"/>
    <w:uiPriority w:val="99"/>
    <w:rsid w:val="00D655C5"/>
    <w:rPr>
      <w:rFonts w:ascii="Times New Roman" w:eastAsia="Times New Roman" w:hAnsi="Times New Roman" w:cs="Times New Roman"/>
    </w:rPr>
  </w:style>
  <w:style w:type="paragraph" w:styleId="Footer">
    <w:name w:val="footer"/>
    <w:basedOn w:val="Normal"/>
    <w:link w:val="FooterChar"/>
    <w:uiPriority w:val="99"/>
    <w:unhideWhenUsed/>
    <w:rsid w:val="00D655C5"/>
    <w:pPr>
      <w:tabs>
        <w:tab w:val="center" w:pos="4680"/>
        <w:tab w:val="right" w:pos="9360"/>
      </w:tabs>
    </w:pPr>
  </w:style>
  <w:style w:type="character" w:customStyle="1" w:styleId="FooterChar">
    <w:name w:val="Footer Char"/>
    <w:basedOn w:val="DefaultParagraphFont"/>
    <w:link w:val="Footer"/>
    <w:uiPriority w:val="99"/>
    <w:rsid w:val="00D655C5"/>
    <w:rPr>
      <w:rFonts w:ascii="Times New Roman" w:eastAsia="Times New Roman" w:hAnsi="Times New Roman" w:cs="Times New Roman"/>
    </w:rPr>
  </w:style>
  <w:style w:type="paragraph" w:styleId="NormalWeb">
    <w:name w:val="Normal (Web)"/>
    <w:basedOn w:val="Normal"/>
    <w:uiPriority w:val="99"/>
    <w:unhideWhenUsed/>
    <w:rsid w:val="00C31E81"/>
    <w:pPr>
      <w:spacing w:before="100" w:beforeAutospacing="1" w:after="100" w:afterAutospacing="1"/>
    </w:pPr>
  </w:style>
  <w:style w:type="paragraph" w:styleId="ListParagraph">
    <w:name w:val="List Paragraph"/>
    <w:basedOn w:val="Normal"/>
    <w:uiPriority w:val="34"/>
    <w:qFormat/>
    <w:rsid w:val="004D7457"/>
    <w:pPr>
      <w:ind w:left="720"/>
      <w:contextualSpacing/>
    </w:pPr>
  </w:style>
  <w:style w:type="numbering" w:customStyle="1" w:styleId="CurrentList1">
    <w:name w:val="Current List1"/>
    <w:uiPriority w:val="99"/>
    <w:rsid w:val="00B35651"/>
    <w:pPr>
      <w:numPr>
        <w:numId w:val="3"/>
      </w:numPr>
    </w:pPr>
  </w:style>
  <w:style w:type="paragraph" w:styleId="BodyText">
    <w:name w:val="Body Text"/>
    <w:basedOn w:val="Normal"/>
    <w:link w:val="BodyTextChar"/>
    <w:uiPriority w:val="1"/>
    <w:qFormat/>
    <w:rsid w:val="000C7907"/>
    <w:pPr>
      <w:widowControl w:val="0"/>
      <w:autoSpaceDE w:val="0"/>
      <w:autoSpaceDN w:val="0"/>
      <w:ind w:left="360" w:hanging="240"/>
    </w:pPr>
    <w:rPr>
      <w:sz w:val="18"/>
      <w:szCs w:val="18"/>
    </w:rPr>
  </w:style>
  <w:style w:type="character" w:customStyle="1" w:styleId="BodyTextChar">
    <w:name w:val="Body Text Char"/>
    <w:basedOn w:val="DefaultParagraphFont"/>
    <w:link w:val="BodyText"/>
    <w:uiPriority w:val="1"/>
    <w:rsid w:val="000C790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9959">
      <w:bodyDiv w:val="1"/>
      <w:marLeft w:val="0"/>
      <w:marRight w:val="0"/>
      <w:marTop w:val="0"/>
      <w:marBottom w:val="0"/>
      <w:divBdr>
        <w:top w:val="none" w:sz="0" w:space="0" w:color="auto"/>
        <w:left w:val="none" w:sz="0" w:space="0" w:color="auto"/>
        <w:bottom w:val="none" w:sz="0" w:space="0" w:color="auto"/>
        <w:right w:val="none" w:sz="0" w:space="0" w:color="auto"/>
      </w:divBdr>
    </w:div>
    <w:div w:id="307981087">
      <w:bodyDiv w:val="1"/>
      <w:marLeft w:val="0"/>
      <w:marRight w:val="0"/>
      <w:marTop w:val="0"/>
      <w:marBottom w:val="0"/>
      <w:divBdr>
        <w:top w:val="none" w:sz="0" w:space="0" w:color="auto"/>
        <w:left w:val="none" w:sz="0" w:space="0" w:color="auto"/>
        <w:bottom w:val="none" w:sz="0" w:space="0" w:color="auto"/>
        <w:right w:val="none" w:sz="0" w:space="0" w:color="auto"/>
      </w:divBdr>
    </w:div>
    <w:div w:id="596331042">
      <w:bodyDiv w:val="1"/>
      <w:marLeft w:val="0"/>
      <w:marRight w:val="0"/>
      <w:marTop w:val="0"/>
      <w:marBottom w:val="0"/>
      <w:divBdr>
        <w:top w:val="none" w:sz="0" w:space="0" w:color="auto"/>
        <w:left w:val="none" w:sz="0" w:space="0" w:color="auto"/>
        <w:bottom w:val="none" w:sz="0" w:space="0" w:color="auto"/>
        <w:right w:val="none" w:sz="0" w:space="0" w:color="auto"/>
      </w:divBdr>
    </w:div>
    <w:div w:id="1113209002">
      <w:bodyDiv w:val="1"/>
      <w:marLeft w:val="0"/>
      <w:marRight w:val="0"/>
      <w:marTop w:val="0"/>
      <w:marBottom w:val="0"/>
      <w:divBdr>
        <w:top w:val="none" w:sz="0" w:space="0" w:color="auto"/>
        <w:left w:val="none" w:sz="0" w:space="0" w:color="auto"/>
        <w:bottom w:val="none" w:sz="0" w:space="0" w:color="auto"/>
        <w:right w:val="none" w:sz="0" w:space="0" w:color="auto"/>
      </w:divBdr>
    </w:div>
    <w:div w:id="1513453693">
      <w:bodyDiv w:val="1"/>
      <w:marLeft w:val="0"/>
      <w:marRight w:val="0"/>
      <w:marTop w:val="0"/>
      <w:marBottom w:val="0"/>
      <w:divBdr>
        <w:top w:val="none" w:sz="0" w:space="0" w:color="auto"/>
        <w:left w:val="none" w:sz="0" w:space="0" w:color="auto"/>
        <w:bottom w:val="none" w:sz="0" w:space="0" w:color="auto"/>
        <w:right w:val="none" w:sz="0" w:space="0" w:color="auto"/>
      </w:divBdr>
    </w:div>
    <w:div w:id="161621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06/AD4624F7-16F7-11D7-8645000102C186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Eliel Anttila</cp:lastModifiedBy>
  <cp:revision>3</cp:revision>
  <cp:lastPrinted>2022-10-18T23:23:00Z</cp:lastPrinted>
  <dcterms:created xsi:type="dcterms:W3CDTF">2023-05-18T01:41:00Z</dcterms:created>
  <dcterms:modified xsi:type="dcterms:W3CDTF">2023-05-18T01:43:00Z</dcterms:modified>
</cp:coreProperties>
</file>