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F9DB" w14:textId="45AC1E73" w:rsidR="00F30597" w:rsidRDefault="00F30597"/>
    <w:p w14:paraId="0BCD7773" w14:textId="49744373" w:rsidR="00B35651" w:rsidRPr="00CF1BFA" w:rsidRDefault="00F30597" w:rsidP="00B35651">
      <w:r>
        <w:t xml:space="preserve">This </w:t>
      </w:r>
      <w:r w:rsidR="007F1E84">
        <w:t>document</w:t>
      </w:r>
      <w:r>
        <w:t xml:space="preserve"> includes </w:t>
      </w:r>
      <w:r w:rsidR="00CF1BFA">
        <w:t xml:space="preserve">captions for </w:t>
      </w:r>
      <w:r w:rsidR="00AB527F">
        <w:t xml:space="preserve">visualizations of geochronological data used to generate </w:t>
      </w:r>
      <w:r w:rsidR="00C33A24">
        <w:t xml:space="preserve">U-Pb </w:t>
      </w:r>
      <w:r w:rsidR="00AB527F">
        <w:t>ages (Figs. SM</w:t>
      </w:r>
      <w:r w:rsidR="00885A2B">
        <w:t>1</w:t>
      </w:r>
      <w:r w:rsidR="00AB527F">
        <w:t>-SM</w:t>
      </w:r>
      <w:r w:rsidR="00885A2B">
        <w:t>4</w:t>
      </w:r>
      <w:r w:rsidR="00CF1BFA">
        <w:t>) and a</w:t>
      </w:r>
      <w:r w:rsidR="00876605">
        <w:t xml:space="preserve"> sensitivity test of the carbon isotope box model </w:t>
      </w:r>
      <w:r w:rsidR="00C33A24">
        <w:t>discussed</w:t>
      </w:r>
      <w:r w:rsidR="00876605">
        <w:t xml:space="preserve"> in </w:t>
      </w:r>
      <w:r w:rsidR="00CF1BFA">
        <w:t>Chapter 4 and Appendix 3</w:t>
      </w:r>
      <w:r w:rsidR="00876605">
        <w:t xml:space="preserve"> </w:t>
      </w:r>
      <w:r w:rsidR="00CF1BFA">
        <w:t>visualized in</w:t>
      </w:r>
      <w:r w:rsidR="00876605">
        <w:t xml:space="preserve"> Fig. SM5. </w:t>
      </w:r>
    </w:p>
    <w:p w14:paraId="695A9740" w14:textId="77777777" w:rsidR="00B35651" w:rsidRPr="00E44A86" w:rsidRDefault="00B35651" w:rsidP="00B35651">
      <w:pPr>
        <w:rPr>
          <w:b/>
          <w:bCs/>
          <w:u w:val="single"/>
        </w:rPr>
      </w:pPr>
    </w:p>
    <w:p w14:paraId="43E0499E" w14:textId="73F2CFE1" w:rsidR="00BF6B66" w:rsidRPr="00885A2B" w:rsidRDefault="008B4439" w:rsidP="009E27F8">
      <w:pPr>
        <w:rPr>
          <w:color w:val="202122"/>
          <w:shd w:val="clear" w:color="auto" w:fill="FFFFFF"/>
        </w:rPr>
      </w:pPr>
      <w:r w:rsidRPr="00885A2B">
        <w:rPr>
          <w:b/>
          <w:bCs/>
        </w:rPr>
        <w:t>Figur</w:t>
      </w:r>
      <w:r w:rsidR="00340634" w:rsidRPr="00885A2B">
        <w:rPr>
          <w:b/>
          <w:bCs/>
        </w:rPr>
        <w:t>e</w:t>
      </w:r>
      <w:r w:rsidRPr="00885A2B">
        <w:rPr>
          <w:b/>
          <w:bCs/>
        </w:rPr>
        <w:t xml:space="preserve"> SM1. </w:t>
      </w:r>
      <w:r w:rsidR="00BF6B66" w:rsidRPr="00885A2B">
        <w:rPr>
          <w:color w:val="202122"/>
          <w:shd w:val="clear" w:color="auto" w:fill="FFFFFF"/>
        </w:rPr>
        <w:t xml:space="preserve">Visualization (ranked-age and </w:t>
      </w:r>
      <w:proofErr w:type="spellStart"/>
      <w:r w:rsidR="00BF6B66" w:rsidRPr="00885A2B">
        <w:rPr>
          <w:color w:val="202122"/>
          <w:shd w:val="clear" w:color="auto" w:fill="FFFFFF"/>
        </w:rPr>
        <w:t>concordia</w:t>
      </w:r>
      <w:proofErr w:type="spellEnd"/>
      <w:r w:rsidR="00BF6B66" w:rsidRPr="00885A2B">
        <w:rPr>
          <w:color w:val="202122"/>
          <w:shd w:val="clear" w:color="auto" w:fill="FFFFFF"/>
        </w:rPr>
        <w:t xml:space="preserve"> diagrams) of geochronological analyses used to generate ages for the following samples</w:t>
      </w:r>
      <w:r w:rsidR="00D93CDC" w:rsidRPr="00885A2B">
        <w:rPr>
          <w:color w:val="202122"/>
          <w:shd w:val="clear" w:color="auto" w:fill="FFFFFF"/>
        </w:rPr>
        <w:t xml:space="preserve"> from El Capitan</w:t>
      </w:r>
      <w:r w:rsidR="00BF6B66" w:rsidRPr="00885A2B">
        <w:rPr>
          <w:color w:val="202122"/>
          <w:shd w:val="clear" w:color="auto" w:fill="FFFFFF"/>
        </w:rPr>
        <w:t>: A) EAGC2010 (LA-ICPMS and TIMS), B) EAGC2011 (LA-ICPMS and TIMS), C) EAGC2012 (LA-ICPMS and TIMS), D)</w:t>
      </w:r>
      <w:r w:rsidR="00B46968" w:rsidRPr="00885A2B">
        <w:rPr>
          <w:color w:val="202122"/>
          <w:shd w:val="clear" w:color="auto" w:fill="FFFFFF"/>
        </w:rPr>
        <w:t xml:space="preserve"> EAGC2001 (LA-ICPMS), </w:t>
      </w:r>
      <w:r w:rsidR="00BF6B66" w:rsidRPr="00885A2B">
        <w:rPr>
          <w:color w:val="202122"/>
          <w:shd w:val="clear" w:color="auto" w:fill="FFFFFF"/>
        </w:rPr>
        <w:t xml:space="preserve"> E)</w:t>
      </w:r>
      <w:r w:rsidR="00B46968" w:rsidRPr="00885A2B">
        <w:rPr>
          <w:color w:val="202122"/>
          <w:shd w:val="clear" w:color="auto" w:fill="FFFFFF"/>
        </w:rPr>
        <w:t xml:space="preserve"> EAGC2002 (LA-ICPMS), </w:t>
      </w:r>
      <w:r w:rsidR="00BF6B66" w:rsidRPr="00885A2B">
        <w:rPr>
          <w:color w:val="202122"/>
          <w:shd w:val="clear" w:color="auto" w:fill="FFFFFF"/>
        </w:rPr>
        <w:t xml:space="preserve"> F) </w:t>
      </w:r>
      <w:r w:rsidR="00B46968" w:rsidRPr="00885A2B">
        <w:rPr>
          <w:color w:val="202122"/>
          <w:shd w:val="clear" w:color="auto" w:fill="FFFFFF"/>
        </w:rPr>
        <w:t xml:space="preserve">EAGC2003 (LA-ICPMS and TIMS MDA), </w:t>
      </w:r>
      <w:r w:rsidR="00BF6B66" w:rsidRPr="00885A2B">
        <w:rPr>
          <w:color w:val="202122"/>
          <w:shd w:val="clear" w:color="auto" w:fill="FFFFFF"/>
        </w:rPr>
        <w:t>G)</w:t>
      </w:r>
      <w:r w:rsidR="00B46968" w:rsidRPr="00885A2B">
        <w:rPr>
          <w:color w:val="202122"/>
          <w:shd w:val="clear" w:color="auto" w:fill="FFFFFF"/>
        </w:rPr>
        <w:t xml:space="preserve"> EAGC2006 (LA-ICPMS and TIMS),</w:t>
      </w:r>
      <w:r w:rsidR="00BF6B66" w:rsidRPr="00885A2B">
        <w:rPr>
          <w:color w:val="202122"/>
          <w:shd w:val="clear" w:color="auto" w:fill="FFFFFF"/>
        </w:rPr>
        <w:t xml:space="preserve"> H</w:t>
      </w:r>
      <w:r w:rsidR="00B46968" w:rsidRPr="00885A2B">
        <w:rPr>
          <w:color w:val="202122"/>
          <w:shd w:val="clear" w:color="auto" w:fill="FFFFFF"/>
        </w:rPr>
        <w:t xml:space="preserve">) EAGC2008 (LA-ICPMS and TIMS), </w:t>
      </w:r>
      <w:r w:rsidR="00D93CDC" w:rsidRPr="00885A2B">
        <w:rPr>
          <w:color w:val="000000" w:themeColor="text1"/>
          <w:shd w:val="clear" w:color="auto" w:fill="FFFFFF"/>
        </w:rPr>
        <w:t>I)</w:t>
      </w:r>
      <w:r w:rsidR="00D93CDC" w:rsidRPr="00885A2B">
        <w:rPr>
          <w:b/>
          <w:bCs/>
          <w:color w:val="000000" w:themeColor="text1"/>
          <w:shd w:val="clear" w:color="auto" w:fill="FFFFFF"/>
        </w:rPr>
        <w:t xml:space="preserve"> </w:t>
      </w:r>
      <w:r w:rsidR="00B46968" w:rsidRPr="00885A2B">
        <w:rPr>
          <w:color w:val="202122"/>
          <w:shd w:val="clear" w:color="auto" w:fill="FFFFFF"/>
        </w:rPr>
        <w:t xml:space="preserve">F1917-33.7 (TIMS),  J) F1917-13.4 (LA-ICPMS and TIMS MDA), K) </w:t>
      </w:r>
      <w:r w:rsidR="00D93CDC" w:rsidRPr="00885A2B">
        <w:rPr>
          <w:color w:val="000000" w:themeColor="text1"/>
          <w:shd w:val="clear" w:color="auto" w:fill="FFFFFF"/>
        </w:rPr>
        <w:t xml:space="preserve">F1917-8.2 (LA-ICPMS and TIMS), </w:t>
      </w:r>
      <w:r w:rsidR="00B46968" w:rsidRPr="00885A2B">
        <w:rPr>
          <w:color w:val="000000" w:themeColor="text1"/>
          <w:shd w:val="clear" w:color="auto" w:fill="FFFFFF"/>
        </w:rPr>
        <w:t>L</w:t>
      </w:r>
      <w:r w:rsidR="00D93CDC" w:rsidRPr="00885A2B">
        <w:rPr>
          <w:color w:val="000000" w:themeColor="text1"/>
          <w:shd w:val="clear" w:color="auto" w:fill="FFFFFF"/>
        </w:rPr>
        <w:t>)</w:t>
      </w:r>
      <w:r w:rsidR="00DF5976" w:rsidRPr="00885A2B">
        <w:rPr>
          <w:color w:val="000000" w:themeColor="text1"/>
          <w:shd w:val="clear" w:color="auto" w:fill="FFFFFF"/>
        </w:rPr>
        <w:t xml:space="preserve"> </w:t>
      </w:r>
      <w:r w:rsidR="00D93CDC" w:rsidRPr="00885A2B">
        <w:rPr>
          <w:color w:val="000000" w:themeColor="text1"/>
          <w:shd w:val="clear" w:color="auto" w:fill="FFFFFF"/>
        </w:rPr>
        <w:t xml:space="preserve">F1917-0.7 (LA-ICPMS and TIMS), </w:t>
      </w:r>
      <w:r w:rsidR="00B46968" w:rsidRPr="00885A2B">
        <w:rPr>
          <w:color w:val="202122"/>
          <w:shd w:val="clear" w:color="auto" w:fill="FFFFFF"/>
        </w:rPr>
        <w:t>M</w:t>
      </w:r>
      <w:r w:rsidR="00D93CDC" w:rsidRPr="00885A2B">
        <w:rPr>
          <w:color w:val="202122"/>
          <w:shd w:val="clear" w:color="auto" w:fill="FFFFFF"/>
        </w:rPr>
        <w:t>) M1801-0.73 (LA-ICPMS)</w:t>
      </w:r>
      <w:r w:rsidR="00B46968" w:rsidRPr="00885A2B">
        <w:rPr>
          <w:color w:val="202122"/>
          <w:shd w:val="clear" w:color="auto" w:fill="FFFFFF"/>
        </w:rPr>
        <w:t xml:space="preserve">, N) EAGC2009 (LA-ICPMS MDA). </w:t>
      </w:r>
    </w:p>
    <w:p w14:paraId="42DF5B62" w14:textId="23FA379B" w:rsidR="007B198D" w:rsidRPr="00885A2B" w:rsidRDefault="007B198D" w:rsidP="009E27F8">
      <w:pPr>
        <w:rPr>
          <w:b/>
          <w:bCs/>
          <w:color w:val="202122"/>
          <w:shd w:val="clear" w:color="auto" w:fill="FFFFFF"/>
        </w:rPr>
      </w:pPr>
    </w:p>
    <w:p w14:paraId="346EB067" w14:textId="77777777" w:rsidR="00340634" w:rsidRPr="00885A2B" w:rsidRDefault="00340634" w:rsidP="009E27F8">
      <w:pPr>
        <w:rPr>
          <w:color w:val="202122"/>
          <w:sz w:val="16"/>
          <w:szCs w:val="16"/>
          <w:shd w:val="clear" w:color="auto" w:fill="FFFFFF"/>
        </w:rPr>
      </w:pPr>
    </w:p>
    <w:p w14:paraId="6AA4A5E8" w14:textId="532032D4" w:rsidR="009E27F8" w:rsidRPr="00885A2B" w:rsidRDefault="00D93CDC" w:rsidP="005D0D4B">
      <w:pPr>
        <w:rPr>
          <w:b/>
          <w:bCs/>
        </w:rPr>
      </w:pPr>
      <w:r w:rsidRPr="00885A2B">
        <w:rPr>
          <w:b/>
          <w:bCs/>
          <w:color w:val="202122"/>
          <w:shd w:val="clear" w:color="auto" w:fill="FFFFFF"/>
        </w:rPr>
        <w:t>Figure SM</w:t>
      </w:r>
      <w:r w:rsidR="00925905">
        <w:rPr>
          <w:b/>
          <w:bCs/>
          <w:color w:val="202122"/>
          <w:shd w:val="clear" w:color="auto" w:fill="FFFFFF"/>
        </w:rPr>
        <w:t>2</w:t>
      </w:r>
      <w:r w:rsidR="00D1107A" w:rsidRPr="00885A2B">
        <w:rPr>
          <w:b/>
          <w:bCs/>
          <w:color w:val="202122"/>
          <w:shd w:val="clear" w:color="auto" w:fill="FFFFFF"/>
        </w:rPr>
        <w:t>.</w:t>
      </w:r>
      <w:r w:rsidRPr="00885A2B">
        <w:rPr>
          <w:color w:val="202122"/>
          <w:shd w:val="clear" w:color="auto" w:fill="FFFFFF"/>
        </w:rPr>
        <w:t xml:space="preserve"> Visualization (ranked-age and </w:t>
      </w:r>
      <w:proofErr w:type="spellStart"/>
      <w:r w:rsidRPr="00885A2B">
        <w:rPr>
          <w:color w:val="202122"/>
          <w:shd w:val="clear" w:color="auto" w:fill="FFFFFF"/>
        </w:rPr>
        <w:t>concordia</w:t>
      </w:r>
      <w:proofErr w:type="spellEnd"/>
      <w:r w:rsidRPr="00885A2B">
        <w:rPr>
          <w:color w:val="202122"/>
          <w:shd w:val="clear" w:color="auto" w:fill="FFFFFF"/>
        </w:rPr>
        <w:t xml:space="preserve"> diagrams) of geochronological analyses used to generate ages for the following samples from Naples Beach: A) EA1902-16.6 (LA-ICPMS and TIMS), B) EA1902-12.34 (LA-ICPMS</w:t>
      </w:r>
      <w:r w:rsidR="00DF5976" w:rsidRPr="00885A2B">
        <w:rPr>
          <w:color w:val="202122"/>
          <w:shd w:val="clear" w:color="auto" w:fill="FFFFFF"/>
        </w:rPr>
        <w:t xml:space="preserve"> and TIMS MDA</w:t>
      </w:r>
      <w:r w:rsidRPr="00885A2B">
        <w:rPr>
          <w:color w:val="202122"/>
          <w:shd w:val="clear" w:color="auto" w:fill="FFFFFF"/>
        </w:rPr>
        <w:t>), C) EA1902-12.0 (LA-ICPMS), D)</w:t>
      </w:r>
      <w:r w:rsidR="00B46968" w:rsidRPr="00885A2B">
        <w:rPr>
          <w:color w:val="202122"/>
          <w:shd w:val="clear" w:color="auto" w:fill="FFFFFF"/>
        </w:rPr>
        <w:t xml:space="preserve"> EA1902-11.73 (LA-ICPMS and TIMS, </w:t>
      </w:r>
      <w:r w:rsidRPr="00885A2B">
        <w:rPr>
          <w:color w:val="202122"/>
          <w:shd w:val="clear" w:color="auto" w:fill="FFFFFF"/>
        </w:rPr>
        <w:t>E)</w:t>
      </w:r>
      <w:r w:rsidR="00B46968" w:rsidRPr="00885A2B">
        <w:rPr>
          <w:color w:val="202122"/>
          <w:shd w:val="clear" w:color="auto" w:fill="FFFFFF"/>
        </w:rPr>
        <w:t xml:space="preserve"> EA1902-11.55 (LA-ICPMS), </w:t>
      </w:r>
      <w:r w:rsidRPr="00885A2B">
        <w:rPr>
          <w:color w:val="202122"/>
          <w:shd w:val="clear" w:color="auto" w:fill="FFFFFF"/>
        </w:rPr>
        <w:t xml:space="preserve"> F) EA1902-9.2 (LA-ICPMS), G) F1916-24.9 (LA-ICPMS), H) M1806 (LA-ICPMS), I) M1805 (LA-ICPMS),  J) </w:t>
      </w:r>
      <w:r w:rsidR="00B46968" w:rsidRPr="00885A2B">
        <w:rPr>
          <w:color w:val="202122"/>
          <w:shd w:val="clear" w:color="auto" w:fill="FFFFFF"/>
        </w:rPr>
        <w:t xml:space="preserve">M1804_6.5 (LA-ICPMS), </w:t>
      </w:r>
      <w:r w:rsidRPr="00885A2B">
        <w:rPr>
          <w:color w:val="202122"/>
          <w:shd w:val="clear" w:color="auto" w:fill="FFFFFF"/>
        </w:rPr>
        <w:t xml:space="preserve">K) </w:t>
      </w:r>
      <w:r w:rsidR="00B46968" w:rsidRPr="00885A2B">
        <w:rPr>
          <w:color w:val="202122"/>
          <w:shd w:val="clear" w:color="auto" w:fill="FFFFFF"/>
        </w:rPr>
        <w:t>M1808 (LA-ICPMS).</w:t>
      </w:r>
    </w:p>
    <w:p w14:paraId="044504DB" w14:textId="77777777" w:rsidR="005D0D4B" w:rsidRPr="00885A2B" w:rsidRDefault="005D0D4B">
      <w:pPr>
        <w:rPr>
          <w:color w:val="000000" w:themeColor="text1"/>
        </w:rPr>
      </w:pPr>
    </w:p>
    <w:p w14:paraId="04AC9569" w14:textId="52351EFA" w:rsidR="00E3207D" w:rsidRPr="00885A2B" w:rsidRDefault="00D93CDC">
      <w:pPr>
        <w:rPr>
          <w:color w:val="202122"/>
          <w:shd w:val="clear" w:color="auto" w:fill="FFFFFF"/>
        </w:rPr>
      </w:pPr>
      <w:r w:rsidRPr="00885A2B">
        <w:rPr>
          <w:b/>
          <w:bCs/>
          <w:color w:val="202122"/>
          <w:shd w:val="clear" w:color="auto" w:fill="FFFFFF"/>
        </w:rPr>
        <w:t>Figure SM</w:t>
      </w:r>
      <w:r w:rsidR="00925905">
        <w:rPr>
          <w:b/>
          <w:bCs/>
          <w:color w:val="202122"/>
          <w:shd w:val="clear" w:color="auto" w:fill="FFFFFF"/>
        </w:rPr>
        <w:t>3</w:t>
      </w:r>
      <w:r w:rsidRPr="00885A2B">
        <w:rPr>
          <w:b/>
          <w:bCs/>
          <w:color w:val="202122"/>
          <w:shd w:val="clear" w:color="auto" w:fill="FFFFFF"/>
        </w:rPr>
        <w:t>.</w:t>
      </w:r>
      <w:r w:rsidRPr="00885A2B">
        <w:rPr>
          <w:color w:val="202122"/>
          <w:shd w:val="clear" w:color="auto" w:fill="FFFFFF"/>
        </w:rPr>
        <w:t xml:space="preserve"> Visualization (ranked-age and </w:t>
      </w:r>
      <w:proofErr w:type="spellStart"/>
      <w:r w:rsidRPr="00885A2B">
        <w:rPr>
          <w:color w:val="202122"/>
          <w:shd w:val="clear" w:color="auto" w:fill="FFFFFF"/>
        </w:rPr>
        <w:t>concordia</w:t>
      </w:r>
      <w:proofErr w:type="spellEnd"/>
      <w:r w:rsidRPr="00885A2B">
        <w:rPr>
          <w:color w:val="202122"/>
          <w:shd w:val="clear" w:color="auto" w:fill="FFFFFF"/>
        </w:rPr>
        <w:t xml:space="preserve"> diagrams) of geochronological analyses used to generate ages for the following samples from </w:t>
      </w:r>
      <w:proofErr w:type="spellStart"/>
      <w:r w:rsidRPr="00885A2B">
        <w:rPr>
          <w:color w:val="202122"/>
          <w:shd w:val="clear" w:color="auto" w:fill="FFFFFF"/>
        </w:rPr>
        <w:t>Tajiguas</w:t>
      </w:r>
      <w:proofErr w:type="spellEnd"/>
      <w:r w:rsidRPr="00885A2B">
        <w:rPr>
          <w:color w:val="202122"/>
          <w:shd w:val="clear" w:color="auto" w:fill="FFFFFF"/>
        </w:rPr>
        <w:t xml:space="preserve"> Beach: A)</w:t>
      </w:r>
      <w:r w:rsidR="00B46968" w:rsidRPr="00885A2B">
        <w:rPr>
          <w:color w:val="202122"/>
          <w:shd w:val="clear" w:color="auto" w:fill="FFFFFF"/>
        </w:rPr>
        <w:t xml:space="preserve"> EAGC2016 (LA-ICPMS), </w:t>
      </w:r>
      <w:r w:rsidRPr="00885A2B">
        <w:rPr>
          <w:color w:val="202122"/>
          <w:shd w:val="clear" w:color="auto" w:fill="FFFFFF"/>
        </w:rPr>
        <w:t>B)</w:t>
      </w:r>
      <w:r w:rsidR="00B46968" w:rsidRPr="00885A2B">
        <w:rPr>
          <w:color w:val="202122"/>
          <w:shd w:val="clear" w:color="auto" w:fill="FFFFFF"/>
        </w:rPr>
        <w:t xml:space="preserve"> EAGC2013 (LA-ICPMS),</w:t>
      </w:r>
      <w:r w:rsidRPr="00885A2B">
        <w:rPr>
          <w:color w:val="202122"/>
          <w:shd w:val="clear" w:color="auto" w:fill="FFFFFF"/>
        </w:rPr>
        <w:t xml:space="preserve"> C)</w:t>
      </w:r>
      <w:r w:rsidR="00B46968" w:rsidRPr="00885A2B">
        <w:rPr>
          <w:color w:val="202122"/>
          <w:shd w:val="clear" w:color="auto" w:fill="FFFFFF"/>
        </w:rPr>
        <w:t xml:space="preserve"> EAGC2014 (LA-ICPMS),</w:t>
      </w:r>
      <w:r w:rsidRPr="00885A2B">
        <w:rPr>
          <w:color w:val="202122"/>
          <w:shd w:val="clear" w:color="auto" w:fill="FFFFFF"/>
        </w:rPr>
        <w:t xml:space="preserve"> D)</w:t>
      </w:r>
      <w:r w:rsidR="00B46968" w:rsidRPr="00885A2B">
        <w:rPr>
          <w:color w:val="202122"/>
          <w:shd w:val="clear" w:color="auto" w:fill="FFFFFF"/>
        </w:rPr>
        <w:t xml:space="preserve"> EAGC2107 (LA-ICPMS), </w:t>
      </w:r>
      <w:r w:rsidR="0027526F" w:rsidRPr="00885A2B">
        <w:rPr>
          <w:color w:val="202122"/>
          <w:shd w:val="clear" w:color="auto" w:fill="FFFFFF"/>
        </w:rPr>
        <w:t xml:space="preserve">E) </w:t>
      </w:r>
      <w:r w:rsidR="00B46968" w:rsidRPr="00885A2B">
        <w:rPr>
          <w:color w:val="202122"/>
          <w:shd w:val="clear" w:color="auto" w:fill="FFFFFF"/>
        </w:rPr>
        <w:t>EAGC2103 (LA-ICPMS and TIMS MDA).</w:t>
      </w:r>
    </w:p>
    <w:p w14:paraId="3B7428AC" w14:textId="77777777" w:rsidR="00AB527F" w:rsidRPr="00885A2B" w:rsidRDefault="00AB527F">
      <w:pPr>
        <w:rPr>
          <w:color w:val="202122"/>
          <w:shd w:val="clear" w:color="auto" w:fill="FFFFFF"/>
        </w:rPr>
      </w:pPr>
    </w:p>
    <w:p w14:paraId="6885DBF2" w14:textId="77777777" w:rsidR="0059428F" w:rsidRDefault="0027526F" w:rsidP="0059428F">
      <w:pPr>
        <w:rPr>
          <w:color w:val="202122"/>
          <w:shd w:val="clear" w:color="auto" w:fill="FFFFFF"/>
        </w:rPr>
      </w:pPr>
      <w:r w:rsidRPr="00885A2B">
        <w:rPr>
          <w:b/>
          <w:bCs/>
          <w:color w:val="202122"/>
          <w:shd w:val="clear" w:color="auto" w:fill="FFFFFF"/>
        </w:rPr>
        <w:t>Figure SM</w:t>
      </w:r>
      <w:r w:rsidR="00925905">
        <w:rPr>
          <w:b/>
          <w:bCs/>
          <w:color w:val="202122"/>
          <w:shd w:val="clear" w:color="auto" w:fill="FFFFFF"/>
        </w:rPr>
        <w:t>4</w:t>
      </w:r>
      <w:r w:rsidRPr="00885A2B">
        <w:rPr>
          <w:b/>
          <w:bCs/>
          <w:color w:val="202122"/>
          <w:shd w:val="clear" w:color="auto" w:fill="FFFFFF"/>
        </w:rPr>
        <w:t>.</w:t>
      </w:r>
      <w:r w:rsidRPr="00885A2B">
        <w:rPr>
          <w:color w:val="202122"/>
          <w:shd w:val="clear" w:color="auto" w:fill="FFFFFF"/>
        </w:rPr>
        <w:t xml:space="preserve"> Visualization (ranked-age and </w:t>
      </w:r>
      <w:proofErr w:type="spellStart"/>
      <w:r w:rsidRPr="00885A2B">
        <w:rPr>
          <w:color w:val="202122"/>
          <w:shd w:val="clear" w:color="auto" w:fill="FFFFFF"/>
        </w:rPr>
        <w:t>concordia</w:t>
      </w:r>
      <w:proofErr w:type="spellEnd"/>
      <w:r w:rsidRPr="00885A2B">
        <w:rPr>
          <w:color w:val="202122"/>
          <w:shd w:val="clear" w:color="auto" w:fill="FFFFFF"/>
        </w:rPr>
        <w:t xml:space="preserve"> diagrams) of geochronological analyses used to generate ages for the following samples from </w:t>
      </w:r>
      <w:proofErr w:type="spellStart"/>
      <w:r w:rsidRPr="00885A2B">
        <w:rPr>
          <w:color w:val="202122"/>
          <w:shd w:val="clear" w:color="auto" w:fill="FFFFFF"/>
        </w:rPr>
        <w:t>Tajiguas</w:t>
      </w:r>
      <w:proofErr w:type="spellEnd"/>
      <w:r w:rsidRPr="00885A2B">
        <w:rPr>
          <w:color w:val="202122"/>
          <w:shd w:val="clear" w:color="auto" w:fill="FFFFFF"/>
        </w:rPr>
        <w:t xml:space="preserve"> Beach: A)</w:t>
      </w:r>
      <w:r w:rsidR="004D1F2B" w:rsidRPr="00885A2B">
        <w:rPr>
          <w:color w:val="202122"/>
          <w:shd w:val="clear" w:color="auto" w:fill="FFFFFF"/>
        </w:rPr>
        <w:t xml:space="preserve"> F1914-3.6 (LA-ICPMS and TIMS)</w:t>
      </w:r>
      <w:r w:rsidRPr="00885A2B">
        <w:rPr>
          <w:color w:val="202122"/>
          <w:shd w:val="clear" w:color="auto" w:fill="FFFFFF"/>
        </w:rPr>
        <w:t xml:space="preserve">, B) </w:t>
      </w:r>
      <w:r w:rsidR="004D1F2B" w:rsidRPr="00885A2B">
        <w:rPr>
          <w:color w:val="202122"/>
          <w:shd w:val="clear" w:color="auto" w:fill="FFFFFF"/>
        </w:rPr>
        <w:t>F1915-7.2 (LA-ICPMS and TIMS MDA).</w:t>
      </w:r>
    </w:p>
    <w:p w14:paraId="1611030C" w14:textId="291BEC4A" w:rsidR="0059428F" w:rsidRDefault="0059428F"/>
    <w:p w14:paraId="2F448DDA" w14:textId="7402BC29" w:rsidR="00975B0B" w:rsidRDefault="00975B0B"/>
    <w:p w14:paraId="64CEDD05" w14:textId="09CB0B88" w:rsidR="0081454D" w:rsidRPr="00797CB0" w:rsidRDefault="00975B0B" w:rsidP="0081454D">
      <w:r w:rsidRPr="00975B0B">
        <w:rPr>
          <w:b/>
          <w:bCs/>
        </w:rPr>
        <w:t>Figure SM</w:t>
      </w:r>
      <w:r w:rsidR="0081454D">
        <w:rPr>
          <w:b/>
          <w:bCs/>
        </w:rPr>
        <w:t>5</w:t>
      </w:r>
      <w:r w:rsidRPr="00975B0B">
        <w:rPr>
          <w:b/>
          <w:bCs/>
        </w:rPr>
        <w:t xml:space="preserve">. </w:t>
      </w:r>
      <w:r>
        <w:t xml:space="preserve">Sensitivity test of the carbon isotope box model </w:t>
      </w:r>
      <w:r w:rsidR="0090419E">
        <w:t>defined</w:t>
      </w:r>
      <w:r>
        <w:t xml:space="preserve"> in </w:t>
      </w:r>
      <w:r w:rsidR="00CF1BFA">
        <w:t xml:space="preserve">Chapter 4. </w:t>
      </w:r>
      <w:r w:rsidR="00B42C24">
        <w:t xml:space="preserve">A) </w:t>
      </w:r>
      <w:proofErr w:type="spellStart"/>
      <w:r w:rsidR="00B42C24">
        <w:t>f</w:t>
      </w:r>
      <w:r w:rsidR="00B42C24" w:rsidRPr="0081454D">
        <w:rPr>
          <w:vertAlign w:val="subscript"/>
        </w:rPr>
        <w:t>org</w:t>
      </w:r>
      <w:proofErr w:type="spellEnd"/>
      <w:r w:rsidR="00B42C24">
        <w:t xml:space="preserve"> calculated for pre-Monterey </w:t>
      </w:r>
      <w:r w:rsidR="0081454D">
        <w:t>Event</w:t>
      </w:r>
      <w:r w:rsidR="00B42C24">
        <w:t xml:space="preserve"> conditions (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>
        <w:rPr>
          <w:vertAlign w:val="subscript"/>
        </w:rPr>
        <w:t>carb</w:t>
      </w:r>
      <w:r w:rsidR="0081454D">
        <w:t xml:space="preserve"> of ~0.5‰), given a range of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rPr>
          <w:color w:val="1E1E21"/>
        </w:rPr>
        <w:t>C</w:t>
      </w:r>
      <w:r w:rsidR="0081454D">
        <w:rPr>
          <w:color w:val="1E1E21"/>
          <w:vertAlign w:val="subscript"/>
        </w:rPr>
        <w:t>in</w:t>
      </w:r>
      <w:r w:rsidR="0081454D" w:rsidRPr="008D01C0">
        <w:rPr>
          <w:rFonts w:ascii="Cambria Math" w:hAnsi="Cambria Math" w:cs="Cambria Math"/>
          <w:color w:val="1E1E21"/>
        </w:rPr>
        <w:t xml:space="preserve"> </w:t>
      </w:r>
      <w:r w:rsidR="0081454D">
        <w:rPr>
          <w:rFonts w:ascii="Cambria Math" w:hAnsi="Cambria Math" w:cs="Cambria Math"/>
          <w:color w:val="1E1E21"/>
        </w:rPr>
        <w:t xml:space="preserve">and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 w:rsidRPr="00B31131">
        <w:rPr>
          <w:vertAlign w:val="subscript"/>
        </w:rPr>
        <w:t>org</w:t>
      </w:r>
      <w:r w:rsidR="0081454D">
        <w:t xml:space="preserve"> values and a global carbon burial flux of ~0.6GtC/yr. B)</w:t>
      </w:r>
      <w:r w:rsidR="0081454D" w:rsidRPr="0081454D">
        <w:t xml:space="preserve"> </w:t>
      </w:r>
      <w:proofErr w:type="spellStart"/>
      <w:r w:rsidR="0081454D">
        <w:t>f</w:t>
      </w:r>
      <w:r w:rsidR="0081454D" w:rsidRPr="0081454D">
        <w:rPr>
          <w:vertAlign w:val="subscript"/>
        </w:rPr>
        <w:t>org</w:t>
      </w:r>
      <w:proofErr w:type="spellEnd"/>
      <w:r w:rsidR="0081454D">
        <w:t xml:space="preserve"> calculated for syn-Monterey Event conditions (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>
        <w:rPr>
          <w:vertAlign w:val="subscript"/>
        </w:rPr>
        <w:t>carb</w:t>
      </w:r>
      <w:r w:rsidR="0081454D">
        <w:t xml:space="preserve"> of ~1.5‰), given a range of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rPr>
          <w:color w:val="1E1E21"/>
        </w:rPr>
        <w:t>C</w:t>
      </w:r>
      <w:r w:rsidR="0081454D">
        <w:rPr>
          <w:color w:val="1E1E21"/>
          <w:vertAlign w:val="subscript"/>
        </w:rPr>
        <w:t>in</w:t>
      </w:r>
      <w:r w:rsidR="0081454D" w:rsidRPr="008D01C0">
        <w:rPr>
          <w:rFonts w:ascii="Cambria Math" w:hAnsi="Cambria Math" w:cs="Cambria Math"/>
          <w:color w:val="1E1E21"/>
        </w:rPr>
        <w:t xml:space="preserve"> </w:t>
      </w:r>
      <w:r w:rsidR="0081454D">
        <w:rPr>
          <w:rFonts w:ascii="Cambria Math" w:hAnsi="Cambria Math" w:cs="Cambria Math"/>
          <w:color w:val="1E1E21"/>
        </w:rPr>
        <w:t xml:space="preserve">and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 w:rsidRPr="00B31131">
        <w:rPr>
          <w:vertAlign w:val="subscript"/>
        </w:rPr>
        <w:t>org</w:t>
      </w:r>
      <w:r w:rsidR="0081454D">
        <w:t xml:space="preserve"> values and a global carbon burial flux of ~0.6GtC/yr. C) change in </w:t>
      </w:r>
      <w:proofErr w:type="spellStart"/>
      <w:r w:rsidR="0081454D">
        <w:t>f</w:t>
      </w:r>
      <w:r w:rsidR="0081454D" w:rsidRPr="0081454D">
        <w:rPr>
          <w:vertAlign w:val="subscript"/>
        </w:rPr>
        <w:t>org</w:t>
      </w:r>
      <w:proofErr w:type="spellEnd"/>
      <w:r w:rsidR="0081454D">
        <w:t xml:space="preserve"> (</w:t>
      </w:r>
      <w:r w:rsidR="0081454D">
        <w:rPr>
          <w:lang w:val="el-GR"/>
        </w:rPr>
        <w:t>Δ</w:t>
      </w:r>
      <w:r w:rsidR="0081454D" w:rsidRPr="005348D9">
        <w:t xml:space="preserve"> </w:t>
      </w:r>
      <w:proofErr w:type="spellStart"/>
      <w:r w:rsidR="0081454D">
        <w:t>f</w:t>
      </w:r>
      <w:r w:rsidR="0081454D" w:rsidRPr="00507B77">
        <w:rPr>
          <w:vertAlign w:val="subscript"/>
        </w:rPr>
        <w:t>org</w:t>
      </w:r>
      <w:proofErr w:type="spellEnd"/>
      <w:r w:rsidR="0081454D">
        <w:t>) required to drive a shift in</w:t>
      </w:r>
      <w:r w:rsidR="0081454D" w:rsidRPr="0081454D">
        <w:rPr>
          <w:rFonts w:ascii="Cambria Math" w:hAnsi="Cambria Math" w:cs="Cambria Math"/>
          <w:color w:val="1E1E21"/>
        </w:rPr>
        <w:t xml:space="preserve">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>
        <w:rPr>
          <w:vertAlign w:val="subscript"/>
        </w:rPr>
        <w:t>carb</w:t>
      </w:r>
      <w:r w:rsidR="0081454D">
        <w:t xml:space="preserve"> from ~0.5‰ to ~1.5‰ for a given combination of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rPr>
          <w:color w:val="1E1E21"/>
        </w:rPr>
        <w:t>C</w:t>
      </w:r>
      <w:r w:rsidR="0081454D">
        <w:rPr>
          <w:color w:val="1E1E21"/>
          <w:vertAlign w:val="subscript"/>
        </w:rPr>
        <w:t>in</w:t>
      </w:r>
      <w:r w:rsidR="0081454D" w:rsidRPr="008D01C0">
        <w:rPr>
          <w:rFonts w:ascii="Cambria Math" w:hAnsi="Cambria Math" w:cs="Cambria Math"/>
          <w:color w:val="1E1E21"/>
        </w:rPr>
        <w:t xml:space="preserve"> </w:t>
      </w:r>
      <w:r w:rsidR="0081454D">
        <w:rPr>
          <w:rFonts w:ascii="Cambria Math" w:hAnsi="Cambria Math" w:cs="Cambria Math"/>
          <w:color w:val="1E1E21"/>
        </w:rPr>
        <w:t xml:space="preserve">and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 w:rsidRPr="00B31131">
        <w:rPr>
          <w:vertAlign w:val="subscript"/>
        </w:rPr>
        <w:t>org</w:t>
      </w:r>
      <w:r w:rsidR="0081454D">
        <w:t xml:space="preserve"> values. D) Sustained organic carbon mass accumulation rates (OCMARs) in circum-Pacific basins (total area of 600,000km</w:t>
      </w:r>
      <w:r w:rsidR="0081454D" w:rsidRPr="0081454D">
        <w:rPr>
          <w:vertAlign w:val="superscript"/>
        </w:rPr>
        <w:t>2</w:t>
      </w:r>
      <w:r w:rsidR="0081454D">
        <w:t>) required to explain a shift in</w:t>
      </w:r>
      <w:r w:rsidR="0081454D" w:rsidRPr="0081454D">
        <w:rPr>
          <w:rFonts w:ascii="Cambria Math" w:hAnsi="Cambria Math" w:cs="Cambria Math"/>
          <w:color w:val="1E1E21"/>
        </w:rPr>
        <w:t xml:space="preserve">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>
        <w:rPr>
          <w:vertAlign w:val="subscript"/>
        </w:rPr>
        <w:t>carb</w:t>
      </w:r>
      <w:r w:rsidR="0081454D">
        <w:t xml:space="preserve"> from ~0.5‰ to ~1.5‰ through organic carbon burial in the Monterey F</w:t>
      </w:r>
      <w:r w:rsidR="00797CB0">
        <w:t>ormation</w:t>
      </w:r>
      <w:r w:rsidR="0081454D">
        <w:t xml:space="preserve"> and equivalent strata for a given combination of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rPr>
          <w:color w:val="1E1E21"/>
        </w:rPr>
        <w:t>C</w:t>
      </w:r>
      <w:r w:rsidR="0081454D">
        <w:rPr>
          <w:color w:val="1E1E21"/>
          <w:vertAlign w:val="subscript"/>
        </w:rPr>
        <w:t>in</w:t>
      </w:r>
      <w:r w:rsidR="0081454D" w:rsidRPr="008D01C0">
        <w:rPr>
          <w:rFonts w:ascii="Cambria Math" w:hAnsi="Cambria Math" w:cs="Cambria Math"/>
          <w:color w:val="1E1E21"/>
        </w:rPr>
        <w:t xml:space="preserve"> </w:t>
      </w:r>
      <w:r w:rsidR="0081454D">
        <w:rPr>
          <w:rFonts w:ascii="Cambria Math" w:hAnsi="Cambria Math" w:cs="Cambria Math"/>
          <w:color w:val="1E1E21"/>
        </w:rPr>
        <w:t xml:space="preserve">and </w:t>
      </w:r>
      <w:r w:rsidR="0081454D" w:rsidRPr="008D01C0">
        <w:rPr>
          <w:rFonts w:ascii="Cambria Math" w:hAnsi="Cambria Math" w:cs="Cambria Math"/>
          <w:color w:val="1E1E21"/>
        </w:rPr>
        <w:t>𝛿</w:t>
      </w:r>
      <w:r w:rsidR="0081454D" w:rsidRPr="008D01C0">
        <w:rPr>
          <w:color w:val="1E1E21"/>
          <w:vertAlign w:val="superscript"/>
        </w:rPr>
        <w:t>13</w:t>
      </w:r>
      <w:r w:rsidR="0081454D" w:rsidRPr="008D01C0">
        <w:t>C</w:t>
      </w:r>
      <w:r w:rsidR="0081454D" w:rsidRPr="00B31131">
        <w:rPr>
          <w:vertAlign w:val="subscript"/>
        </w:rPr>
        <w:t>org</w:t>
      </w:r>
      <w:r w:rsidR="0081454D">
        <w:t xml:space="preserve"> values. </w:t>
      </w:r>
      <w:r w:rsidR="00797CB0">
        <w:t xml:space="preserve">In all panels, the red triangle indicates the model output for the assumed </w:t>
      </w:r>
      <w:r w:rsidR="00797CB0" w:rsidRPr="008D01C0">
        <w:rPr>
          <w:rFonts w:ascii="Cambria Math" w:hAnsi="Cambria Math" w:cs="Cambria Math"/>
          <w:color w:val="1E1E21"/>
        </w:rPr>
        <w:t>𝛿</w:t>
      </w:r>
      <w:r w:rsidR="00797CB0" w:rsidRPr="008D01C0">
        <w:rPr>
          <w:color w:val="1E1E21"/>
          <w:vertAlign w:val="superscript"/>
        </w:rPr>
        <w:t>13</w:t>
      </w:r>
      <w:r w:rsidR="00797CB0" w:rsidRPr="008D01C0">
        <w:rPr>
          <w:color w:val="1E1E21"/>
        </w:rPr>
        <w:t>C</w:t>
      </w:r>
      <w:r w:rsidR="00797CB0">
        <w:rPr>
          <w:color w:val="1E1E21"/>
          <w:vertAlign w:val="subscript"/>
        </w:rPr>
        <w:t>in</w:t>
      </w:r>
      <w:r w:rsidR="00797CB0" w:rsidRPr="008D01C0">
        <w:rPr>
          <w:rFonts w:ascii="Cambria Math" w:hAnsi="Cambria Math" w:cs="Cambria Math"/>
          <w:color w:val="1E1E21"/>
        </w:rPr>
        <w:t xml:space="preserve"> </w:t>
      </w:r>
      <w:r w:rsidR="00797CB0">
        <w:rPr>
          <w:rFonts w:ascii="Cambria Math" w:hAnsi="Cambria Math" w:cs="Cambria Math"/>
          <w:color w:val="1E1E21"/>
        </w:rPr>
        <w:t xml:space="preserve">and </w:t>
      </w:r>
      <w:r w:rsidR="00797CB0" w:rsidRPr="008D01C0">
        <w:rPr>
          <w:rFonts w:ascii="Cambria Math" w:hAnsi="Cambria Math" w:cs="Cambria Math"/>
          <w:color w:val="1E1E21"/>
        </w:rPr>
        <w:t>𝛿</w:t>
      </w:r>
      <w:r w:rsidR="00797CB0" w:rsidRPr="008D01C0">
        <w:rPr>
          <w:color w:val="1E1E21"/>
          <w:vertAlign w:val="superscript"/>
        </w:rPr>
        <w:t>13</w:t>
      </w:r>
      <w:r w:rsidR="00797CB0" w:rsidRPr="008D01C0">
        <w:t>C</w:t>
      </w:r>
      <w:r w:rsidR="00797CB0" w:rsidRPr="00B31131">
        <w:rPr>
          <w:vertAlign w:val="subscript"/>
        </w:rPr>
        <w:t>org</w:t>
      </w:r>
      <w:r w:rsidR="00797CB0">
        <w:t xml:space="preserve"> compositions (-6‰ and -23‰, respectively) discussed in the main text. </w:t>
      </w:r>
    </w:p>
    <w:p w14:paraId="27F9542D" w14:textId="3760625E" w:rsidR="00975B0B" w:rsidRDefault="00975B0B"/>
    <w:p w14:paraId="07AA77C9" w14:textId="31C20002" w:rsidR="007A1480" w:rsidRDefault="007A1480"/>
    <w:p w14:paraId="7A872A15" w14:textId="2E667445" w:rsidR="007A1480" w:rsidRDefault="007A1480"/>
    <w:p w14:paraId="2B8752A9" w14:textId="6B9B99D5" w:rsidR="007A1480" w:rsidRPr="0081454D" w:rsidRDefault="007A1480" w:rsidP="007A1480">
      <w:pPr>
        <w:jc w:val="center"/>
      </w:pPr>
      <w:r>
        <w:t>*  *  *</w:t>
      </w:r>
    </w:p>
    <w:sectPr w:rsidR="007A1480" w:rsidRPr="0081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F96F0" w14:textId="77777777" w:rsidR="00EA422B" w:rsidRDefault="00EA422B" w:rsidP="00D655C5">
      <w:r>
        <w:separator/>
      </w:r>
    </w:p>
  </w:endnote>
  <w:endnote w:type="continuationSeparator" w:id="0">
    <w:p w14:paraId="1EFFC407" w14:textId="77777777" w:rsidR="00EA422B" w:rsidRDefault="00EA422B" w:rsidP="00D6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C7CB0" w14:textId="77777777" w:rsidR="00EA422B" w:rsidRDefault="00EA422B" w:rsidP="00D655C5">
      <w:r>
        <w:separator/>
      </w:r>
    </w:p>
  </w:footnote>
  <w:footnote w:type="continuationSeparator" w:id="0">
    <w:p w14:paraId="62CF8542" w14:textId="77777777" w:rsidR="00EA422B" w:rsidRDefault="00EA422B" w:rsidP="00D6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4A1C"/>
    <w:multiLevelType w:val="multilevel"/>
    <w:tmpl w:val="764CD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C914F0"/>
    <w:multiLevelType w:val="hybridMultilevel"/>
    <w:tmpl w:val="D09462F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2F6B"/>
    <w:multiLevelType w:val="hybridMultilevel"/>
    <w:tmpl w:val="6B60ADD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A274A"/>
    <w:multiLevelType w:val="hybridMultilevel"/>
    <w:tmpl w:val="EBD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1BE9"/>
    <w:multiLevelType w:val="hybridMultilevel"/>
    <w:tmpl w:val="94FC20A8"/>
    <w:lvl w:ilvl="0" w:tplc="C406C9A6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A83ECF"/>
    <w:multiLevelType w:val="hybridMultilevel"/>
    <w:tmpl w:val="E4AC4B7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117B2"/>
    <w:multiLevelType w:val="hybridMultilevel"/>
    <w:tmpl w:val="97A8988A"/>
    <w:lvl w:ilvl="0" w:tplc="27BCA28E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0B74CA6"/>
    <w:multiLevelType w:val="hybridMultilevel"/>
    <w:tmpl w:val="76CA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75B5"/>
    <w:multiLevelType w:val="multilevel"/>
    <w:tmpl w:val="764CD78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4A7C14"/>
    <w:multiLevelType w:val="hybridMultilevel"/>
    <w:tmpl w:val="096E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97"/>
    <w:rsid w:val="00002164"/>
    <w:rsid w:val="000061E3"/>
    <w:rsid w:val="00030210"/>
    <w:rsid w:val="000447E6"/>
    <w:rsid w:val="00044F65"/>
    <w:rsid w:val="000765B9"/>
    <w:rsid w:val="0008321A"/>
    <w:rsid w:val="00085D6E"/>
    <w:rsid w:val="000A3CF5"/>
    <w:rsid w:val="000B02FC"/>
    <w:rsid w:val="000B06C2"/>
    <w:rsid w:val="000C7907"/>
    <w:rsid w:val="000E15BD"/>
    <w:rsid w:val="000E456F"/>
    <w:rsid w:val="00106C32"/>
    <w:rsid w:val="00106FE8"/>
    <w:rsid w:val="00116356"/>
    <w:rsid w:val="00150D38"/>
    <w:rsid w:val="001A0270"/>
    <w:rsid w:val="001C5856"/>
    <w:rsid w:val="001D301E"/>
    <w:rsid w:val="001E2411"/>
    <w:rsid w:val="00273359"/>
    <w:rsid w:val="0027526F"/>
    <w:rsid w:val="0027793D"/>
    <w:rsid w:val="002A5D27"/>
    <w:rsid w:val="002B4A4C"/>
    <w:rsid w:val="002B6671"/>
    <w:rsid w:val="002C3156"/>
    <w:rsid w:val="002D7459"/>
    <w:rsid w:val="002E05B5"/>
    <w:rsid w:val="002F1455"/>
    <w:rsid w:val="0030085D"/>
    <w:rsid w:val="00317AA4"/>
    <w:rsid w:val="00340634"/>
    <w:rsid w:val="003409FB"/>
    <w:rsid w:val="00344752"/>
    <w:rsid w:val="003552C5"/>
    <w:rsid w:val="00363D64"/>
    <w:rsid w:val="003C6912"/>
    <w:rsid w:val="003C79BC"/>
    <w:rsid w:val="004363C2"/>
    <w:rsid w:val="00436443"/>
    <w:rsid w:val="00437423"/>
    <w:rsid w:val="004554FF"/>
    <w:rsid w:val="004A653E"/>
    <w:rsid w:val="004B02D9"/>
    <w:rsid w:val="004B64AE"/>
    <w:rsid w:val="004D1F2B"/>
    <w:rsid w:val="004D7457"/>
    <w:rsid w:val="00501E4C"/>
    <w:rsid w:val="00504310"/>
    <w:rsid w:val="00507B77"/>
    <w:rsid w:val="0052396D"/>
    <w:rsid w:val="005258C9"/>
    <w:rsid w:val="005325B5"/>
    <w:rsid w:val="005348D9"/>
    <w:rsid w:val="0059428F"/>
    <w:rsid w:val="00594832"/>
    <w:rsid w:val="00595DC7"/>
    <w:rsid w:val="005C03FB"/>
    <w:rsid w:val="005C3641"/>
    <w:rsid w:val="005C4797"/>
    <w:rsid w:val="005D0D4B"/>
    <w:rsid w:val="005D5C1E"/>
    <w:rsid w:val="00606273"/>
    <w:rsid w:val="00607511"/>
    <w:rsid w:val="0061484B"/>
    <w:rsid w:val="0062771E"/>
    <w:rsid w:val="00627E04"/>
    <w:rsid w:val="0063191D"/>
    <w:rsid w:val="00634F3E"/>
    <w:rsid w:val="00654493"/>
    <w:rsid w:val="00686501"/>
    <w:rsid w:val="006A4AFE"/>
    <w:rsid w:val="006D20A1"/>
    <w:rsid w:val="006D247F"/>
    <w:rsid w:val="00703A8F"/>
    <w:rsid w:val="00765AC1"/>
    <w:rsid w:val="007808B9"/>
    <w:rsid w:val="00797CB0"/>
    <w:rsid w:val="007A0D2A"/>
    <w:rsid w:val="007A1480"/>
    <w:rsid w:val="007B198D"/>
    <w:rsid w:val="007B6589"/>
    <w:rsid w:val="007D4C43"/>
    <w:rsid w:val="007D642B"/>
    <w:rsid w:val="007E4A96"/>
    <w:rsid w:val="007F1E84"/>
    <w:rsid w:val="00805223"/>
    <w:rsid w:val="0081454D"/>
    <w:rsid w:val="008319EF"/>
    <w:rsid w:val="0084028D"/>
    <w:rsid w:val="00876605"/>
    <w:rsid w:val="00885A2B"/>
    <w:rsid w:val="0089420E"/>
    <w:rsid w:val="008B4439"/>
    <w:rsid w:val="0090419E"/>
    <w:rsid w:val="0092404A"/>
    <w:rsid w:val="00925905"/>
    <w:rsid w:val="00930D0C"/>
    <w:rsid w:val="00937C89"/>
    <w:rsid w:val="00967BA0"/>
    <w:rsid w:val="00975B0B"/>
    <w:rsid w:val="009931A4"/>
    <w:rsid w:val="009A00F1"/>
    <w:rsid w:val="009B0E11"/>
    <w:rsid w:val="009C395D"/>
    <w:rsid w:val="009E27F8"/>
    <w:rsid w:val="009E5BFF"/>
    <w:rsid w:val="00A2481A"/>
    <w:rsid w:val="00A2524A"/>
    <w:rsid w:val="00A268AD"/>
    <w:rsid w:val="00A5058E"/>
    <w:rsid w:val="00A611EE"/>
    <w:rsid w:val="00A612D2"/>
    <w:rsid w:val="00A62275"/>
    <w:rsid w:val="00A62ABB"/>
    <w:rsid w:val="00A825E5"/>
    <w:rsid w:val="00AA349E"/>
    <w:rsid w:val="00AA6694"/>
    <w:rsid w:val="00AB527F"/>
    <w:rsid w:val="00AB7346"/>
    <w:rsid w:val="00AC4A8F"/>
    <w:rsid w:val="00AE575D"/>
    <w:rsid w:val="00AF699A"/>
    <w:rsid w:val="00B35651"/>
    <w:rsid w:val="00B42333"/>
    <w:rsid w:val="00B42C24"/>
    <w:rsid w:val="00B46968"/>
    <w:rsid w:val="00B7032F"/>
    <w:rsid w:val="00BA2DFB"/>
    <w:rsid w:val="00BB02AD"/>
    <w:rsid w:val="00BC5941"/>
    <w:rsid w:val="00BD002D"/>
    <w:rsid w:val="00BD0AFD"/>
    <w:rsid w:val="00BD6506"/>
    <w:rsid w:val="00BD6CE1"/>
    <w:rsid w:val="00BE7F4F"/>
    <w:rsid w:val="00BF6B66"/>
    <w:rsid w:val="00C16DFF"/>
    <w:rsid w:val="00C179C6"/>
    <w:rsid w:val="00C25818"/>
    <w:rsid w:val="00C31E81"/>
    <w:rsid w:val="00C33A24"/>
    <w:rsid w:val="00C56175"/>
    <w:rsid w:val="00C56B81"/>
    <w:rsid w:val="00C616BE"/>
    <w:rsid w:val="00C66891"/>
    <w:rsid w:val="00C67E9A"/>
    <w:rsid w:val="00C72521"/>
    <w:rsid w:val="00C94EC8"/>
    <w:rsid w:val="00CC7BC2"/>
    <w:rsid w:val="00CD3CA3"/>
    <w:rsid w:val="00CF1BFA"/>
    <w:rsid w:val="00CF43A1"/>
    <w:rsid w:val="00CF4926"/>
    <w:rsid w:val="00D04BA7"/>
    <w:rsid w:val="00D05020"/>
    <w:rsid w:val="00D1107A"/>
    <w:rsid w:val="00D46D8E"/>
    <w:rsid w:val="00D47423"/>
    <w:rsid w:val="00D47622"/>
    <w:rsid w:val="00D517AB"/>
    <w:rsid w:val="00D6237E"/>
    <w:rsid w:val="00D655C5"/>
    <w:rsid w:val="00D93CDC"/>
    <w:rsid w:val="00D954B4"/>
    <w:rsid w:val="00DB32A8"/>
    <w:rsid w:val="00DF29BA"/>
    <w:rsid w:val="00DF5976"/>
    <w:rsid w:val="00E228A0"/>
    <w:rsid w:val="00E3207D"/>
    <w:rsid w:val="00E43BA3"/>
    <w:rsid w:val="00E43BD1"/>
    <w:rsid w:val="00E44A86"/>
    <w:rsid w:val="00EA422B"/>
    <w:rsid w:val="00EB2CB1"/>
    <w:rsid w:val="00EB7902"/>
    <w:rsid w:val="00EC2601"/>
    <w:rsid w:val="00ED08D4"/>
    <w:rsid w:val="00ED4E30"/>
    <w:rsid w:val="00EE61B2"/>
    <w:rsid w:val="00F23EDA"/>
    <w:rsid w:val="00F30597"/>
    <w:rsid w:val="00F3061D"/>
    <w:rsid w:val="00F3278E"/>
    <w:rsid w:val="00F40393"/>
    <w:rsid w:val="00F41036"/>
    <w:rsid w:val="00F5533C"/>
    <w:rsid w:val="00F64330"/>
    <w:rsid w:val="00F738B1"/>
    <w:rsid w:val="00FB2304"/>
    <w:rsid w:val="00FB7393"/>
    <w:rsid w:val="00F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9957"/>
  <w15:chartTrackingRefBased/>
  <w15:docId w15:val="{26A59153-D1A7-4845-A04F-E0B8B830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3641"/>
  </w:style>
  <w:style w:type="character" w:styleId="CommentReference">
    <w:name w:val="annotation reference"/>
    <w:basedOn w:val="DefaultParagraphFont"/>
    <w:uiPriority w:val="99"/>
    <w:semiHidden/>
    <w:unhideWhenUsed/>
    <w:rsid w:val="00BA2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5B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5B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9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5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5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5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5C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31E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D7457"/>
    <w:pPr>
      <w:ind w:left="720"/>
      <w:contextualSpacing/>
    </w:pPr>
  </w:style>
  <w:style w:type="numbering" w:customStyle="1" w:styleId="CurrentList1">
    <w:name w:val="Current List1"/>
    <w:uiPriority w:val="99"/>
    <w:rsid w:val="00B35651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1"/>
    <w:qFormat/>
    <w:rsid w:val="000C7907"/>
    <w:pPr>
      <w:widowControl w:val="0"/>
      <w:autoSpaceDE w:val="0"/>
      <w:autoSpaceDN w:val="0"/>
      <w:ind w:left="360" w:hanging="24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C790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Anttila</dc:creator>
  <cp:keywords/>
  <dc:description/>
  <cp:lastModifiedBy>Eliel Anttila</cp:lastModifiedBy>
  <cp:revision>3</cp:revision>
  <cp:lastPrinted>2022-10-18T23:23:00Z</cp:lastPrinted>
  <dcterms:created xsi:type="dcterms:W3CDTF">2024-04-02T06:41:00Z</dcterms:created>
  <dcterms:modified xsi:type="dcterms:W3CDTF">2024-04-02T06:44:00Z</dcterms:modified>
</cp:coreProperties>
</file>