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If Player A goes all-in for $200 and Player B calls with a $800 stack and Player C calls with a $1,500 stack, Player A cannot win more than $200 from each opponent. The excess chips that Player A cannot compete for are separated into a side pot.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Take $200 from each of the three players. Combined with the $50 in blinds, the main pot is $650. All three players are eligible to win this pot.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often near the dealer.</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6.4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left of the button (the standard tiebreaker in most cardrooms). However, the complexity escalates dramatically in games with high-low splits and multiple boards.</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Must clearly display to all players exactly how much each person receives and from which pot portion.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Clearing happens after every significant chip interaction: after cutting chips, after completing a buy-in, after pushing a pot, and any time hands come out of the chip tray. 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Must track antes and bring-in bets. Must manage up to 56 cards in play simultaneously (8 players x 7 cards). This game pushes the limits of table space and card tracking.</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 set of procedures that do not exist in cash games. These are critical for a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Color-Up and Race-Off</w:t>
      </w:r>
    </w:p>
    <w:p>
      <w:pPr>
        <w:spacing w:after="160" w:line="276"/>
      </w:pPr>
      <w:r>
        <w:rPr>
          <w:rFonts w:ascii="Arial" w:cs="Arial" w:eastAsia="Arial" w:hAnsi="Arial"/>
          <w:color w:val="333333"/>
          <w:sz w:val="21"/>
          <w:szCs w:val="21"/>
        </w:rPr>
        <w:t xml:space="preserve">As blind levels increase in tournaments, lower denomination chips are removed from play. The dealer must exchange (color up) small chips for larger ones. When a player has an odd number of small chips that cannot be evenly exchanged, a race-off procedure is used: the player receives one card face-up for each odd chip, and the player with the highest card receives a replacement chip. This requires the dealer to manage a mini-card-dealing procedure in the middle of the tournament.</w:t>
      </w:r>
    </w:p>
    <w:p>
      <w:pPr>
        <w:pStyle w:val="Heading2"/>
        <w:spacing w:before="280" w:after="160"/>
      </w:pPr>
      <w:r>
        <w:rPr>
          <w:rFonts w:ascii="Arial" w:cs="Arial" w:eastAsia="Arial" w:hAnsi="Arial"/>
          <w:b/>
          <w:bCs/>
          <w:color w:val="2C3E50"/>
          <w:sz w:val="26"/>
          <w:szCs w:val="26"/>
        </w:rPr>
        <w:t xml:space="preserve">11.2 Table Breaks</w:t>
      </w:r>
    </w:p>
    <w:p>
      <w:pPr>
        <w:spacing w:after="160" w:line="276"/>
      </w:pPr>
      <w:r>
        <w:rPr>
          <w:rFonts w:ascii="Arial" w:cs="Arial" w:eastAsia="Arial" w:hAnsi="Arial"/>
          <w:color w:val="333333"/>
          <w:sz w:val="21"/>
          <w:szCs w:val="21"/>
        </w:rPr>
        <w:t xml:space="preserve">When a table is broken (eliminated as players bust), remaining players must be moved to fill empty seats at other tables. The dealer verifies chip counts, bags chips if necessary, and directs players to their new seats based on instructions from the tournament director. The dealer must verify that no chips are lost during the transfer.</w:t>
      </w:r>
    </w:p>
    <w:p>
      <w:pPr>
        <w:pStyle w:val="Heading2"/>
        <w:spacing w:before="280" w:after="160"/>
      </w:pPr>
      <w:r>
        <w:rPr>
          <w:rFonts w:ascii="Arial" w:cs="Arial" w:eastAsia="Arial" w:hAnsi="Arial"/>
          <w:b/>
          <w:bCs/>
          <w:color w:val="2C3E50"/>
          <w:sz w:val="26"/>
          <w:szCs w:val="26"/>
        </w:rPr>
        <w:t xml:space="preserve">11.3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w:t>
      </w:r>
    </w:p>
    <w:p>
      <w:pPr>
        <w:pStyle w:val="Heading2"/>
        <w:spacing w:before="280" w:after="160"/>
      </w:pPr>
      <w:r>
        <w:rPr>
          <w:rFonts w:ascii="Arial" w:cs="Arial" w:eastAsia="Arial" w:hAnsi="Arial"/>
          <w:b/>
          <w:bCs/>
          <w:color w:val="2C3E50"/>
          <w:sz w:val="26"/>
          <w:szCs w:val="26"/>
        </w:rPr>
        <w:t xml:space="preserve">11.4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This is the one scenario where elite human dealers would likely be retained even in a robotic dealing environment, as discussed in the companion thesis document.</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is typically minimum wage or slightly above.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2026-02-18T23:46:56.778Z</dcterms:created>
  <dcterms:modified xsi:type="dcterms:W3CDTF">2026-02-18T23:46:56.779Z</dcterms:modified>
</cp:coreProperties>
</file>

<file path=docProps/custom.xml><?xml version="1.0" encoding="utf-8"?>
<Properties xmlns="http://schemas.openxmlformats.org/officeDocument/2006/custom-properties" xmlns:vt="http://schemas.openxmlformats.org/officeDocument/2006/docPropsVTypes"/>
</file>