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u w:val="single"/>
          <w:rtl w:val="0"/>
        </w:rPr>
        <w:t xml:space="preserve">OBSERVER QUELQUES PHÉNOMÈNES DE FONCTIONNEMENT D'UN GROUPE FICHE OBSERVATEUR :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rtl w:val="0"/>
        </w:rPr>
        <w:t xml:space="preserve">Consignes : observez le fonctionnement du groupe et complétez la fiche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1 - Aspects matériels</w:t>
      </w: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taille du groupe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environnement (espace, ambiance, bruit.)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disposition spatiale des participants ?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2 - Communication émetteur / récepteur dans le groupe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qui s'exprime 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qui reformule 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qui parle avec qui ?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3 - Relations dans le groupe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quels rôles sont joués (opposant, organisateur) 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attitudes non-verbales (mimiques, gestes. regard. ..) 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repérage des affinités, pourquoi ?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repérage des conflits, pourquoi ?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leadership: émergence ? comment se produit-elle ? </w:t>
        <w:br w:type="textWrapping"/>
        <w:t xml:space="preserve">pourquoi ? </w:t>
        <w:br w:type="textWrapping"/>
        <w:t xml:space="preserve">quel comportement du leader : sollicite les avis, prend le pouvoir, organise, conclut, … quelles sont les réactions des autres ? · </w:t>
        <w:br w:type="textWrapping"/>
        <w:t xml:space="preserve">prise de décision -. modes de participation de chacun ? · </w:t>
        <w:br w:type="textWrapping"/>
        <w:t xml:space="preserve">facteurs qui influencent les opinions et la décision (argumentation, insistance, personnalité)? · </w:t>
        <w:br w:type="textWrapping"/>
        <w:t xml:space="preserve">degré de consensus et de ralliement à la décision 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Conclusion 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rtl w:val="0"/>
        </w:rPr>
        <w:t xml:space="preserve">bon fonctionnement du groupe 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rtl w:val="0"/>
        </w:rPr>
        <w:t xml:space="preserve">points positifs 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rtl w:val="0"/>
        </w:rPr>
        <w:t xml:space="preserve">points négatifs ?</w:t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hanging="870"/>
      <w:contextualSpacing w:val="0"/>
    </w:pPr>
    <w:r w:rsidDel="00000000" w:rsidR="00000000" w:rsidRPr="00000000">
      <w:drawing>
        <wp:inline distB="114300" distT="114300" distL="114300" distR="114300">
          <wp:extent cx="928688" cy="391026"/>
          <wp:effectExtent b="0" l="0" r="0" t="0"/>
          <wp:docPr descr="logo-LPWF3.jpg" id="1" name="image01.jpg"/>
          <a:graphic>
            <a:graphicData uri="http://schemas.openxmlformats.org/drawingml/2006/picture">
              <pic:pic>
                <pic:nvPicPr>
                  <pic:cNvPr descr="logo-LPWF3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910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8"/>
        <w:rtl w:val="0"/>
      </w:rPr>
      <w:t xml:space="preserve"> LePoleS WebForce3 - Formation intégrateur développeur web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