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Eficiência: Impacto da Integração SOLIDWORKS com ERP TOTVS nos Cadastros de Produtos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Prezado Júlio,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Gostaria de apresentar os resultados obtidos a partir da implementação da integração TOTVS em nossos processos de cadastro. Analisamos de perto a diferença no tempo gasto antes e depois da integração para entender o impacto dessa mudança na eficiência operacional. Seguem os detalhes relevantes: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Espaço Amostral: 26 cadastros manuais no sistema TOTVS.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Códigos das amostras:</w:t>
        <w:br w:type="textWrapping"/>
        <w:br w:type="textWrapping"/>
      </w:r>
      <w:r w:rsidDel="00000000" w:rsidR="00000000" w:rsidRPr="00000000">
        <w:rPr>
          <w:rtl w:val="0"/>
        </w:rPr>
        <w:t xml:space="preserve">E7047-001-920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E5552-008-100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E5552-008-102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E5552-008-103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E5552-008-104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E5552-008-105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E5552-008-106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E5552-008-107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E5552-008-108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M-081-000-220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M-081-000-224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M-081-000-225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E7000-009-283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E7000-009-251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E7000-009-281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E7000-009-279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E7000-009-284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E7000-009-285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E7000-009-275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E7000-009-253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E7000-009-298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E7000-009-270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E7000-009-271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E7000-009-274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E7000-009-273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E7000-009-252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Obtidos: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Tempo médio anterior por cadastro: 4 minutos.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Tempo médio após a integração por cadastro: 1 minuto.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Antes da integração, o tempo médio total gasto para os 26 cadastros foi calculado em 104 minutos. Após a integração, observamos um tempo total de apenas 26 minutos para o mesmo número de cadastros. Isso implica numa economia de tempo significativa, equivalente a 78 minutos, aproximadamente 75,0% de redução de tempo por cadastro.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integração TOTVS demonstrou claramente sua eficácia ao reduzir substancialmente o tempo gasto em tarefas de cadastro. Essa economia de tempo representa não apenas uma otimização operacional, mas também um potencial aumento na produtividade geral da equipe. Recomendamos a continuidade e expansão dessas iniciativas para outros processos operacionais, visando maximizar a eficiência em todas as áreas de atuação.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Fico à disposição para discutir mais detalhes e estratégias adicionais para aprimorar ainda mais nossos processos operacionais.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Atenciosamente,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Eliezer Moraes Silva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