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i w:val="false"/>
          <w:iCs w:val="false"/>
          <w:sz w:val="28"/>
          <w:szCs w:val="28"/>
        </w:rPr>
        <w:t xml:space="preserve">Challenge 5 – Evaluation of Possible Data (completed)</w:t>
      </w:r>
    </w:p>
    <w:p>
      <w:pPr>
        <w:spacing w:after="200"/>
      </w:pPr>
      <w:r>
        <w:rPr>
          <w:rFonts w:ascii="Calibri" w:cs="Calibri" w:eastAsia="Calibri" w:hAnsi="Calibri"/>
          <w:b w:val="false"/>
          <w:bCs w:val="false"/>
          <w:i/>
          <w:iCs/>
          <w:sz w:val="20"/>
          <w:szCs w:val="20"/>
        </w:rPr>
        <w:t xml:space="preserve">Seeing the Invisible Shield: Valuing Coastal Habitats as Natural Infrastructure — Elif Gul Abdul Halim</w:t>
      </w:r>
    </w:p>
    <w:p>
      <w:pPr>
        <w:spacing w:after="240"/>
      </w:pPr>
      <w:r>
        <w:rPr>
          <w:rFonts w:ascii="Calibri" w:cs="Calibri" w:eastAsia="Calibri" w:hAnsi="Calibri"/>
          <w:b w:val="false"/>
          <w:bCs w:val="false"/>
          <w:i w:val="false"/>
          <w:iCs w:val="false"/>
          <w:sz w:val="19"/>
          <w:szCs w:val="19"/>
        </w:rPr>
        <w:t xml:space="preserve">The table below completes the columns left open in the evaluation provided by the organisers. Importance is graded as CRITICAL (the prototype cannot be delivered without it), IMPORTANT (materially improves the result), or SUPPORTING (adds context). The final three rows, shaded, are datasets that were not in the original list but that we consider necessary; the reasons are given in the notes.</w:t>
      </w:r>
    </w:p>
    <w:tbl>
      <w:tblPr>
        <w:tblW w:type="dxa" w:w="15398"/>
        <w:tblBorders>
          <w:top w:val="single" w:color="AAAAAA" w:sz="2"/>
          <w:left w:val="single" w:color="AAAAAA" w:sz="2"/>
          <w:bottom w:val="single" w:color="AAAAAA" w:sz="2"/>
          <w:right w:val="single" w:color="AAAAAA" w:sz="2"/>
          <w:insideH w:val="single" w:color="CCCCCC" w:sz="2"/>
          <w:insideV w:val="single" w:color="CCCCCC" w:sz="2"/>
        </w:tblBorders>
      </w:tblPr>
      <w:tblGrid>
        <w:gridCol w:w="1750"/>
        <w:gridCol w:w="1850"/>
        <w:gridCol w:w="1000"/>
        <w:gridCol w:w="2150"/>
        <w:gridCol w:w="1750"/>
        <w:gridCol w:w="1100"/>
        <w:gridCol w:w="5798"/>
      </w:tblGrid>
      <w:tr>
        <w:trPr>
          <w:tblHeader/>
        </w:trPr>
        <w:tc>
          <w:tcPr>
            <w:tcW w:type="dxa" w:w="1750"/>
            <w:shd w:fill="DCE6F1" w:color="auto" w:val="clear"/>
            <w:tcMar>
              <w:top w:type="dxa" w:w="60"/>
              <w:left w:type="dxa" w:w="80"/>
              <w:bottom w:type="dxa" w:w="60"/>
              <w:right w:type="dxa" w:w="80"/>
            </w:tcMar>
          </w:tcPr>
          <w:p>
            <w:pPr>
              <w:spacing w:after="0"/>
            </w:pPr>
            <w:r>
              <w:rPr>
                <w:rFonts w:ascii="Calibri" w:cs="Calibri" w:eastAsia="Calibri" w:hAnsi="Calibri"/>
                <w:b/>
                <w:bCs/>
                <w:sz w:val="16"/>
                <w:szCs w:val="16"/>
              </w:rPr>
              <w:t xml:space="preserve">Data Category</w:t>
            </w:r>
          </w:p>
        </w:tc>
        <w:tc>
          <w:tcPr>
            <w:tcW w:type="dxa" w:w="1850"/>
            <w:shd w:fill="DCE6F1" w:color="auto" w:val="clear"/>
            <w:tcMar>
              <w:top w:type="dxa" w:w="60"/>
              <w:left w:type="dxa" w:w="80"/>
              <w:bottom w:type="dxa" w:w="60"/>
              <w:right w:type="dxa" w:w="80"/>
            </w:tcMar>
          </w:tcPr>
          <w:p>
            <w:pPr>
              <w:spacing w:after="0"/>
            </w:pPr>
            <w:r>
              <w:rPr>
                <w:rFonts w:ascii="Calibri" w:cs="Calibri" w:eastAsia="Calibri" w:hAnsi="Calibri"/>
                <w:b/>
                <w:bCs/>
                <w:sz w:val="16"/>
                <w:szCs w:val="16"/>
              </w:rPr>
              <w:t xml:space="preserve">Potential Source</w:t>
            </w:r>
          </w:p>
        </w:tc>
        <w:tc>
          <w:tcPr>
            <w:tcW w:type="dxa" w:w="1000"/>
            <w:shd w:fill="DCE6F1" w:color="auto" w:val="clear"/>
            <w:tcMar>
              <w:top w:type="dxa" w:w="60"/>
              <w:left w:type="dxa" w:w="80"/>
              <w:bottom w:type="dxa" w:w="60"/>
              <w:right w:type="dxa" w:w="80"/>
            </w:tcMar>
          </w:tcPr>
          <w:p>
            <w:pPr>
              <w:spacing w:after="0"/>
            </w:pPr>
            <w:r>
              <w:rPr>
                <w:rFonts w:ascii="Calibri" w:cs="Calibri" w:eastAsia="Calibri" w:hAnsi="Calibri"/>
                <w:b/>
                <w:bCs/>
                <w:sz w:val="16"/>
                <w:szCs w:val="16"/>
              </w:rPr>
              <w:t xml:space="preserve">Openly Available?</w:t>
            </w:r>
          </w:p>
        </w:tc>
        <w:tc>
          <w:tcPr>
            <w:tcW w:type="dxa" w:w="2150"/>
            <w:shd w:fill="DCE6F1" w:color="auto" w:val="clear"/>
            <w:tcMar>
              <w:top w:type="dxa" w:w="60"/>
              <w:left w:type="dxa" w:w="80"/>
              <w:bottom w:type="dxa" w:w="60"/>
              <w:right w:type="dxa" w:w="80"/>
            </w:tcMar>
          </w:tcPr>
          <w:p>
            <w:pPr>
              <w:spacing w:after="0"/>
            </w:pPr>
            <w:r>
              <w:rPr>
                <w:rFonts w:ascii="Calibri" w:cs="Calibri" w:eastAsia="Calibri" w:hAnsi="Calibri"/>
                <w:b/>
                <w:bCs/>
                <w:sz w:val="16"/>
                <w:szCs w:val="16"/>
              </w:rPr>
              <w:t xml:space="preserve">Geographic Coverage</w:t>
            </w:r>
          </w:p>
        </w:tc>
        <w:tc>
          <w:tcPr>
            <w:tcW w:type="dxa" w:w="1750"/>
            <w:shd w:fill="DCE6F1" w:color="auto" w:val="clear"/>
            <w:tcMar>
              <w:top w:type="dxa" w:w="60"/>
              <w:left w:type="dxa" w:w="80"/>
              <w:bottom w:type="dxa" w:w="60"/>
              <w:right w:type="dxa" w:w="80"/>
            </w:tcMar>
          </w:tcPr>
          <w:p>
            <w:pPr>
              <w:spacing w:after="0"/>
            </w:pPr>
            <w:r>
              <w:rPr>
                <w:rFonts w:ascii="Calibri" w:cs="Calibri" w:eastAsia="Calibri" w:hAnsi="Calibri"/>
                <w:b/>
                <w:bCs/>
                <w:sz w:val="16"/>
                <w:szCs w:val="16"/>
              </w:rPr>
              <w:t xml:space="preserve">Update Frequency</w:t>
            </w:r>
          </w:p>
        </w:tc>
        <w:tc>
          <w:tcPr>
            <w:tcW w:type="dxa" w:w="1100"/>
            <w:shd w:fill="DCE6F1" w:color="auto" w:val="clear"/>
            <w:tcMar>
              <w:top w:type="dxa" w:w="60"/>
              <w:left w:type="dxa" w:w="80"/>
              <w:bottom w:type="dxa" w:w="60"/>
              <w:right w:type="dxa" w:w="80"/>
            </w:tcMar>
          </w:tcPr>
          <w:p>
            <w:pPr>
              <w:spacing w:after="0"/>
            </w:pPr>
            <w:r>
              <w:rPr>
                <w:rFonts w:ascii="Calibri" w:cs="Calibri" w:eastAsia="Calibri" w:hAnsi="Calibri"/>
                <w:b/>
                <w:bCs/>
                <w:sz w:val="16"/>
                <w:szCs w:val="16"/>
              </w:rPr>
              <w:t xml:space="preserve">Importance</w:t>
            </w:r>
          </w:p>
        </w:tc>
        <w:tc>
          <w:tcPr>
            <w:tcW w:type="dxa" w:w="5798"/>
            <w:shd w:fill="DCE6F1" w:color="auto" w:val="clear"/>
            <w:tcMar>
              <w:top w:type="dxa" w:w="60"/>
              <w:left w:type="dxa" w:w="80"/>
              <w:bottom w:type="dxa" w:w="60"/>
              <w:right w:type="dxa" w:w="80"/>
            </w:tcMar>
          </w:tcPr>
          <w:p>
            <w:pPr>
              <w:spacing w:after="0"/>
            </w:pPr>
            <w:r>
              <w:rPr>
                <w:rFonts w:ascii="Calibri" w:cs="Calibri" w:eastAsia="Calibri" w:hAnsi="Calibri"/>
                <w:b/>
                <w:bCs/>
                <w:sz w:val="16"/>
                <w:szCs w:val="16"/>
              </w:rPr>
              <w:t xml:space="preserve">Notes / Risks</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Multispectral Satellite Imagery</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Copernicus Sentinel-2</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Global; full coverage of the West Cork study area</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~5-day revisit (two-satellite constellation)</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CRITICAL</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Primary detection input; 10 m resolution in visible/NIR bands. Key constraint: Ireland’s dominant kelp (Laminaria hyperborea) is subtidal and forms no floating surface canopy, so surface-canopy methods developed for Macrocystis do not transfer. Detection must target intertidal and shallow subtidal zones using low-water acquisitions and water-column correction; it is depth- and turbidity-limited. Persistent Atlantic cloud cover reduces usable scenes, mitigated by multi-date compositing.</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Multispectral Satellite Imagery</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Google Earth Engine – Sentinel collection</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Global</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Mirrors Sentinel-2 (~5-day)</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IMPORTANT</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Access and processing route rather than a distinct dataset; removes local download and pre-processing overhead, which matters in a 48-hour build. Requires an approved account, so access should be confirmed before the event. Copernicus Data Space Ecosystem is the equivalent alternative.</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Historical Satellite Imagery</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Landsat collection (USGS/NASA)</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Global</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~16-day revisit; archive extends back to the 1980s</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SUPPORTING</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Extends the baseline earlier than Sentinel-2 (2015 onward) for longer-term change context. At 30 m resolution it is coarse relative to the narrow Irish kelp fringe, so it supports trend narrative rather than fine-scale mapping.</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Sea Surface Temperature (SST)</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Copernicus Marine Service</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Irish and NE Atlantic waters</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Daily; multi-year reanalysis also available</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IMPORTANT</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Drives the thermal-stress indicator for habitat condition. Grid resolution is coarse relative to individual kelp beds, so it indicates regional stress rather than bed-level condition. Should be presented as a stress signal, not a measured local temperature.</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Wave Height and Wave Energy</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Copernicus Marine wave products</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Irish and NE Atlantic waters</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Daily forecast plus hindcast archive</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CRITICAL</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Principal input to the coastal-protection estimate. Known limitation: coarse spatial resolution in the nearshore zone where kelp occurs, so outputs are transparent parametric estimates with stated uncertainty ranges, not site-exact hydrodynamic results. This limitation is disclosed in the tool interface.</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Wave Observations</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Marine Institute Data Buoy Network</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Mostly 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Irish waters; buoys are offshore rather than in the nearshore kelp zone</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Real-time / near real-time</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SUPPORTING</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Useful for sanity-checking modelled wave conditions. Does not measure conditions at the kelp bed itself, so it validates the regional wave climate rather than the local attenuation calculation.</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Bathymetry</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INFOMAR</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Irish inshore and shelf waters; high-resolution coverage available for the Celtic Sea coast (Kerry–Cork–Wexford)</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Static; programme surveying 2006–2026</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CRITICAL</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Required for depth-based habitat suitability, for water-column correction of satellite imagery, and for the wave calculation. Main risk is under-survey of the very shallow nearshore strip; West Cork coverage should be verified early rather than assumed.</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Bathymetry</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EMODnet Bathymetry</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Pan-European, including Irish waters</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Periodic product releases</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IMPORTANT</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Harmonised digital terrain model incorporating INFOMAR data. Coarser than native INFOMAR products but fills gaps and, because it is pan-European, allows the method to be transferred to other Atlantic sites without changing data sources.</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Seabed Substrate / Geology</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INFOMAR seabed mapping</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Partially</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Varies by survey block</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Static / survey-dependent</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CRITICAL</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Rocky substrate is a precondition for L. hyperborea, so this layer underpins the habitat-suitability model used wherever optical detection is unreliable. Uneven availability is the principal risk to that fallback route.</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Seabed Habitat Maps</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EMODnet Seabed Habitats</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Pan-European</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Periodic releases</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IMPORTANT</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Broad-scale modelled habitat layers, useful as a baseline and as a cross-check on our own outputs. Too coarse and too model-derived to serve as ground-truth.</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Coastal Habitat Data (Kelp, Seagrass, Saltmarsh)</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National Parks and Wildlife Service (NPWS)</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Partially</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National, concentrated on designated sites (SACs)</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Irregular; survey-driven</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CRITICAL</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The reef inventory is the most relevant national source for rocky reef and associated kelp habitat. Coverage is uneven and was not designed for kelp extent mapping, so its use is presence validation rather than area validation. Availability for West Cork needs confirmation.</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Coastal Habitat Data (Kelp Surveys)</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Marine Institute / INFOMAR acoustic mapping</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Partially</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Survey-dependent</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Irregular</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CRITICAL</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Highest-value data request. INFOMAR has been developing acoustic (multibeam) methods for mapping kelp in Irish waters. Acoustic data is not depth-limited and would therefore be the strongest available reference for validating satellite detection, particularly below the optical depth limit. Access to any acoustic kelp data for the Cork coast would materially improve the prototype.</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Biodiversity Records</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OBIS</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Global, including Irish records</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Continuous</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IMPORTANT</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Feeds the biodiversity score. Records carry strong observation-effort bias: well-dived sites appear richer than under-surveyed ones. The score must therefore be normalised and presented as a relative indicator, not an absolute measure of biodiversity.</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Biodiversity Records</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GBIF</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Global, including Irish records</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Continuous</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IMPORTANT</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Complements OBIS and broadens taxonomic coverage. Overlapping records between the two sources must be de-duplicated to avoid inflating the score.</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Shoreline and Coastal Morphology</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OSi open data / GeoHive</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National</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Periodic</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IMPORTANT</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Defines the coastal segments used to link each mapped habitat area to the stretch of shoreline it protects. Segment definition directly affects the reported value, so the segmentation rule must be stated explicitly.</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Coastal Land Cover</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Copernicus Land Monitoring Service</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Pan-European</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Multi-year update cycle</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SUPPORTING</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Land use behind the habitat, providing context for the valuation layer. Update cycle is too slow to reflect recent development, so it supports characterisation rather than current asset accounting.</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Property and Building Data</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GeoHive Ireland</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Mostly 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National</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Periodic</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IMPORTANT</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Building footprints identify assets exposed behind the habitat. Footprints carry no property values, so monetary exposure must be approximated from external assumptions – a declared source of uncertainty in the euro figure.</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Flood Risk Data</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OPW flood maps and CFRAM data (floodinfo.ie)</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Mostly 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National, concentrated on assessed areas</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Periodic</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CRITICAL</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Supplies the coastal flood and damage framing needed for the expected-avoided-damage calculation, which is our primary valuation method. Licensing and reuse terms should be checked before the results are shown in a public demonstration.</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Infrastructure Data</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OpenStreetMap</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Global</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Continuous (community-maintained)</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IMPORTANT</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Roads, piers and port infrastructure behind the habitat. Completeness varies in rural West Cork, so it is appropriate for a prototype but not for formal asset accounting.</w:t>
            </w:r>
          </w:p>
        </w:tc>
      </w:tr>
      <w:tr>
        <w:trPr>
          <w:tblHeader w:val="false"/>
        </w:trPr>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Storm Events</w:t>
            </w:r>
          </w:p>
        </w:tc>
        <w:tc>
          <w:tcPr>
            <w:tcW w:type="dxa" w:w="18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Met Éireann climate and marine data</w:t>
            </w:r>
          </w:p>
        </w:tc>
        <w:tc>
          <w:tcPr>
            <w:tcW w:type="dxa" w:w="10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Mostly Yes</w:t>
            </w:r>
          </w:p>
        </w:tc>
        <w:tc>
          <w:tcPr>
            <w:tcW w:type="dxa" w:w="21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National</w:t>
            </w:r>
          </w:p>
        </w:tc>
        <w:tc>
          <w:tcPr>
            <w:tcW w:type="dxa" w:w="175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Continuous, with historical archive</w:t>
            </w:r>
          </w:p>
        </w:tc>
        <w:tc>
          <w:tcPr>
            <w:tcW w:type="dxa" w:w="1100"/>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SUPPORTING</w:t>
            </w:r>
          </w:p>
        </w:tc>
        <w:tc>
          <w:tcPr>
            <w:tcW w:type="dxa" w:w="5798"/>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Links habitat exposure and loss to specific storm events, supporting the decline narrative and the choice of design storm conditions in the protection estimate.</w:t>
            </w:r>
          </w:p>
        </w:tc>
      </w:tr>
      <w:tr>
        <w:trPr>
          <w:tblHeader w:val="false"/>
        </w:trPr>
        <w:tc>
          <w:tcPr>
            <w:tcW w:type="dxa" w:w="175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Tidal Predictions / Water Levels</w:t>
            </w:r>
          </w:p>
        </w:tc>
        <w:tc>
          <w:tcPr>
            <w:tcW w:type="dxa" w:w="185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Marine Institute tidal data; national tide predictions</w:t>
            </w:r>
          </w:p>
        </w:tc>
        <w:tc>
          <w:tcPr>
            <w:tcW w:type="dxa" w:w="100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Mostly Yes</w:t>
            </w:r>
          </w:p>
        </w:tc>
        <w:tc>
          <w:tcPr>
            <w:tcW w:type="dxa" w:w="215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Irish coastal stations</w:t>
            </w:r>
          </w:p>
        </w:tc>
        <w:tc>
          <w:tcPr>
            <w:tcW w:type="dxa" w:w="175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Continuous predictions</w:t>
            </w:r>
          </w:p>
        </w:tc>
        <w:tc>
          <w:tcPr>
            <w:tcW w:type="dxa" w:w="110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CRITICAL</w:t>
            </w:r>
          </w:p>
        </w:tc>
        <w:tc>
          <w:tcPr>
            <w:tcW w:type="dxa" w:w="5798"/>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ADDED – not in the original list but essential. Because Irish kelp is subtidal, Sentinel-2 scenes must be filtered to low-water acquisitions before detection is attempted. Without tide matching, intertidal and shallow subtidal detection is unreliable and change over time cannot be interpreted, since apparent habitat change may simply reflect tidal state.</w:t>
            </w:r>
          </w:p>
        </w:tc>
      </w:tr>
      <w:tr>
        <w:trPr>
          <w:tblHeader w:val="false"/>
        </w:trPr>
        <w:tc>
          <w:tcPr>
            <w:tcW w:type="dxa" w:w="175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Published Kelp Distribution Records</w:t>
            </w:r>
          </w:p>
        </w:tc>
        <w:tc>
          <w:tcPr>
            <w:tcW w:type="dxa" w:w="185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Schoenrock et al. 2020 (Ecology and Evolution, DOI 10.1002/ece3.6345); Seasearch Ireland dive records</w:t>
            </w:r>
          </w:p>
        </w:tc>
        <w:tc>
          <w:tcPr>
            <w:tcW w:type="dxa" w:w="100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 (published) / Partially (Seasearch)</w:t>
            </w:r>
          </w:p>
        </w:tc>
        <w:tc>
          <w:tcPr>
            <w:tcW w:type="dxa" w:w="215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National; sparse point records</w:t>
            </w:r>
          </w:p>
        </w:tc>
        <w:tc>
          <w:tcPr>
            <w:tcW w:type="dxa" w:w="175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Static / irregular</w:t>
            </w:r>
          </w:p>
        </w:tc>
        <w:tc>
          <w:tcPr>
            <w:tcW w:type="dxa" w:w="110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CRITICAL</w:t>
            </w:r>
          </w:p>
        </w:tc>
        <w:tc>
          <w:tcPr>
            <w:tcW w:type="dxa" w:w="5798"/>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ADDED. Compiled historical and present-day distribution records for Laminaria hyperborea in Ireland, plus citizen-science dive observations. Point-based and spatially sparse, so suitable for validating presence and absence but not for validating mapped extent or density.</w:t>
            </w:r>
          </w:p>
        </w:tc>
      </w:tr>
      <w:tr>
        <w:trPr>
          <w:tblHeader w:val="false"/>
        </w:trPr>
        <w:tc>
          <w:tcPr>
            <w:tcW w:type="dxa" w:w="175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Wave-Attenuation Parameters</w:t>
            </w:r>
          </w:p>
        </w:tc>
        <w:tc>
          <w:tcPr>
            <w:tcW w:type="dxa" w:w="185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Peer-reviewed literature: Dubi &amp; Tørum (1996); Mork (1996); Løvås &amp; Tørum (2001)</w:t>
            </w:r>
          </w:p>
        </w:tc>
        <w:tc>
          <w:tcPr>
            <w:tcW w:type="dxa" w:w="100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Yes (published)</w:t>
            </w:r>
          </w:p>
        </w:tc>
        <w:tc>
          <w:tcPr>
            <w:tcW w:type="dxa" w:w="215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Species-specific rather than site-specific</w:t>
            </w:r>
          </w:p>
        </w:tc>
        <w:tc>
          <w:tcPr>
            <w:tcW w:type="dxa" w:w="175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Static</w:t>
            </w:r>
          </w:p>
        </w:tc>
        <w:tc>
          <w:tcPr>
            <w:tcW w:type="dxa" w:w="1100"/>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CRITICAL</w:t>
            </w:r>
          </w:p>
        </w:tc>
        <w:tc>
          <w:tcPr>
            <w:tcW w:type="dxa" w:w="5798"/>
            <w:shd w:fill="FFF2CC" w:color="auto" w:val="clear"/>
            <w:tcMar>
              <w:top w:type="dxa" w:w="60"/>
              <w:left w:type="dxa" w:w="80"/>
              <w:bottom w:type="dxa" w:w="60"/>
              <w:right w:type="dxa" w:w="80"/>
            </w:tcMar>
          </w:tcPr>
          <w:p>
            <w:pPr>
              <w:spacing w:after="0"/>
            </w:pPr>
            <w:r>
              <w:rPr>
                <w:rFonts w:ascii="Calibri" w:cs="Calibri" w:eastAsia="Calibri" w:hAnsi="Calibri"/>
                <w:b w:val="false"/>
                <w:bCs w:val="false"/>
                <w:sz w:val="16"/>
                <w:szCs w:val="16"/>
              </w:rPr>
              <w:t xml:space="preserve">ADDED. Supplies the physical coefficients behind the coastal-protection estimate, so that figures are literature-derived rather than assumed. These measurements are specific to Laminaria hyperborea; published values for surface-canopy kelps such as Macrocystis are not transferable and are not used. Applied as ranges rather than single values.</w:t>
            </w:r>
          </w:p>
        </w:tc>
      </w:tr>
    </w:tbl>
    <w:p>
      <w:pPr>
        <w:spacing w:before="240"/>
      </w:pPr>
    </w:p>
    <w:p>
      <w:pPr>
        <w:spacing w:after="80"/>
      </w:pPr>
      <w:r>
        <w:rPr>
          <w:rFonts w:ascii="Calibri" w:cs="Calibri" w:eastAsia="Calibri" w:hAnsi="Calibri"/>
          <w:b/>
          <w:bCs/>
          <w:i w:val="false"/>
          <w:iCs w:val="false"/>
          <w:sz w:val="22"/>
          <w:szCs w:val="22"/>
        </w:rPr>
        <w:t xml:space="preserve">Note on the two highest-priority requests</w:t>
      </w:r>
    </w:p>
    <w:p>
      <w:pPr>
        <w:spacing w:after="120"/>
      </w:pPr>
      <w:r>
        <w:rPr>
          <w:rFonts w:ascii="Calibri" w:cs="Calibri" w:eastAsia="Calibri" w:hAnsi="Calibri"/>
          <w:b w:val="false"/>
          <w:bCs w:val="false"/>
          <w:i w:val="false"/>
          <w:iCs w:val="false"/>
          <w:sz w:val="19"/>
          <w:szCs w:val="19"/>
        </w:rPr>
        <w:t xml:space="preserve">First, any INFOMAR acoustic (multibeam) kelp mapping data for the Cork coast. Acoustic methods are not depth-limited, so this is the strongest possible reference for validating satellite-based detection below the optical depth limit. Second, tidal prediction data, so that satellite scenes can be filtered to low water. Ireland’s dominant kelp is subtidal and does not form a floating surface canopy, which makes tide-matched image selection a precondition for reliable detection rather than a refinement.</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2026-07-22T01:05:16.456Z</dcterms:created>
  <dcterms:modified xsi:type="dcterms:W3CDTF">2026-07-22T01:05:16.513Z</dcterms:modified>
</cp:coreProperties>
</file>

<file path=docProps/custom.xml><?xml version="1.0" encoding="utf-8"?>
<Properties xmlns="http://schemas.openxmlformats.org/officeDocument/2006/custom-properties" xmlns:vt="http://schemas.openxmlformats.org/officeDocument/2006/docPropsVTypes"/>
</file>