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42B4C"/>
          <w:sz w:val="34"/>
        </w:rPr>
        <w:t>Banka Telefon Pazarlamasında Vadeli Mevduat Aboneliği Tahmini</w:t>
      </w:r>
    </w:p>
    <w:p>
      <w:pPr>
        <w:spacing w:after="40"/>
        <w:jc w:val="center"/>
      </w:pPr>
      <w:r>
        <w:rPr>
          <w:color w:val="52514E"/>
          <w:sz w:val="23"/>
        </w:rPr>
        <w:t>Makine Öğrenmesi ile Probleme Uygun Çözüm Geliştirme — Proje Raporu</w:t>
      </w:r>
    </w:p>
    <w:p>
      <w:pPr>
        <w:spacing w:after="40"/>
        <w:jc w:val="center"/>
      </w:pPr>
      <w:r>
        <w:rPr>
          <w:sz w:val="20"/>
        </w:rPr>
        <w:t>Hazırlayan: Elif DELAL  ·  TNC Group Yapay Zeka Stajı  ·  Ekim 2026</w:t>
      </w:r>
    </w:p>
    <w:p>
      <w:pPr>
        <w:spacing w:after="20"/>
        <w:jc w:val="center"/>
      </w:pPr>
      <w:r>
        <w:rPr>
          <w:b/>
          <w:sz w:val="19"/>
        </w:rPr>
        <w:t xml:space="preserve">Kod (GitHub): </w:t>
      </w:r>
      <w:hyperlink r:id="rId10">
        <w:r>
          <w:rPr>
            <w:color w:val="1F5FAD"/>
            <w:u w:val="single"/>
          </w:rPr>
          <w:t xml:space="preserve">https://github.com/elifdelal/banka-pazarlama-tahmini</w:t>
        </w:r>
      </w:hyperlink>
    </w:p>
    <w:p>
      <w:pPr>
        <w:spacing w:after="120"/>
        <w:jc w:val="center"/>
      </w:pPr>
      <w:r>
        <w:rPr>
          <w:b/>
          <w:sz w:val="19"/>
        </w:rPr>
        <w:t xml:space="preserve">Colab not defteri: </w:t>
      </w:r>
      <w:hyperlink r:id="rId11">
        <w:r>
          <w:rPr>
            <w:color w:val="1F5FAD"/>
            <w:u w:val="single"/>
          </w:rPr>
          <w:t xml:space="preserve">Banka_Pazarlama_Tahmini.ipynb (Colab’da aç)</w:t>
        </w:r>
      </w:hyperlink>
    </w:p>
    <w:tbl>
      <w:tblPr>
        <w:tblW w:type="auto" w:w="0"/>
        <w:jc w:val="center"/>
        <w:tblLook w:firstColumn="1" w:firstRow="1" w:lastColumn="0" w:lastRow="0" w:noHBand="0" w:noVBand="1" w:val="04A0"/>
      </w:tblPr>
      <w:tblGrid>
        <w:gridCol w:w="9752"/>
      </w:tblGrid>
      <w:tr>
        <w:tc>
          <w:tcPr>
            <w:tcW w:type="dxa" w:w="9751"/>
            <w:shd w:val="clear" w:color="auto" w:fill="EEF3FA"/>
          </w:tcPr>
          <w:p>
            <w:pPr>
              <w:jc w:val="both"/>
            </w:pPr>
            <w:r>
              <w:rPr>
                <w:sz w:val="19"/>
              </w:rPr>
            </w:r>
            <w:r>
              <w:rPr>
                <w:b/>
                <w:sz w:val="19"/>
              </w:rPr>
              <w:t>Özet.</w:t>
            </w:r>
            <w:r>
              <w:rPr>
                <w:b w:val="0"/>
                <w:sz w:val="19"/>
              </w:rPr>
              <w:t xml:space="preserve"> UCI Bank Marketing veri setindeki 41.176 telefon görüşmesi kullanılarak, müşterinin vadeli mevduata abone olup olmayacağı </w:t>
            </w:r>
            <w:r>
              <w:rPr>
                <w:b/>
                <w:sz w:val="19"/>
              </w:rPr>
              <w:t>arama yapılmadan önce</w:t>
            </w:r>
            <w:r>
              <w:rPr>
                <w:b w:val="0"/>
                <w:sz w:val="19"/>
              </w:rPr>
              <w:t xml:space="preserve"> tahmin edilmiştir. Pozitif sınıf yalnızca %11,3 olduğundan değerlendirme accuracy yerine precision, recall, F1 ve PR-AUC ile yapılmıştır. Lojistik Regresyon, Random Forest ve HistGradientBoosting (HGB) karşılaştırılmış; en iyi model HGB, test setinde </w:t>
            </w:r>
            <w:r>
              <w:rPr>
                <w:b/>
                <w:sz w:val="19"/>
              </w:rPr>
              <w:t>F1 = 0,530, ROC-AUC = 0,815, PR-AUC = 0,497</w:t>
            </w:r>
            <w:r>
              <w:rPr>
                <w:b w:val="0"/>
                <w:sz w:val="19"/>
              </w:rPr>
              <w:t xml:space="preserve"> (rastgele: 0,113) elde etmiştir. Model olasılığa göre sıralanan listenin ilk %20'si arandığında abonelerin </w:t>
            </w:r>
            <w:r>
              <w:rPr>
                <w:b/>
                <w:sz w:val="19"/>
              </w:rPr>
              <w:t>%67</w:t>
            </w:r>
            <w:r>
              <w:rPr>
                <w:b w:val="0"/>
                <w:sz w:val="19"/>
              </w:rPr>
              <w:t>'si yakalanmaktadır. Zaman bazlı ek doğrulama, modelin ekonomik dönem değişimlerine duyarlı olduğunu göstermiştir.</w:t>
            </w:r>
          </w:p>
        </w:tc>
      </w:tr>
    </w:tbl>
    <w:p>
      <w:pPr>
        <w:keepNext/>
        <w:spacing w:before="200" w:after="60"/>
        <w:pBdr>
          <w:bottom w:val="single" w:sz="6" w:space="1" w:color="B5C4DA"/>
        </w:pBdr>
      </w:pPr>
      <w:r>
        <w:rPr>
          <w:b/>
          <w:color w:val="142B4C"/>
          <w:sz w:val="26"/>
        </w:rPr>
        <w:t>1. Problem Tanımı</w:t>
      </w:r>
    </w:p>
    <w:p>
      <w:pPr>
        <w:jc w:val="both"/>
      </w:pPr>
      <w:r>
        <w:rPr>
          <w:b w:val="0"/>
        </w:rPr>
        <w:t xml:space="preserve">Bankalar vadeli mevduat gibi ürünleri telefonla pazarlarken her müşteriyi aramak ciddi zaman, personel ve müşteri memnuniyeti maliyeti doğurur; üstelik aranan müşterilerin yalnızca ~%11’i ürünü satın alır. Bu projenin </w:t>
      </w:r>
      <w:r>
        <w:rPr>
          <w:b/>
        </w:rPr>
        <w:t>girdisi</w:t>
      </w:r>
      <w:r>
        <w:rPr>
          <w:b w:val="0"/>
        </w:rPr>
        <w:t xml:space="preserve">, müşterinin demografik ve finansal bilgileri (yaş, meslek, eğitim, kredi durumu), önceki kampanyalarla ilgili geçmişi ve aramanın yapıldığı dönemin makroekonomik göstergeleridir. </w:t>
      </w:r>
      <w:r>
        <w:rPr>
          <w:b/>
        </w:rPr>
        <w:t>Hedef çıktı</w:t>
      </w:r>
      <w:r>
        <w:rPr>
          <w:b w:val="0"/>
        </w:rPr>
        <w:t>, müşterinin vadeli mevduata abone olup olmayacağıdır (ikili sınıflandırma: evet/hayır) ve bunun olasılığıdır. Gerçek dünyadaki ihtiyaç, arama listesini abone olma olasılığı en yüksek müşterilerden başlayarak sıralamak ve böylece aynı çağrı merkezi kapasitesiyle daha fazla satış yapmaktır. Model, görüşme gerçekleşmeden kullanılacağı için yalnızca arama öncesinde bilinebilen bilgilerle eğitilmiştir.</w:t>
      </w:r>
    </w:p>
    <w:p>
      <w:pPr>
        <w:keepNext/>
        <w:spacing w:before="200" w:after="60"/>
        <w:pBdr>
          <w:bottom w:val="single" w:sz="6" w:space="1" w:color="B5C4DA"/>
        </w:pBdr>
      </w:pPr>
      <w:r>
        <w:rPr>
          <w:b/>
          <w:color w:val="142B4C"/>
          <w:sz w:val="26"/>
        </w:rPr>
        <w:t>2. Veri Seti</w:t>
      </w:r>
    </w:p>
    <w:p>
      <w:pPr>
        <w:jc w:val="both"/>
      </w:pPr>
      <w:r>
        <w:rPr>
          <w:b w:val="0"/>
        </w:rPr>
        <w:t xml:space="preserve">Çalışmada UCI Machine Learning Repository’de yayımlanan </w:t>
      </w:r>
      <w:r>
        <w:rPr>
          <w:b/>
        </w:rPr>
        <w:t>Bank Marketing</w:t>
      </w:r>
      <w:r>
        <w:rPr>
          <w:b w:val="0"/>
        </w:rPr>
        <w:t xml:space="preserve"> veri setinin zenginleştirilmiş sürümü (bank-additional-full.csv) kullanılmıştır (Moro, Cortez ve Rita, 2014; lisans: CC BY 4.0). Veri, bir Portekiz bankasının Mayıs 2008 – Kasım 2010 arasında yaptığı telefon kampanyalarını tarih sırasıyla içerir: </w:t>
      </w:r>
      <w:r>
        <w:rPr>
          <w:b/>
        </w:rPr>
        <w:t>41.188 satır, 20 girdi değişkeni ve 1 hedef değişken (y)</w:t>
      </w:r>
      <w:r>
        <w:rPr>
          <w:b w:val="0"/>
        </w:rPr>
        <w:t xml:space="preserve">. Kaynak: </w:t>
      </w:r>
      <w:hyperlink r:id="rId12">
        <w:r>
          <w:rPr>
            <w:color w:val="1F5FAD"/>
            <w:u w:val="single"/>
          </w:rPr>
          <w:t xml:space="preserve">https://archive.ics.uci.edu/dataset/222/bank+marketing</w:t>
        </w:r>
      </w:hyperlink>
    </w:p>
    <w:p>
      <w:pPr>
        <w:keepNext/>
        <w:spacing w:before="80" w:after="40"/>
      </w:pPr>
      <w:r>
        <w:rPr>
          <w:b w:val="0"/>
          <w:i/>
          <w:color w:val="52514E"/>
          <w:sz w:val="18"/>
        </w:rPr>
        <w:t>Tablo 1. Veri setindeki değişken grupları</w:t>
      </w:r>
    </w:p>
    <w:tbl>
      <w:tblPr>
        <w:tblStyle w:val="TableGrid"/>
        <w:tblW w:type="auto" w:w="0"/>
        <w:jc w:val="center"/>
        <w:tblLayout w:type="fixed"/>
        <w:tblLook w:firstColumn="1" w:firstRow="1" w:lastColumn="0" w:lastRow="0" w:noHBand="0" w:noVBand="1" w:val="04A0"/>
        <w:tblLayout w:type="fixed"/>
      </w:tblPr>
      <w:tblGrid>
        <w:gridCol w:w="1701"/>
        <w:gridCol w:w="6009"/>
        <w:gridCol w:w="1928"/>
      </w:tblGrid>
      <w:tr>
        <w:trPr>
          <w:cantSplit/>
        </w:trPr>
        <w:tc>
          <w:tcPr>
            <w:tcW w:type="dxa" w:w="1701"/>
            <w:shd w:val="clear" w:color="auto" w:fill="142B4C"/>
          </w:tcPr>
          <w:p>
            <w:pPr>
              <w:keepNext/>
              <w:spacing w:after="0" w:line="240" w:lineRule="auto"/>
            </w:pPr>
            <w:r/>
            <w:r>
              <w:rPr>
                <w:b/>
                <w:color w:val="FFFFFF"/>
                <w:sz w:val="18"/>
              </w:rPr>
              <w:t>Grup</w:t>
            </w:r>
          </w:p>
        </w:tc>
        <w:tc>
          <w:tcPr>
            <w:tcW w:type="dxa" w:w="6009"/>
            <w:shd w:val="clear" w:color="auto" w:fill="142B4C"/>
          </w:tcPr>
          <w:p>
            <w:pPr>
              <w:keepNext/>
              <w:spacing w:after="0" w:line="240" w:lineRule="auto"/>
            </w:pPr>
            <w:r/>
            <w:r>
              <w:rPr>
                <w:b/>
                <w:color w:val="FFFFFF"/>
                <w:sz w:val="18"/>
              </w:rPr>
              <w:t>Değişkenler</w:t>
            </w:r>
          </w:p>
        </w:tc>
        <w:tc>
          <w:tcPr>
            <w:tcW w:type="dxa" w:w="1928"/>
            <w:shd w:val="clear" w:color="auto" w:fill="142B4C"/>
          </w:tcPr>
          <w:p>
            <w:pPr>
              <w:keepNext/>
              <w:spacing w:after="0" w:line="240" w:lineRule="auto"/>
            </w:pPr>
            <w:r/>
            <w:r>
              <w:rPr>
                <w:b/>
                <w:color w:val="FFFFFF"/>
                <w:sz w:val="18"/>
              </w:rPr>
              <w:t>Tür</w:t>
            </w:r>
          </w:p>
        </w:tc>
      </w:tr>
      <w:tr>
        <w:trPr>
          <w:cantSplit/>
        </w:trPr>
        <w:tc>
          <w:tcPr>
            <w:tcW w:type="dxa" w:w="1701"/>
          </w:tcPr>
          <w:p>
            <w:pPr>
              <w:keepNext/>
              <w:spacing w:after="0" w:line="240" w:lineRule="auto"/>
            </w:pPr>
            <w:r>
              <w:rPr>
                <w:sz w:val="18"/>
              </w:rPr>
            </w:r>
            <w:r>
              <w:rPr>
                <w:b w:val="0"/>
                <w:sz w:val="18"/>
              </w:rPr>
              <w:t>Müşteri bilgisi</w:t>
            </w:r>
          </w:p>
        </w:tc>
        <w:tc>
          <w:tcPr>
            <w:tcW w:type="dxa" w:w="6009"/>
          </w:tcPr>
          <w:p>
            <w:pPr>
              <w:keepNext/>
              <w:spacing w:after="0" w:line="240" w:lineRule="auto"/>
            </w:pPr>
            <w:r>
              <w:rPr>
                <w:sz w:val="18"/>
              </w:rPr>
            </w:r>
            <w:r>
              <w:rPr>
                <w:b w:val="0"/>
                <w:sz w:val="18"/>
              </w:rPr>
              <w:t>age, job, marital, education, default (temerrüt), housing (konut kredisi), loan (bireysel kredi)</w:t>
            </w:r>
          </w:p>
        </w:tc>
        <w:tc>
          <w:tcPr>
            <w:tcW w:type="dxa" w:w="1928"/>
          </w:tcPr>
          <w:p>
            <w:pPr>
              <w:keepNext/>
              <w:spacing w:after="0" w:line="240" w:lineRule="auto"/>
            </w:pPr>
            <w:r>
              <w:rPr>
                <w:sz w:val="18"/>
              </w:rPr>
            </w:r>
            <w:r>
              <w:rPr>
                <w:b w:val="0"/>
                <w:sz w:val="18"/>
              </w:rPr>
              <w:t>1 sayısal, 6 kategorik</w:t>
            </w:r>
          </w:p>
        </w:tc>
      </w:tr>
      <w:tr>
        <w:trPr>
          <w:cantSplit/>
        </w:trPr>
        <w:tc>
          <w:tcPr>
            <w:tcW w:type="dxa" w:w="1701"/>
            <w:shd w:val="clear" w:color="auto" w:fill="F5F7FA"/>
          </w:tcPr>
          <w:p>
            <w:pPr>
              <w:keepNext/>
              <w:spacing w:after="0" w:line="240" w:lineRule="auto"/>
            </w:pPr>
            <w:r>
              <w:rPr>
                <w:sz w:val="18"/>
              </w:rPr>
            </w:r>
            <w:r>
              <w:rPr>
                <w:b w:val="0"/>
                <w:sz w:val="18"/>
              </w:rPr>
              <w:t>Son temas</w:t>
            </w:r>
          </w:p>
        </w:tc>
        <w:tc>
          <w:tcPr>
            <w:tcW w:type="dxa" w:w="6009"/>
            <w:shd w:val="clear" w:color="auto" w:fill="F5F7FA"/>
          </w:tcPr>
          <w:p>
            <w:pPr>
              <w:keepNext/>
              <w:spacing w:after="0" w:line="240" w:lineRule="auto"/>
            </w:pPr>
            <w:r>
              <w:rPr>
                <w:sz w:val="18"/>
              </w:rPr>
            </w:r>
            <w:r>
              <w:rPr>
                <w:b w:val="0"/>
                <w:sz w:val="18"/>
              </w:rPr>
              <w:t xml:space="preserve">contact (cep/sabit hat), month, day_of_week, </w:t>
            </w:r>
            <w:r>
              <w:rPr>
                <w:b/>
                <w:sz w:val="18"/>
              </w:rPr>
              <w:t>duration</w:t>
            </w:r>
            <w:r>
              <w:rPr>
                <w:b w:val="0"/>
                <w:sz w:val="18"/>
              </w:rPr>
              <w:t xml:space="preserve"> (görüşme süresi, sn)</w:t>
            </w:r>
          </w:p>
        </w:tc>
        <w:tc>
          <w:tcPr>
            <w:tcW w:type="dxa" w:w="1928"/>
            <w:shd w:val="clear" w:color="auto" w:fill="F5F7FA"/>
          </w:tcPr>
          <w:p>
            <w:pPr>
              <w:keepNext/>
              <w:spacing w:after="0" w:line="240" w:lineRule="auto"/>
            </w:pPr>
            <w:r>
              <w:rPr>
                <w:sz w:val="18"/>
              </w:rPr>
            </w:r>
            <w:r>
              <w:rPr>
                <w:b w:val="0"/>
                <w:sz w:val="18"/>
              </w:rPr>
              <w:t>1 sayısal, 3 kategorik</w:t>
            </w:r>
          </w:p>
        </w:tc>
      </w:tr>
      <w:tr>
        <w:trPr>
          <w:cantSplit/>
        </w:trPr>
        <w:tc>
          <w:tcPr>
            <w:tcW w:type="dxa" w:w="1701"/>
          </w:tcPr>
          <w:p>
            <w:pPr>
              <w:keepNext/>
              <w:spacing w:after="0" w:line="240" w:lineRule="auto"/>
            </w:pPr>
            <w:r>
              <w:rPr>
                <w:sz w:val="18"/>
              </w:rPr>
            </w:r>
            <w:r>
              <w:rPr>
                <w:b w:val="0"/>
                <w:sz w:val="18"/>
              </w:rPr>
              <w:t>Kampanya geçmişi</w:t>
            </w:r>
          </w:p>
        </w:tc>
        <w:tc>
          <w:tcPr>
            <w:tcW w:type="dxa" w:w="6009"/>
          </w:tcPr>
          <w:p>
            <w:pPr>
              <w:keepNext/>
              <w:spacing w:after="0" w:line="240" w:lineRule="auto"/>
            </w:pPr>
            <w:r>
              <w:rPr>
                <w:sz w:val="18"/>
              </w:rPr>
            </w:r>
            <w:r>
              <w:rPr>
                <w:b w:val="0"/>
                <w:sz w:val="18"/>
              </w:rPr>
              <w:t>campaign (bu kampanyadaki arama sayısı), pdays (son aramadan beri geçen gün), previous, poutcome</w:t>
            </w:r>
          </w:p>
        </w:tc>
        <w:tc>
          <w:tcPr>
            <w:tcW w:type="dxa" w:w="1928"/>
          </w:tcPr>
          <w:p>
            <w:pPr>
              <w:keepNext/>
              <w:spacing w:after="0" w:line="240" w:lineRule="auto"/>
            </w:pPr>
            <w:r>
              <w:rPr>
                <w:sz w:val="18"/>
              </w:rPr>
            </w:r>
            <w:r>
              <w:rPr>
                <w:b w:val="0"/>
                <w:sz w:val="18"/>
              </w:rPr>
              <w:t>3 sayısal, 1 kategorik</w:t>
            </w:r>
          </w:p>
        </w:tc>
      </w:tr>
      <w:tr>
        <w:trPr>
          <w:cantSplit/>
        </w:trPr>
        <w:tc>
          <w:tcPr>
            <w:tcW w:type="dxa" w:w="1701"/>
            <w:shd w:val="clear" w:color="auto" w:fill="F5F7FA"/>
          </w:tcPr>
          <w:p>
            <w:pPr>
              <w:keepNext/>
              <w:spacing w:after="0" w:line="240" w:lineRule="auto"/>
            </w:pPr>
            <w:r>
              <w:rPr>
                <w:sz w:val="18"/>
              </w:rPr>
            </w:r>
            <w:r>
              <w:rPr>
                <w:b w:val="0"/>
                <w:sz w:val="18"/>
              </w:rPr>
              <w:t>Ekonomik bağlam</w:t>
            </w:r>
          </w:p>
        </w:tc>
        <w:tc>
          <w:tcPr>
            <w:tcW w:type="dxa" w:w="6009"/>
            <w:shd w:val="clear" w:color="auto" w:fill="F5F7FA"/>
          </w:tcPr>
          <w:p>
            <w:pPr>
              <w:keepNext/>
              <w:spacing w:after="0" w:line="240" w:lineRule="auto"/>
            </w:pPr>
            <w:r>
              <w:rPr>
                <w:sz w:val="18"/>
              </w:rPr>
            </w:r>
            <w:r>
              <w:rPr>
                <w:b w:val="0"/>
                <w:sz w:val="18"/>
              </w:rPr>
              <w:t>emp.var.rate (istihdam değişimi), cons.price.idx (TÜFE), cons.conf.idx (tüketici güveni), euribor3m, nr.employed</w:t>
            </w:r>
          </w:p>
        </w:tc>
        <w:tc>
          <w:tcPr>
            <w:tcW w:type="dxa" w:w="1928"/>
            <w:shd w:val="clear" w:color="auto" w:fill="F5F7FA"/>
          </w:tcPr>
          <w:p>
            <w:pPr>
              <w:keepNext/>
              <w:spacing w:after="0" w:line="240" w:lineRule="auto"/>
            </w:pPr>
            <w:r>
              <w:rPr>
                <w:sz w:val="18"/>
              </w:rPr>
            </w:r>
            <w:r>
              <w:rPr>
                <w:b w:val="0"/>
                <w:sz w:val="18"/>
              </w:rPr>
              <w:t>5 sayısal</w:t>
            </w:r>
          </w:p>
        </w:tc>
      </w:tr>
      <w:tr>
        <w:trPr>
          <w:cantSplit/>
        </w:trPr>
        <w:tc>
          <w:tcPr>
            <w:tcW w:type="dxa" w:w="1701"/>
          </w:tcPr>
          <w:p>
            <w:pPr>
              <w:keepNext w:val="0"/>
              <w:spacing w:after="0" w:line="240" w:lineRule="auto"/>
            </w:pPr>
            <w:r>
              <w:rPr>
                <w:sz w:val="18"/>
              </w:rPr>
            </w:r>
            <w:r>
              <w:rPr>
                <w:b w:val="0"/>
                <w:sz w:val="18"/>
              </w:rPr>
              <w:t>Hedef</w:t>
            </w:r>
          </w:p>
        </w:tc>
        <w:tc>
          <w:tcPr>
            <w:tcW w:type="dxa" w:w="6009"/>
          </w:tcPr>
          <w:p>
            <w:pPr>
              <w:keepNext w:val="0"/>
              <w:spacing w:after="0" w:line="240" w:lineRule="auto"/>
            </w:pPr>
            <w:r>
              <w:rPr>
                <w:sz w:val="18"/>
              </w:rPr>
            </w:r>
            <w:r>
              <w:rPr>
                <w:b w:val="0"/>
                <w:sz w:val="18"/>
              </w:rPr>
              <w:t>y: müşteri vadeli mevduata abone oldu mu? (yes / no)</w:t>
            </w:r>
          </w:p>
        </w:tc>
        <w:tc>
          <w:tcPr>
            <w:tcW w:type="dxa" w:w="1928"/>
          </w:tcPr>
          <w:p>
            <w:pPr>
              <w:keepNext w:val="0"/>
              <w:spacing w:after="0" w:line="240" w:lineRule="auto"/>
            </w:pPr>
            <w:r>
              <w:rPr>
                <w:sz w:val="18"/>
              </w:rPr>
            </w:r>
            <w:r>
              <w:rPr>
                <w:b w:val="0"/>
                <w:sz w:val="18"/>
              </w:rPr>
              <w:t>İkili</w:t>
            </w:r>
          </w:p>
        </w:tc>
      </w:tr>
    </w:tbl>
    <w:p>
      <w:pPr>
        <w:spacing w:after="0" w:line="192" w:lineRule="auto"/>
      </w:pPr>
    </w:p>
    <w:p>
      <w:pPr>
        <w:jc w:val="both"/>
      </w:pPr>
      <w:r>
        <w:rPr>
          <w:b/>
        </w:rPr>
        <w:t>Sınıf dengesizliği:</w:t>
      </w:r>
      <w:r>
        <w:rPr>
          <w:b w:val="0"/>
        </w:rPr>
        <w:t xml:space="preserve"> Müşterilerin 4.640 tanesi (%11,3) abone olmuş, %88,7’si olmamıştır. </w:t>
      </w:r>
      <w:r>
        <w:rPr>
          <w:b/>
        </w:rPr>
        <w:t>Eksik değerler:</w:t>
      </w:r>
      <w:r>
        <w:rPr>
          <w:b w:val="0"/>
        </w:rPr>
        <w:t xml:space="preserve"> Veride boş hücre yoktur; eksik bilgiler “unknown” etiketiyle kodlanmıştır. En çok default (8.597 satır, %20,9), education (%4,2), housing ve loan (%2,4) sütunlarında görülür. Ayrıca 12 tekrar eden satır bulunmaktadır.</w:t>
      </w:r>
    </w:p>
    <w:p>
      <w:pPr>
        <w:keepNext/>
        <w:spacing w:before="200" w:after="60"/>
        <w:pBdr>
          <w:bottom w:val="single" w:sz="6" w:space="1" w:color="B5C4DA"/>
        </w:pBdr>
      </w:pPr>
      <w:r>
        <w:rPr>
          <w:b/>
          <w:color w:val="142B4C"/>
          <w:sz w:val="26"/>
        </w:rPr>
        <w:t>3. Veri Analizi ve Ön İşleme</w:t>
      </w:r>
    </w:p>
    <w:p>
      <w:pPr>
        <w:keepNext/>
        <w:spacing w:before="120" w:after="60"/>
      </w:pPr>
      <w:r>
        <w:rPr>
          <w:b/>
          <w:color w:val="142B4C"/>
          <w:sz w:val="22"/>
        </w:rPr>
        <w:t>3.1 Veri keşfi</w:t>
      </w:r>
    </w:p>
    <w:p>
      <w:pPr>
        <w:jc w:val="both"/>
      </w:pPr>
      <w:r>
        <w:rPr>
          <w:b w:val="0"/>
        </w:rPr>
        <w:t>Kategorik ve gruplanmış sayısal değişkenler için abone olma oranları Şekil 1’de, sayısal değişkenler arasındaki ilişkiler ve görüşme süresinin etkisi Şekil 2’de verilmiştir.</w:t>
      </w:r>
    </w:p>
    <w:p>
      <w:pPr>
        <w:jc w:val="both"/>
      </w:pPr>
      <w:r>
        <w:rPr>
          <w:b/>
        </w:rPr>
        <w:t>Gözlemler:</w:t>
      </w:r>
    </w:p>
    <w:p>
      <w:pPr>
        <w:pStyle w:val="ListBullet"/>
        <w:spacing w:after="40"/>
        <w:ind w:left="340"/>
        <w:jc w:val="both"/>
      </w:pPr>
      <w:r>
        <w:rPr>
          <w:b/>
        </w:rPr>
        <w:t>Accuracy yanıltıcıdır:</w:t>
      </w:r>
      <w:r>
        <w:rPr>
          <w:b w:val="0"/>
        </w:rPr>
        <w:t xml:space="preserve"> Herkese “hayır” diyen bir model %88,7 doğruluk elde eder. Bu nedenle başarı, azınlık sınıfı odaklı metriklerle (precision, recall, F1, PR-AUC) ölçülmelidir.</w:t>
      </w:r>
    </w:p>
    <w:p>
      <w:pPr>
        <w:pStyle w:val="ListBullet"/>
        <w:spacing w:after="40"/>
        <w:ind w:left="340"/>
        <w:jc w:val="both"/>
      </w:pPr>
      <w:r>
        <w:rPr>
          <w:b/>
        </w:rPr>
        <w:t>Dönem etkisi çok güçlüdür:</w:t>
      </w:r>
      <w:r>
        <w:rPr>
          <w:b w:val="0"/>
        </w:rPr>
        <w:t xml:space="preserve"> Aramaların %33’ü mayıs ayında yapılmış ancak oran yalnızca %6’dır; mart, eylül, ekim ve aralıkta oran %44–51’e çıkar. Euribor faizi 1’in altındayken oran %46, 4’ün üstündeyken %5’tir. Bu değişkenler müşteriden çok kampanyanın yapıldığı ekonomik ortamı temsil eder (2008 krizi sonrası faizlerin düşmesi).</w:t>
      </w:r>
    </w:p>
    <w:p>
      <w:pPr>
        <w:pStyle w:val="ListBullet"/>
        <w:spacing w:after="40"/>
        <w:ind w:left="340"/>
        <w:jc w:val="both"/>
      </w:pPr>
      <w:r>
        <w:rPr>
          <w:b/>
        </w:rPr>
        <w:t>Geçmiş başarı güçlü bir sinyaldir:</w:t>
      </w:r>
      <w:r>
        <w:rPr>
          <w:b w:val="0"/>
        </w:rPr>
        <w:t xml:space="preserve"> Önceki kampanyada ürünü almış müşterilerin %65’i yeniden abone olmuştur. Yaş ile ilişki ise U biçimlidir: 25 yaş altı (%21) ve 65 yaş üstü (%47) gruplar ortalamanın çok üzerindedir; meslekte öğrenciler ve emekliler öne çıkar. Bu doğrusal olmayan yapı ağaç tabanlı modelleri öne çıkarır.</w:t>
      </w:r>
    </w:p>
    <w:p>
      <w:pPr>
        <w:pStyle w:val="ListBullet"/>
        <w:spacing w:after="40"/>
        <w:ind w:left="340"/>
        <w:jc w:val="both"/>
      </w:pPr>
      <w:r>
        <w:rPr>
          <w:b/>
        </w:rPr>
        <w:t>Çoklu doğrusallık:</w:t>
      </w:r>
      <w:r>
        <w:rPr>
          <w:b w:val="0"/>
        </w:rPr>
        <w:t xml:space="preserve"> emp.var.rate, euribor3m ve nr.employed arasındaki korelasyon 0,91–0,97’dir; aynı bilgiyi taşıdıkları için doğrusal modelde katsayılar tek tek yorumlanmamalıdır.</w:t>
      </w:r>
    </w:p>
    <w:p>
      <w:pPr>
        <w:pStyle w:val="ListBullet"/>
        <w:spacing w:after="40"/>
        <w:ind w:left="340"/>
        <w:jc w:val="both"/>
      </w:pPr>
      <w:r>
        <w:rPr>
          <w:b/>
        </w:rPr>
        <w:t>Veri sızıntısı (data leakage):</w:t>
      </w:r>
      <w:r>
        <w:rPr>
          <w:b w:val="0"/>
        </w:rPr>
        <w:t xml:space="preserve"> Hedefle en yüksek korelasyonu görüşme süresi (duration, r = 0,41) taşır; abone olanların medyan görüşmesi 7,5 dk, olmayanlarınki 2,7 dk’dır. Ancak süre, arama bitmeden bilinemez ve arama bittiğinde sonuç zaten bellidir. Gerçekçi bir model için bu değişken </w:t>
      </w:r>
      <w:r>
        <w:rPr>
          <w:b/>
        </w:rPr>
        <w:t>girdilerden çıkarılmıştır</w:t>
      </w:r>
      <w:r>
        <w:rPr>
          <w:b w:val="0"/>
        </w:rPr>
        <w:t>.</w:t>
      </w:r>
    </w:p>
    <w:p>
      <w:pPr>
        <w:keepNext/>
        <w:spacing w:before="80" w:after="0"/>
        <w:jc w:val="center"/>
      </w:pPr>
      <w:r>
        <w:drawing>
          <wp:inline xmlns:a="http://schemas.openxmlformats.org/drawingml/2006/main" xmlns:pic="http://schemas.openxmlformats.org/drawingml/2006/picture">
            <wp:extent cx="5760000" cy="3105842"/>
            <wp:docPr id="1" name="Picture 1"/>
            <wp:cNvGraphicFramePr>
              <a:graphicFrameLocks noChangeAspect="1"/>
            </wp:cNvGraphicFramePr>
            <a:graphic>
              <a:graphicData uri="http://schemas.openxmlformats.org/drawingml/2006/picture">
                <pic:pic>
                  <pic:nvPicPr>
                    <pic:cNvPr id="0" name="1_veri_kesfi.png"/>
                    <pic:cNvPicPr/>
                  </pic:nvPicPr>
                  <pic:blipFill>
                    <a:blip r:embed="rId13"/>
                    <a:stretch>
                      <a:fillRect/>
                    </a:stretch>
                  </pic:blipFill>
                  <pic:spPr>
                    <a:xfrm>
                      <a:off x="0" y="0"/>
                      <a:ext cx="5760000" cy="3105842"/>
                    </a:xfrm>
                    <a:prstGeom prst="rect"/>
                  </pic:spPr>
                </pic:pic>
              </a:graphicData>
            </a:graphic>
          </wp:inline>
        </w:drawing>
      </w:r>
    </w:p>
    <w:p>
      <w:pPr>
        <w:spacing w:after="120"/>
        <w:jc w:val="center"/>
      </w:pPr>
      <w:r>
        <w:rPr>
          <w:b w:val="0"/>
          <w:i/>
          <w:color w:val="52514E"/>
          <w:sz w:val="18"/>
        </w:rPr>
        <w:t>Şekil 1. Hedef dağılımı ve değişkenlere göre abone olma oranı (kesikli çizgi: genel ortalama %11,3; n: örnek sayısı)</w:t>
      </w:r>
    </w:p>
    <w:p>
      <w:pPr>
        <w:keepNext/>
        <w:spacing w:before="80" w:after="0"/>
        <w:jc w:val="center"/>
      </w:pPr>
      <w:r>
        <w:drawing>
          <wp:inline xmlns:a="http://schemas.openxmlformats.org/drawingml/2006/main" xmlns:pic="http://schemas.openxmlformats.org/drawingml/2006/picture">
            <wp:extent cx="5040000" cy="2171419"/>
            <wp:docPr id="2" name="Picture 2"/>
            <wp:cNvGraphicFramePr>
              <a:graphicFrameLocks noChangeAspect="1"/>
            </wp:cNvGraphicFramePr>
            <a:graphic>
              <a:graphicData uri="http://schemas.openxmlformats.org/drawingml/2006/picture">
                <pic:pic>
                  <pic:nvPicPr>
                    <pic:cNvPr id="0" name="2_korelasyon_sure.png"/>
                    <pic:cNvPicPr/>
                  </pic:nvPicPr>
                  <pic:blipFill>
                    <a:blip r:embed="rId14"/>
                    <a:stretch>
                      <a:fillRect/>
                    </a:stretch>
                  </pic:blipFill>
                  <pic:spPr>
                    <a:xfrm>
                      <a:off x="0" y="0"/>
                      <a:ext cx="5040000" cy="2171419"/>
                    </a:xfrm>
                    <a:prstGeom prst="rect"/>
                  </pic:spPr>
                </pic:pic>
              </a:graphicData>
            </a:graphic>
          </wp:inline>
        </w:drawing>
      </w:r>
    </w:p>
    <w:p>
      <w:pPr>
        <w:spacing w:after="120"/>
        <w:jc w:val="center"/>
      </w:pPr>
      <w:r>
        <w:rPr>
          <w:b w:val="0"/>
          <w:i/>
          <w:color w:val="52514E"/>
          <w:sz w:val="18"/>
        </w:rPr>
        <w:t>Şekil 2. (a) Sayısal değişkenlerin korelasyon matrisi, (b) sınıflara göre görüşme süresi</w:t>
      </w:r>
    </w:p>
    <w:p>
      <w:pPr>
        <w:keepNext/>
        <w:spacing w:before="120" w:after="60"/>
      </w:pPr>
      <w:r>
        <w:rPr>
          <w:b/>
          <w:color w:val="142B4C"/>
          <w:sz w:val="22"/>
        </w:rPr>
        <w:t>3.2 Uygulanan ön işleme adımları</w:t>
      </w:r>
    </w:p>
    <w:p>
      <w:pPr>
        <w:keepNext/>
        <w:spacing w:before="80" w:after="40"/>
      </w:pPr>
      <w:r>
        <w:rPr>
          <w:b w:val="0"/>
          <w:i/>
          <w:color w:val="52514E"/>
          <w:sz w:val="18"/>
        </w:rPr>
        <w:t>Tablo 2. Ön işleme adımları</w:t>
      </w:r>
    </w:p>
    <w:tbl>
      <w:tblPr>
        <w:tblStyle w:val="TableGrid"/>
        <w:tblW w:type="auto" w:w="0"/>
        <w:jc w:val="center"/>
        <w:tblLayout w:type="fixed"/>
        <w:tblLook w:firstColumn="1" w:firstRow="1" w:lastColumn="0" w:lastRow="0" w:noHBand="0" w:noVBand="1" w:val="04A0"/>
        <w:tblLayout w:type="fixed"/>
      </w:tblPr>
      <w:tblGrid>
        <w:gridCol w:w="1474"/>
        <w:gridCol w:w="4195"/>
        <w:gridCol w:w="3969"/>
      </w:tblGrid>
      <w:tr>
        <w:trPr>
          <w:cantSplit/>
        </w:trPr>
        <w:tc>
          <w:tcPr>
            <w:tcW w:type="dxa" w:w="1474"/>
            <w:shd w:val="clear" w:color="auto" w:fill="142B4C"/>
          </w:tcPr>
          <w:p>
            <w:pPr>
              <w:keepNext/>
              <w:spacing w:after="0" w:line="240" w:lineRule="auto"/>
            </w:pPr>
            <w:r/>
            <w:r>
              <w:rPr>
                <w:b/>
                <w:color w:val="FFFFFF"/>
                <w:sz w:val="18"/>
              </w:rPr>
              <w:t>Adım</w:t>
            </w:r>
          </w:p>
        </w:tc>
        <w:tc>
          <w:tcPr>
            <w:tcW w:type="dxa" w:w="4195"/>
            <w:shd w:val="clear" w:color="auto" w:fill="142B4C"/>
          </w:tcPr>
          <w:p>
            <w:pPr>
              <w:keepNext/>
              <w:spacing w:after="0" w:line="240" w:lineRule="auto"/>
            </w:pPr>
            <w:r/>
            <w:r>
              <w:rPr>
                <w:b/>
                <w:color w:val="FFFFFF"/>
                <w:sz w:val="18"/>
              </w:rPr>
              <w:t>Uygulama</w:t>
            </w:r>
          </w:p>
        </w:tc>
        <w:tc>
          <w:tcPr>
            <w:tcW w:type="dxa" w:w="3969"/>
            <w:shd w:val="clear" w:color="auto" w:fill="142B4C"/>
          </w:tcPr>
          <w:p>
            <w:pPr>
              <w:keepNext/>
              <w:spacing w:after="0" w:line="240" w:lineRule="auto"/>
            </w:pPr>
            <w:r/>
            <w:r>
              <w:rPr>
                <w:b/>
                <w:color w:val="FFFFFF"/>
                <w:sz w:val="18"/>
              </w:rPr>
              <w:t>Gerekçe</w:t>
            </w:r>
          </w:p>
        </w:tc>
      </w:tr>
      <w:tr>
        <w:trPr>
          <w:cantSplit/>
        </w:trPr>
        <w:tc>
          <w:tcPr>
            <w:tcW w:type="dxa" w:w="1474"/>
          </w:tcPr>
          <w:p>
            <w:pPr>
              <w:keepNext/>
              <w:spacing w:after="0" w:line="240" w:lineRule="auto"/>
            </w:pPr>
            <w:r>
              <w:rPr>
                <w:sz w:val="18"/>
              </w:rPr>
            </w:r>
            <w:r>
              <w:rPr>
                <w:b w:val="0"/>
                <w:sz w:val="18"/>
              </w:rPr>
              <w:t>Tekrarlar</w:t>
            </w:r>
          </w:p>
        </w:tc>
        <w:tc>
          <w:tcPr>
            <w:tcW w:type="dxa" w:w="4195"/>
          </w:tcPr>
          <w:p>
            <w:pPr>
              <w:keepNext/>
              <w:spacing w:after="0" w:line="240" w:lineRule="auto"/>
            </w:pPr>
            <w:r>
              <w:rPr>
                <w:sz w:val="18"/>
              </w:rPr>
            </w:r>
            <w:r>
              <w:rPr>
                <w:b w:val="0"/>
                <w:sz w:val="18"/>
              </w:rPr>
              <w:t>12 tekrar eden satır silindi → 41.176 satır</w:t>
            </w:r>
          </w:p>
        </w:tc>
        <w:tc>
          <w:tcPr>
            <w:tcW w:type="dxa" w:w="3969"/>
          </w:tcPr>
          <w:p>
            <w:pPr>
              <w:keepNext/>
              <w:spacing w:after="0" w:line="240" w:lineRule="auto"/>
            </w:pPr>
            <w:r>
              <w:rPr>
                <w:sz w:val="18"/>
              </w:rPr>
            </w:r>
            <w:r>
              <w:rPr>
                <w:b w:val="0"/>
                <w:sz w:val="18"/>
              </w:rPr>
              <w:t>Aynı kaydın hem eğitim hem testte bulunmasını engellemek</w:t>
            </w:r>
          </w:p>
        </w:tc>
      </w:tr>
      <w:tr>
        <w:trPr>
          <w:cantSplit/>
        </w:trPr>
        <w:tc>
          <w:tcPr>
            <w:tcW w:type="dxa" w:w="1474"/>
            <w:shd w:val="clear" w:color="auto" w:fill="F5F7FA"/>
          </w:tcPr>
          <w:p>
            <w:pPr>
              <w:keepNext/>
              <w:spacing w:after="0" w:line="240" w:lineRule="auto"/>
            </w:pPr>
            <w:r>
              <w:rPr>
                <w:sz w:val="18"/>
              </w:rPr>
            </w:r>
            <w:r>
              <w:rPr>
                <w:b w:val="0"/>
                <w:sz w:val="18"/>
              </w:rPr>
              <w:t>Eksik değer</w:t>
            </w:r>
          </w:p>
        </w:tc>
        <w:tc>
          <w:tcPr>
            <w:tcW w:type="dxa" w:w="4195"/>
            <w:shd w:val="clear" w:color="auto" w:fill="F5F7FA"/>
          </w:tcPr>
          <w:p>
            <w:pPr>
              <w:keepNext/>
              <w:spacing w:after="0" w:line="240" w:lineRule="auto"/>
            </w:pPr>
            <w:r>
              <w:rPr>
                <w:sz w:val="18"/>
              </w:rPr>
            </w:r>
            <w:r>
              <w:rPr>
                <w:b w:val="0"/>
                <w:sz w:val="18"/>
              </w:rPr>
              <w:t>“unknown” ayrı bir kategori olarak bırakıldı</w:t>
            </w:r>
          </w:p>
        </w:tc>
        <w:tc>
          <w:tcPr>
            <w:tcW w:type="dxa" w:w="3969"/>
            <w:shd w:val="clear" w:color="auto" w:fill="F5F7FA"/>
          </w:tcPr>
          <w:p>
            <w:pPr>
              <w:keepNext/>
              <w:spacing w:after="0" w:line="240" w:lineRule="auto"/>
            </w:pPr>
            <w:r>
              <w:rPr>
                <w:sz w:val="18"/>
              </w:rPr>
            </w:r>
            <w:r>
              <w:rPr>
                <w:b w:val="0"/>
                <w:sz w:val="18"/>
              </w:rPr>
              <w:t>Silmek verinin ~%25’ini kaybettirirdi; “bilinmiyor” bilgisinin kendisi anlamlı olabilir</w:t>
            </w:r>
          </w:p>
        </w:tc>
      </w:tr>
      <w:tr>
        <w:trPr>
          <w:cantSplit/>
        </w:trPr>
        <w:tc>
          <w:tcPr>
            <w:tcW w:type="dxa" w:w="1474"/>
          </w:tcPr>
          <w:p>
            <w:pPr>
              <w:keepNext/>
              <w:spacing w:after="0" w:line="240" w:lineRule="auto"/>
            </w:pPr>
            <w:r>
              <w:rPr>
                <w:sz w:val="18"/>
              </w:rPr>
            </w:r>
            <w:r>
              <w:rPr>
                <w:b w:val="0"/>
                <w:sz w:val="18"/>
              </w:rPr>
              <w:t>Sızıntı</w:t>
            </w:r>
          </w:p>
        </w:tc>
        <w:tc>
          <w:tcPr>
            <w:tcW w:type="dxa" w:w="4195"/>
          </w:tcPr>
          <w:p>
            <w:pPr>
              <w:keepNext/>
              <w:spacing w:after="0" w:line="240" w:lineRule="auto"/>
            </w:pPr>
            <w:r>
              <w:rPr>
                <w:sz w:val="18"/>
              </w:rPr>
            </w:r>
            <w:r>
              <w:rPr>
                <w:b w:val="0"/>
                <w:sz w:val="18"/>
              </w:rPr>
              <w:t>duration modelden çıkarıldı (yalnızca karşılaştırma için kullanıldı)</w:t>
            </w:r>
          </w:p>
        </w:tc>
        <w:tc>
          <w:tcPr>
            <w:tcW w:type="dxa" w:w="3969"/>
          </w:tcPr>
          <w:p>
            <w:pPr>
              <w:keepNext/>
              <w:spacing w:after="0" w:line="240" w:lineRule="auto"/>
            </w:pPr>
            <w:r>
              <w:rPr>
                <w:sz w:val="18"/>
              </w:rPr>
            </w:r>
            <w:r>
              <w:rPr>
                <w:b w:val="0"/>
                <w:sz w:val="18"/>
              </w:rPr>
              <w:t>Arama öncesinde bilinemez</w:t>
            </w:r>
          </w:p>
        </w:tc>
      </w:tr>
      <w:tr>
        <w:trPr>
          <w:cantSplit/>
        </w:trPr>
        <w:tc>
          <w:tcPr>
            <w:tcW w:type="dxa" w:w="1474"/>
            <w:shd w:val="clear" w:color="auto" w:fill="F5F7FA"/>
          </w:tcPr>
          <w:p>
            <w:pPr>
              <w:keepNext/>
              <w:spacing w:after="0" w:line="240" w:lineRule="auto"/>
            </w:pPr>
            <w:r>
              <w:rPr>
                <w:sz w:val="18"/>
              </w:rPr>
            </w:r>
            <w:r>
              <w:rPr>
                <w:b w:val="0"/>
                <w:sz w:val="18"/>
              </w:rPr>
              <w:t>Özellik dönüşümü</w:t>
            </w:r>
          </w:p>
        </w:tc>
        <w:tc>
          <w:tcPr>
            <w:tcW w:type="dxa" w:w="4195"/>
            <w:shd w:val="clear" w:color="auto" w:fill="F5F7FA"/>
          </w:tcPr>
          <w:p>
            <w:pPr>
              <w:keepNext/>
              <w:spacing w:after="0" w:line="240" w:lineRule="auto"/>
            </w:pPr>
            <w:r>
              <w:rPr>
                <w:sz w:val="18"/>
              </w:rPr>
            </w:r>
            <w:r>
              <w:rPr>
                <w:b w:val="0"/>
                <w:sz w:val="18"/>
              </w:rPr>
              <w:t xml:space="preserve">pdays = 999 (“hiç aranmadı” kodu) → ikili </w:t>
            </w:r>
            <w:r>
              <w:rPr>
                <w:b/>
                <w:sz w:val="18"/>
              </w:rPr>
              <w:t>onceden_arandi</w:t>
            </w:r>
          </w:p>
        </w:tc>
        <w:tc>
          <w:tcPr>
            <w:tcW w:type="dxa" w:w="3969"/>
            <w:shd w:val="clear" w:color="auto" w:fill="F5F7FA"/>
          </w:tcPr>
          <w:p>
            <w:pPr>
              <w:keepNext/>
              <w:spacing w:after="0" w:line="240" w:lineRule="auto"/>
            </w:pPr>
            <w:r>
              <w:rPr>
                <w:sz w:val="18"/>
              </w:rPr>
            </w:r>
            <w:r>
              <w:rPr>
                <w:b w:val="0"/>
                <w:sz w:val="18"/>
              </w:rPr>
              <w:t>999 gerçek bir gün sayısı değildir, ölçeklemeyi bozar</w:t>
            </w:r>
          </w:p>
        </w:tc>
      </w:tr>
      <w:tr>
        <w:trPr>
          <w:cantSplit/>
        </w:trPr>
        <w:tc>
          <w:tcPr>
            <w:tcW w:type="dxa" w:w="1474"/>
          </w:tcPr>
          <w:p>
            <w:pPr>
              <w:keepNext/>
              <w:spacing w:after="0" w:line="240" w:lineRule="auto"/>
            </w:pPr>
            <w:r>
              <w:rPr>
                <w:sz w:val="18"/>
              </w:rPr>
            </w:r>
            <w:r>
              <w:rPr>
                <w:b w:val="0"/>
                <w:sz w:val="18"/>
              </w:rPr>
              <w:t>Aykırı değer</w:t>
            </w:r>
          </w:p>
        </w:tc>
        <w:tc>
          <w:tcPr>
            <w:tcW w:type="dxa" w:w="4195"/>
          </w:tcPr>
          <w:p>
            <w:pPr>
              <w:keepNext/>
              <w:spacing w:after="0" w:line="240" w:lineRule="auto"/>
            </w:pPr>
            <w:r>
              <w:rPr>
                <w:sz w:val="18"/>
              </w:rPr>
            </w:r>
            <w:r>
              <w:rPr>
                <w:b w:val="0"/>
                <w:sz w:val="18"/>
              </w:rPr>
              <w:t>campaign (maks. 56) eğitim setinin 99. yüzdeliğinde (14) kırpıldı</w:t>
            </w:r>
          </w:p>
        </w:tc>
        <w:tc>
          <w:tcPr>
            <w:tcW w:type="dxa" w:w="3969"/>
          </w:tcPr>
          <w:p>
            <w:pPr>
              <w:keepNext/>
              <w:spacing w:after="0" w:line="240" w:lineRule="auto"/>
            </w:pPr>
            <w:r>
              <w:rPr>
                <w:sz w:val="18"/>
              </w:rPr>
            </w:r>
            <w:r>
              <w:rPr>
                <w:b w:val="0"/>
                <w:sz w:val="18"/>
              </w:rPr>
              <w:t>Aşırı sağa çarpık dağılımın doğrusal modeli bozmasını önlemek</w:t>
            </w:r>
          </w:p>
        </w:tc>
      </w:tr>
      <w:tr>
        <w:trPr>
          <w:cantSplit/>
        </w:trPr>
        <w:tc>
          <w:tcPr>
            <w:tcW w:type="dxa" w:w="1474"/>
            <w:shd w:val="clear" w:color="auto" w:fill="F5F7FA"/>
          </w:tcPr>
          <w:p>
            <w:pPr>
              <w:keepNext/>
              <w:spacing w:after="0" w:line="240" w:lineRule="auto"/>
            </w:pPr>
            <w:r>
              <w:rPr>
                <w:sz w:val="18"/>
              </w:rPr>
            </w:r>
            <w:r>
              <w:rPr>
                <w:b w:val="0"/>
                <w:sz w:val="18"/>
              </w:rPr>
              <w:t>Encoding</w:t>
            </w:r>
          </w:p>
        </w:tc>
        <w:tc>
          <w:tcPr>
            <w:tcW w:type="dxa" w:w="4195"/>
            <w:shd w:val="clear" w:color="auto" w:fill="F5F7FA"/>
          </w:tcPr>
          <w:p>
            <w:pPr>
              <w:keepNext/>
              <w:spacing w:after="0" w:line="240" w:lineRule="auto"/>
            </w:pPr>
            <w:r>
              <w:rPr>
                <w:sz w:val="18"/>
              </w:rPr>
            </w:r>
            <w:r>
              <w:rPr>
                <w:b w:val="0"/>
                <w:sz w:val="18"/>
              </w:rPr>
              <w:t>10 kategorik değişkene One-Hot Encoding → toplam 62 özellik</w:t>
            </w:r>
          </w:p>
        </w:tc>
        <w:tc>
          <w:tcPr>
            <w:tcW w:type="dxa" w:w="3969"/>
            <w:shd w:val="clear" w:color="auto" w:fill="F5F7FA"/>
          </w:tcPr>
          <w:p>
            <w:pPr>
              <w:keepNext/>
              <w:spacing w:after="0" w:line="240" w:lineRule="auto"/>
            </w:pPr>
            <w:r>
              <w:rPr>
                <w:sz w:val="18"/>
              </w:rPr>
            </w:r>
            <w:r>
              <w:rPr>
                <w:b w:val="0"/>
                <w:sz w:val="18"/>
              </w:rPr>
              <w:t>Algoritmalar sayısal girdi ister; kategoriler arasında sıra yoktur</w:t>
            </w:r>
          </w:p>
        </w:tc>
      </w:tr>
      <w:tr>
        <w:trPr>
          <w:cantSplit/>
        </w:trPr>
        <w:tc>
          <w:tcPr>
            <w:tcW w:type="dxa" w:w="1474"/>
          </w:tcPr>
          <w:p>
            <w:pPr>
              <w:keepNext/>
              <w:spacing w:after="0" w:line="240" w:lineRule="auto"/>
            </w:pPr>
            <w:r>
              <w:rPr>
                <w:sz w:val="18"/>
              </w:rPr>
            </w:r>
            <w:r>
              <w:rPr>
                <w:b w:val="0"/>
                <w:sz w:val="18"/>
              </w:rPr>
              <w:t>Ölçekleme</w:t>
            </w:r>
          </w:p>
        </w:tc>
        <w:tc>
          <w:tcPr>
            <w:tcW w:type="dxa" w:w="4195"/>
          </w:tcPr>
          <w:p>
            <w:pPr>
              <w:keepNext/>
              <w:spacing w:after="0" w:line="240" w:lineRule="auto"/>
            </w:pPr>
            <w:r>
              <w:rPr>
                <w:sz w:val="18"/>
              </w:rPr>
            </w:r>
            <w:r>
              <w:rPr>
                <w:b w:val="0"/>
                <w:sz w:val="18"/>
              </w:rPr>
              <w:t>Sayısal değişkenlere StandardScaler (ortalama 0, std 1)</w:t>
            </w:r>
          </w:p>
        </w:tc>
        <w:tc>
          <w:tcPr>
            <w:tcW w:type="dxa" w:w="3969"/>
          </w:tcPr>
          <w:p>
            <w:pPr>
              <w:keepNext/>
              <w:spacing w:after="0" w:line="240" w:lineRule="auto"/>
            </w:pPr>
            <w:r>
              <w:rPr>
                <w:sz w:val="18"/>
              </w:rPr>
            </w:r>
            <w:r>
              <w:rPr>
                <w:b w:val="0"/>
                <w:sz w:val="18"/>
              </w:rPr>
              <w:t>Lojistik Regresyon’un düzenlileştirmesi ölçeğe duyarlıdır</w:t>
            </w:r>
          </w:p>
        </w:tc>
      </w:tr>
      <w:tr>
        <w:trPr>
          <w:cantSplit/>
        </w:trPr>
        <w:tc>
          <w:tcPr>
            <w:tcW w:type="dxa" w:w="1474"/>
            <w:shd w:val="clear" w:color="auto" w:fill="F5F7FA"/>
          </w:tcPr>
          <w:p>
            <w:pPr>
              <w:keepNext w:val="0"/>
              <w:spacing w:after="0" w:line="240" w:lineRule="auto"/>
            </w:pPr>
            <w:r>
              <w:rPr>
                <w:sz w:val="18"/>
              </w:rPr>
            </w:r>
            <w:r>
              <w:rPr>
                <w:b w:val="0"/>
                <w:sz w:val="18"/>
              </w:rPr>
              <w:t>Veri bölme</w:t>
            </w:r>
          </w:p>
        </w:tc>
        <w:tc>
          <w:tcPr>
            <w:tcW w:type="dxa" w:w="4195"/>
            <w:shd w:val="clear" w:color="auto" w:fill="F5F7FA"/>
          </w:tcPr>
          <w:p>
            <w:pPr>
              <w:keepNext w:val="0"/>
              <w:spacing w:after="0" w:line="240" w:lineRule="auto"/>
            </w:pPr>
            <w:r>
              <w:rPr>
                <w:sz w:val="18"/>
              </w:rPr>
            </w:r>
            <w:r>
              <w:rPr>
                <w:b w:val="0"/>
                <w:sz w:val="18"/>
              </w:rPr>
              <w:t>%80 eğitim (32.940) / %20 test (8.236), tabakalı (stratified)</w:t>
            </w:r>
          </w:p>
        </w:tc>
        <w:tc>
          <w:tcPr>
            <w:tcW w:type="dxa" w:w="3969"/>
            <w:shd w:val="clear" w:color="auto" w:fill="F5F7FA"/>
          </w:tcPr>
          <w:p>
            <w:pPr>
              <w:keepNext w:val="0"/>
              <w:spacing w:after="0" w:line="240" w:lineRule="auto"/>
            </w:pPr>
            <w:r>
              <w:rPr>
                <w:sz w:val="18"/>
              </w:rPr>
            </w:r>
            <w:r>
              <w:rPr>
                <w:b w:val="0"/>
                <w:sz w:val="18"/>
              </w:rPr>
              <w:t>Her iki kümede de pozitif oran %11,27 korunur</w:t>
            </w:r>
          </w:p>
        </w:tc>
      </w:tr>
    </w:tbl>
    <w:p>
      <w:pPr>
        <w:spacing w:after="0" w:line="192" w:lineRule="auto"/>
      </w:pPr>
    </w:p>
    <w:p>
      <w:pPr>
        <w:jc w:val="both"/>
      </w:pPr>
      <w:r>
        <w:rPr>
          <w:b w:val="0"/>
        </w:rPr>
        <w:t xml:space="preserve">Tüm dönüşümler scikit-learn </w:t>
      </w:r>
      <w:r>
        <w:rPr>
          <w:b/>
        </w:rPr>
        <w:t>Pipeline / ColumnTransformer</w:t>
      </w:r>
      <w:r>
        <w:rPr>
          <w:b w:val="0"/>
        </w:rPr>
        <w:t xml:space="preserve"> içinde tanımlanmıştır; böylece ölçekleme ve encoding parametreleri yalnızca eğitim verisinden öğrenilir ve çapraz doğrulama katmanlarında bile test bilgisi modele sızmaz. Kırpma sınırı da yalnızca eğitim setinden hesaplanmıştır.</w:t>
      </w:r>
    </w:p>
    <w:p>
      <w:pPr>
        <w:keepNext/>
        <w:spacing w:before="200" w:after="60"/>
        <w:pBdr>
          <w:bottom w:val="single" w:sz="6" w:space="1" w:color="B5C4DA"/>
        </w:pBdr>
      </w:pPr>
      <w:r>
        <w:rPr>
          <w:b/>
          <w:color w:val="142B4C"/>
          <w:sz w:val="26"/>
        </w:rPr>
        <w:t>4. Model / Yöntem Seçimi</w:t>
      </w:r>
    </w:p>
    <w:p>
      <w:pPr>
        <w:jc w:val="both"/>
      </w:pPr>
      <w:r>
        <w:rPr>
          <w:b w:val="0"/>
        </w:rPr>
        <w:t>Problem tablo verisi üzerinde ikili sınıflandırma olduğu için klasik makine öğrenmesi yöntemleri tercih edilmiştir; bu tür yapılandırılmış verilerde ağaç tabanlı topluluk modelleri derin öğrenmeye göre genellikle daha başarılı, daha hızlı ve daha yorumlanabilirdir. Basitten karmaşığa dört model karşılaştırılmıştır:</w:t>
      </w:r>
    </w:p>
    <w:p>
      <w:pPr>
        <w:keepNext/>
        <w:spacing w:before="80" w:after="40"/>
      </w:pPr>
      <w:r>
        <w:rPr>
          <w:b w:val="0"/>
          <w:i/>
          <w:color w:val="52514E"/>
          <w:sz w:val="18"/>
        </w:rPr>
        <w:t>Tablo 3. Karşılaştırılan modeller</w:t>
      </w:r>
    </w:p>
    <w:tbl>
      <w:tblPr>
        <w:tblStyle w:val="TableGrid"/>
        <w:tblW w:type="auto" w:w="0"/>
        <w:jc w:val="center"/>
        <w:tblLayout w:type="fixed"/>
        <w:tblLook w:firstColumn="1" w:firstRow="1" w:lastColumn="0" w:lastRow="0" w:noHBand="0" w:noVBand="1" w:val="04A0"/>
        <w:tblLayout w:type="fixed"/>
      </w:tblPr>
      <w:tblGrid>
        <w:gridCol w:w="2154"/>
        <w:gridCol w:w="1928"/>
        <w:gridCol w:w="5556"/>
      </w:tblGrid>
      <w:tr>
        <w:trPr>
          <w:cantSplit/>
        </w:trPr>
        <w:tc>
          <w:tcPr>
            <w:tcW w:type="dxa" w:w="2154"/>
            <w:shd w:val="clear" w:color="auto" w:fill="142B4C"/>
          </w:tcPr>
          <w:p>
            <w:pPr>
              <w:keepNext/>
              <w:spacing w:after="0" w:line="240" w:lineRule="auto"/>
            </w:pPr>
            <w:r/>
            <w:r>
              <w:rPr>
                <w:b/>
                <w:color w:val="FFFFFF"/>
                <w:sz w:val="18"/>
              </w:rPr>
              <w:t>Model</w:t>
            </w:r>
          </w:p>
        </w:tc>
        <w:tc>
          <w:tcPr>
            <w:tcW w:type="dxa" w:w="1928"/>
            <w:shd w:val="clear" w:color="auto" w:fill="142B4C"/>
          </w:tcPr>
          <w:p>
            <w:pPr>
              <w:keepNext/>
              <w:spacing w:after="0" w:line="240" w:lineRule="auto"/>
            </w:pPr>
            <w:r/>
            <w:r>
              <w:rPr>
                <w:b/>
                <w:color w:val="FFFFFF"/>
                <w:sz w:val="18"/>
              </w:rPr>
              <w:t>Rolü</w:t>
            </w:r>
          </w:p>
        </w:tc>
        <w:tc>
          <w:tcPr>
            <w:tcW w:type="dxa" w:w="5556"/>
            <w:shd w:val="clear" w:color="auto" w:fill="142B4C"/>
          </w:tcPr>
          <w:p>
            <w:pPr>
              <w:keepNext/>
              <w:spacing w:after="0" w:line="240" w:lineRule="auto"/>
            </w:pPr>
            <w:r/>
            <w:r>
              <w:rPr>
                <w:b/>
                <w:color w:val="FFFFFF"/>
                <w:sz w:val="18"/>
              </w:rPr>
              <w:t>Seçim gerekçesi</w:t>
            </w:r>
          </w:p>
        </w:tc>
      </w:tr>
      <w:tr>
        <w:trPr>
          <w:cantSplit/>
        </w:trPr>
        <w:tc>
          <w:tcPr>
            <w:tcW w:type="dxa" w:w="2154"/>
          </w:tcPr>
          <w:p>
            <w:pPr>
              <w:keepNext/>
              <w:spacing w:after="0" w:line="240" w:lineRule="auto"/>
            </w:pPr>
            <w:r>
              <w:rPr>
                <w:sz w:val="18"/>
              </w:rPr>
            </w:r>
            <w:r>
              <w:rPr>
                <w:b w:val="0"/>
                <w:sz w:val="18"/>
              </w:rPr>
              <w:t>Dummy (çoğunluk sınıfı)</w:t>
            </w:r>
          </w:p>
        </w:tc>
        <w:tc>
          <w:tcPr>
            <w:tcW w:type="dxa" w:w="1928"/>
          </w:tcPr>
          <w:p>
            <w:pPr>
              <w:keepNext/>
              <w:spacing w:after="0" w:line="240" w:lineRule="auto"/>
            </w:pPr>
            <w:r>
              <w:rPr>
                <w:sz w:val="18"/>
              </w:rPr>
            </w:r>
            <w:r>
              <w:rPr>
                <w:b w:val="0"/>
                <w:sz w:val="18"/>
              </w:rPr>
              <w:t>Alt sınır</w:t>
            </w:r>
          </w:p>
        </w:tc>
        <w:tc>
          <w:tcPr>
            <w:tcW w:type="dxa" w:w="5556"/>
          </w:tcPr>
          <w:p>
            <w:pPr>
              <w:keepNext/>
              <w:spacing w:after="0" w:line="240" w:lineRule="auto"/>
            </w:pPr>
            <w:r>
              <w:rPr>
                <w:sz w:val="18"/>
              </w:rPr>
            </w:r>
            <w:r>
              <w:rPr>
                <w:b w:val="0"/>
                <w:sz w:val="18"/>
              </w:rPr>
              <w:t>Modellerin gerçekten öğrenip öğrenmediğini görmek için referans</w:t>
            </w:r>
          </w:p>
        </w:tc>
      </w:tr>
      <w:tr>
        <w:trPr>
          <w:cantSplit/>
        </w:trPr>
        <w:tc>
          <w:tcPr>
            <w:tcW w:type="dxa" w:w="2154"/>
            <w:shd w:val="clear" w:color="auto" w:fill="F5F7FA"/>
          </w:tcPr>
          <w:p>
            <w:pPr>
              <w:keepNext/>
              <w:spacing w:after="0" w:line="240" w:lineRule="auto"/>
            </w:pPr>
            <w:r>
              <w:rPr>
                <w:sz w:val="18"/>
              </w:rPr>
            </w:r>
            <w:r>
              <w:rPr>
                <w:b w:val="0"/>
                <w:sz w:val="18"/>
              </w:rPr>
              <w:t>Lojistik Regresyon</w:t>
            </w:r>
          </w:p>
        </w:tc>
        <w:tc>
          <w:tcPr>
            <w:tcW w:type="dxa" w:w="1928"/>
            <w:shd w:val="clear" w:color="auto" w:fill="F5F7FA"/>
          </w:tcPr>
          <w:p>
            <w:pPr>
              <w:keepNext/>
              <w:spacing w:after="0" w:line="240" w:lineRule="auto"/>
            </w:pPr>
            <w:r>
              <w:rPr>
                <w:sz w:val="18"/>
              </w:rPr>
            </w:r>
            <w:r>
              <w:rPr>
                <w:b w:val="0"/>
                <w:sz w:val="18"/>
              </w:rPr>
              <w:t>Temel (baseline) model</w:t>
            </w:r>
          </w:p>
        </w:tc>
        <w:tc>
          <w:tcPr>
            <w:tcW w:type="dxa" w:w="5556"/>
            <w:shd w:val="clear" w:color="auto" w:fill="F5F7FA"/>
          </w:tcPr>
          <w:p>
            <w:pPr>
              <w:keepNext/>
              <w:spacing w:after="0" w:line="240" w:lineRule="auto"/>
            </w:pPr>
            <w:r>
              <w:rPr>
                <w:sz w:val="18"/>
              </w:rPr>
            </w:r>
            <w:r>
              <w:rPr>
                <w:b w:val="0"/>
                <w:sz w:val="18"/>
              </w:rPr>
              <w:t>Hızlı, yorumlanabilir; iyi kalibre olasılık üretir; L2 düzenlileştirme ile çoklu doğrusallığa dayanıklı</w:t>
            </w:r>
          </w:p>
        </w:tc>
      </w:tr>
      <w:tr>
        <w:trPr>
          <w:cantSplit/>
        </w:trPr>
        <w:tc>
          <w:tcPr>
            <w:tcW w:type="dxa" w:w="2154"/>
          </w:tcPr>
          <w:p>
            <w:pPr>
              <w:keepNext/>
              <w:spacing w:after="0" w:line="240" w:lineRule="auto"/>
            </w:pPr>
            <w:r>
              <w:rPr>
                <w:sz w:val="18"/>
              </w:rPr>
            </w:r>
            <w:r>
              <w:rPr>
                <w:b w:val="0"/>
                <w:sz w:val="18"/>
              </w:rPr>
              <w:t>Random Forest</w:t>
            </w:r>
          </w:p>
        </w:tc>
        <w:tc>
          <w:tcPr>
            <w:tcW w:type="dxa" w:w="1928"/>
          </w:tcPr>
          <w:p>
            <w:pPr>
              <w:keepNext/>
              <w:spacing w:after="0" w:line="240" w:lineRule="auto"/>
            </w:pPr>
            <w:r>
              <w:rPr>
                <w:sz w:val="18"/>
              </w:rPr>
            </w:r>
            <w:r>
              <w:rPr>
                <w:b w:val="0"/>
                <w:sz w:val="18"/>
              </w:rPr>
              <w:t>Doğrusal olmayan model</w:t>
            </w:r>
          </w:p>
        </w:tc>
        <w:tc>
          <w:tcPr>
            <w:tcW w:type="dxa" w:w="5556"/>
          </w:tcPr>
          <w:p>
            <w:pPr>
              <w:keepNext/>
              <w:spacing w:after="0" w:line="240" w:lineRule="auto"/>
            </w:pPr>
            <w:r>
              <w:rPr>
                <w:sz w:val="18"/>
              </w:rPr>
            </w:r>
            <w:r>
              <w:rPr>
                <w:b w:val="0"/>
                <w:sz w:val="18"/>
              </w:rPr>
              <w:t>Yüzlerce karar ağacının oylaması; U biçimli ilişkileri ve değişken etkileşimlerini yakalar, aykırı değerlere dayanıklıdır</w:t>
            </w:r>
          </w:p>
        </w:tc>
      </w:tr>
      <w:tr>
        <w:trPr>
          <w:cantSplit/>
        </w:trPr>
        <w:tc>
          <w:tcPr>
            <w:tcW w:type="dxa" w:w="2154"/>
            <w:shd w:val="clear" w:color="auto" w:fill="F5F7FA"/>
          </w:tcPr>
          <w:p>
            <w:pPr>
              <w:keepNext w:val="0"/>
              <w:spacing w:after="0" w:line="240" w:lineRule="auto"/>
            </w:pPr>
            <w:r>
              <w:rPr>
                <w:sz w:val="18"/>
              </w:rPr>
            </w:r>
            <w:r>
              <w:rPr>
                <w:b w:val="0"/>
                <w:sz w:val="18"/>
              </w:rPr>
              <w:t>HistGradientBoosting</w:t>
            </w:r>
          </w:p>
        </w:tc>
        <w:tc>
          <w:tcPr>
            <w:tcW w:type="dxa" w:w="1928"/>
            <w:shd w:val="clear" w:color="auto" w:fill="F5F7FA"/>
          </w:tcPr>
          <w:p>
            <w:pPr>
              <w:keepNext w:val="0"/>
              <w:spacing w:after="0" w:line="240" w:lineRule="auto"/>
            </w:pPr>
            <w:r>
              <w:rPr>
                <w:sz w:val="18"/>
              </w:rPr>
            </w:r>
            <w:r>
              <w:rPr>
                <w:b w:val="0"/>
                <w:sz w:val="18"/>
              </w:rPr>
              <w:t>Güçlü topluluk modeli</w:t>
            </w:r>
          </w:p>
        </w:tc>
        <w:tc>
          <w:tcPr>
            <w:tcW w:type="dxa" w:w="5556"/>
            <w:shd w:val="clear" w:color="auto" w:fill="F5F7FA"/>
          </w:tcPr>
          <w:p>
            <w:pPr>
              <w:keepNext w:val="0"/>
              <w:spacing w:after="0" w:line="240" w:lineRule="auto"/>
            </w:pPr>
            <w:r>
              <w:rPr>
                <w:sz w:val="18"/>
              </w:rPr>
            </w:r>
            <w:r>
              <w:rPr>
                <w:b w:val="0"/>
                <w:sz w:val="18"/>
              </w:rPr>
              <w:t>Ağaçları ardışık olarak önceki hataları düzeltecek şekilde kurar; tablo verilerinde en iyi sonuçları veren yöntem ailesindendir (XGBoost/LightGBM benzeri)</w:t>
            </w:r>
          </w:p>
        </w:tc>
      </w:tr>
    </w:tbl>
    <w:p>
      <w:pPr>
        <w:spacing w:after="0" w:line="192" w:lineRule="auto"/>
      </w:pPr>
    </w:p>
    <w:p>
      <w:pPr>
        <w:jc w:val="both"/>
      </w:pPr>
      <w:r>
        <w:rPr>
          <w:b w:val="0"/>
        </w:rPr>
        <w:t xml:space="preserve">SVM, ~33 bin satırlık eğitim verisinde çekirdek (kernel) hesaplamaları nedeniyle çok yavaş olduğundan ve doğal olasılık çıktısı vermediğinden kapsam dışında bırakılmıştır. </w:t>
      </w:r>
      <w:r>
        <w:rPr>
          <w:b/>
        </w:rPr>
        <w:t>Dengesizlik</w:t>
      </w:r>
      <w:r>
        <w:rPr>
          <w:b w:val="0"/>
        </w:rPr>
        <w:t xml:space="preserve"> için sınıf ağırlıklandırma (class_weight) hiperparametre olarak denenmiş ve karar eşiği ayrıca optimize edilmiştir (Bölüm 5).</w:t>
      </w:r>
    </w:p>
    <w:p>
      <w:pPr>
        <w:keepNext/>
        <w:spacing w:before="200" w:after="60"/>
        <w:pBdr>
          <w:bottom w:val="single" w:sz="6" w:space="1" w:color="B5C4DA"/>
        </w:pBdr>
      </w:pPr>
      <w:r>
        <w:rPr>
          <w:b/>
          <w:color w:val="142B4C"/>
          <w:sz w:val="26"/>
        </w:rPr>
        <w:t>5. Eğitim Süreci</w:t>
      </w:r>
    </w:p>
    <w:p>
      <w:pPr>
        <w:jc w:val="both"/>
      </w:pPr>
      <w:r>
        <w:rPr>
          <w:b w:val="0"/>
        </w:rPr>
        <w:t xml:space="preserve">Hiperparametreler yalnızca eğitim seti üzerinde </w:t>
      </w:r>
      <w:r>
        <w:rPr>
          <w:b/>
        </w:rPr>
        <w:t>5 katlı tabakalı çapraz doğrulama</w:t>
      </w:r>
      <w:r>
        <w:rPr>
          <w:b w:val="0"/>
        </w:rPr>
        <w:t xml:space="preserve"> ile seçilmiştir. Lojistik Regresyon için GridSearchCV (8 kombinasyon), Random Forest (12 deneme) ve HGB (15 deneme) için RandomizedSearchCV kullanılmıştır. Seçim ölçütü </w:t>
      </w:r>
      <w:r>
        <w:rPr>
          <w:b/>
        </w:rPr>
        <w:t>PR-AUC (average precision)</w:t>
      </w:r>
      <w:r>
        <w:rPr>
          <w:b w:val="0"/>
        </w:rPr>
        <w:t xml:space="preserve">’dır; çünkü nadir pozitif sınıfı doğru sıralama başarısını doğrudan ölçer ve dengesiz veride ROC-AUC’ye göre daha ayırt edicidir. HGB’de aşırı öğrenmeyi önlemek için eğitim verisinin %10’u ile </w:t>
      </w:r>
      <w:r>
        <w:rPr>
          <w:b/>
        </w:rPr>
        <w:t>erken durdurma</w:t>
      </w:r>
      <w:r>
        <w:rPr>
          <w:b w:val="0"/>
        </w:rPr>
        <w:t xml:space="preserve"> (early stopping) uygulanmıştır. Arama uzayları: LR’de C ∈ {0,01; 0,1; 1; 10}; RF’de 300 ağaç, max_depth ∈ {8, 12, 16, sınırsız}, min_samples_leaf ∈ {5, 10, 20, 40}, max_features ∈ {sqrt, 0,3}; HGB’de learning_rate ∈ {0,03; 0,05; 0,1}, max_leaf_nodes ∈ {15, 31, 63}, min_samples_leaf ∈ {20, 50, 100}, l2_regularization ∈ {0, 1}. Üç modelde de class_weight ∈ {yok, dengeli} denenmiştir.</w:t>
      </w:r>
    </w:p>
    <w:p>
      <w:pPr>
        <w:keepNext/>
        <w:spacing w:before="80" w:after="40"/>
      </w:pPr>
      <w:r>
        <w:rPr>
          <w:b w:val="0"/>
          <w:i/>
          <w:color w:val="52514E"/>
          <w:sz w:val="18"/>
        </w:rPr>
        <w:t>Tablo 4. Hiperparametre arama sonuçları (5 katlı CV, eğitim seti)</w:t>
      </w:r>
    </w:p>
    <w:tbl>
      <w:tblPr>
        <w:tblStyle w:val="TableGrid"/>
        <w:tblW w:type="auto" w:w="0"/>
        <w:jc w:val="center"/>
        <w:tblLayout w:type="fixed"/>
        <w:tblLook w:firstColumn="1" w:firstRow="1" w:lastColumn="0" w:lastRow="0" w:noHBand="0" w:noVBand="1" w:val="04A0"/>
        <w:tblLayout w:type="fixed"/>
      </w:tblPr>
      <w:tblGrid>
        <w:gridCol w:w="2041"/>
        <w:gridCol w:w="4989"/>
        <w:gridCol w:w="1701"/>
        <w:gridCol w:w="907"/>
      </w:tblGrid>
      <w:tr>
        <w:trPr>
          <w:cantSplit/>
        </w:trPr>
        <w:tc>
          <w:tcPr>
            <w:tcW w:type="dxa" w:w="2041"/>
            <w:shd w:val="clear" w:color="auto" w:fill="142B4C"/>
          </w:tcPr>
          <w:p>
            <w:pPr>
              <w:keepNext/>
              <w:spacing w:after="0" w:line="240" w:lineRule="auto"/>
            </w:pPr>
            <w:r/>
            <w:r>
              <w:rPr>
                <w:b/>
                <w:color w:val="FFFFFF"/>
                <w:sz w:val="18"/>
              </w:rPr>
              <w:t>Model</w:t>
            </w:r>
          </w:p>
        </w:tc>
        <w:tc>
          <w:tcPr>
            <w:tcW w:type="dxa" w:w="4989"/>
            <w:shd w:val="clear" w:color="auto" w:fill="142B4C"/>
          </w:tcPr>
          <w:p>
            <w:pPr>
              <w:keepNext/>
              <w:spacing w:after="0" w:line="240" w:lineRule="auto"/>
            </w:pPr>
            <w:r/>
            <w:r>
              <w:rPr>
                <w:b/>
                <w:color w:val="FFFFFF"/>
                <w:sz w:val="18"/>
              </w:rPr>
              <w:t>Seçilen hiperparametreler</w:t>
            </w:r>
          </w:p>
        </w:tc>
        <w:tc>
          <w:tcPr>
            <w:tcW w:type="dxa" w:w="1701"/>
            <w:shd w:val="clear" w:color="auto" w:fill="142B4C"/>
          </w:tcPr>
          <w:p>
            <w:pPr>
              <w:keepNext/>
              <w:spacing w:after="0" w:line="240" w:lineRule="auto"/>
            </w:pPr>
            <w:r/>
            <w:r>
              <w:rPr>
                <w:b/>
                <w:color w:val="FFFFFF"/>
                <w:sz w:val="18"/>
              </w:rPr>
              <w:t>CV PR-AUC (ort. ± std)</w:t>
            </w:r>
          </w:p>
        </w:tc>
        <w:tc>
          <w:tcPr>
            <w:tcW w:type="dxa" w:w="907"/>
            <w:shd w:val="clear" w:color="auto" w:fill="142B4C"/>
          </w:tcPr>
          <w:p>
            <w:pPr>
              <w:keepNext/>
              <w:spacing w:after="0" w:line="240" w:lineRule="auto"/>
            </w:pPr>
            <w:r/>
            <w:r>
              <w:rPr>
                <w:b/>
                <w:color w:val="FFFFFF"/>
                <w:sz w:val="18"/>
              </w:rPr>
              <w:t>Eşik</w:t>
            </w:r>
          </w:p>
        </w:tc>
      </w:tr>
      <w:tr>
        <w:trPr>
          <w:cantSplit/>
        </w:trPr>
        <w:tc>
          <w:tcPr>
            <w:tcW w:type="dxa" w:w="2041"/>
          </w:tcPr>
          <w:p>
            <w:pPr>
              <w:keepNext/>
              <w:spacing w:after="0" w:line="240" w:lineRule="auto"/>
            </w:pPr>
            <w:r>
              <w:rPr>
                <w:sz w:val="18"/>
              </w:rPr>
            </w:r>
            <w:r>
              <w:rPr>
                <w:b w:val="0"/>
                <w:sz w:val="18"/>
              </w:rPr>
              <w:t>Lojistik Regresyon</w:t>
            </w:r>
          </w:p>
        </w:tc>
        <w:tc>
          <w:tcPr>
            <w:tcW w:type="dxa" w:w="4989"/>
          </w:tcPr>
          <w:p>
            <w:pPr>
              <w:keepNext/>
              <w:spacing w:after="0" w:line="240" w:lineRule="auto"/>
            </w:pPr>
            <w:r>
              <w:rPr>
                <w:sz w:val="18"/>
              </w:rPr>
            </w:r>
            <w:r>
              <w:rPr>
                <w:b w:val="0"/>
                <w:sz w:val="18"/>
              </w:rPr>
              <w:t>C=1, class_weight=yok</w:t>
            </w:r>
          </w:p>
        </w:tc>
        <w:tc>
          <w:tcPr>
            <w:tcW w:type="dxa" w:w="1701"/>
          </w:tcPr>
          <w:p>
            <w:pPr>
              <w:keepNext/>
              <w:spacing w:after="0" w:line="240" w:lineRule="auto"/>
            </w:pPr>
            <w:r>
              <w:rPr>
                <w:sz w:val="18"/>
              </w:rPr>
            </w:r>
            <w:r>
              <w:rPr>
                <w:b w:val="0"/>
                <w:sz w:val="18"/>
              </w:rPr>
              <w:t>0,451 ± 0,014</w:t>
            </w:r>
          </w:p>
        </w:tc>
        <w:tc>
          <w:tcPr>
            <w:tcW w:type="dxa" w:w="907"/>
          </w:tcPr>
          <w:p>
            <w:pPr>
              <w:keepNext/>
              <w:spacing w:after="0" w:line="240" w:lineRule="auto"/>
            </w:pPr>
            <w:r>
              <w:rPr>
                <w:sz w:val="18"/>
              </w:rPr>
            </w:r>
            <w:r>
              <w:rPr>
                <w:b w:val="0"/>
                <w:sz w:val="18"/>
              </w:rPr>
              <w:t>0,21</w:t>
            </w:r>
          </w:p>
        </w:tc>
      </w:tr>
      <w:tr>
        <w:trPr>
          <w:cantSplit/>
        </w:trPr>
        <w:tc>
          <w:tcPr>
            <w:tcW w:type="dxa" w:w="2041"/>
            <w:shd w:val="clear" w:color="auto" w:fill="F5F7FA"/>
          </w:tcPr>
          <w:p>
            <w:pPr>
              <w:keepNext/>
              <w:spacing w:after="0" w:line="240" w:lineRule="auto"/>
            </w:pPr>
            <w:r>
              <w:rPr>
                <w:sz w:val="18"/>
              </w:rPr>
            </w:r>
            <w:r>
              <w:rPr>
                <w:b w:val="0"/>
                <w:sz w:val="18"/>
              </w:rPr>
              <w:t>Random Forest</w:t>
            </w:r>
          </w:p>
        </w:tc>
        <w:tc>
          <w:tcPr>
            <w:tcW w:type="dxa" w:w="4989"/>
            <w:shd w:val="clear" w:color="auto" w:fill="F5F7FA"/>
          </w:tcPr>
          <w:p>
            <w:pPr>
              <w:keepNext/>
              <w:spacing w:after="0" w:line="240" w:lineRule="auto"/>
            </w:pPr>
            <w:r>
              <w:rPr>
                <w:sz w:val="18"/>
              </w:rPr>
            </w:r>
            <w:r>
              <w:rPr>
                <w:b w:val="0"/>
                <w:sz w:val="18"/>
              </w:rPr>
              <w:t>min_samples_leaf=10, max_features=0,30, max_depth=8, class_weight=yok</w:t>
            </w:r>
          </w:p>
        </w:tc>
        <w:tc>
          <w:tcPr>
            <w:tcW w:type="dxa" w:w="1701"/>
            <w:shd w:val="clear" w:color="auto" w:fill="F5F7FA"/>
          </w:tcPr>
          <w:p>
            <w:pPr>
              <w:keepNext/>
              <w:spacing w:after="0" w:line="240" w:lineRule="auto"/>
            </w:pPr>
            <w:r>
              <w:rPr>
                <w:sz w:val="18"/>
              </w:rPr>
            </w:r>
            <w:r>
              <w:rPr>
                <w:b w:val="0"/>
                <w:sz w:val="18"/>
              </w:rPr>
              <w:t>0,468 ± 0,017</w:t>
            </w:r>
          </w:p>
        </w:tc>
        <w:tc>
          <w:tcPr>
            <w:tcW w:type="dxa" w:w="907"/>
            <w:shd w:val="clear" w:color="auto" w:fill="F5F7FA"/>
          </w:tcPr>
          <w:p>
            <w:pPr>
              <w:keepNext/>
              <w:spacing w:after="0" w:line="240" w:lineRule="auto"/>
            </w:pPr>
            <w:r>
              <w:rPr>
                <w:sz w:val="18"/>
              </w:rPr>
            </w:r>
            <w:r>
              <w:rPr>
                <w:b w:val="0"/>
                <w:sz w:val="18"/>
              </w:rPr>
              <w:t>0,17</w:t>
            </w:r>
          </w:p>
        </w:tc>
      </w:tr>
      <w:tr>
        <w:trPr>
          <w:cantSplit/>
        </w:trPr>
        <w:tc>
          <w:tcPr>
            <w:tcW w:type="dxa" w:w="2041"/>
          </w:tcPr>
          <w:p>
            <w:pPr>
              <w:keepNext w:val="0"/>
              <w:spacing w:after="0" w:line="240" w:lineRule="auto"/>
            </w:pPr>
            <w:r>
              <w:rPr>
                <w:sz w:val="18"/>
              </w:rPr>
            </w:r>
            <w:r>
              <w:rPr>
                <w:b w:val="0"/>
                <w:sz w:val="18"/>
              </w:rPr>
              <w:t>HistGradientBoosting</w:t>
            </w:r>
          </w:p>
        </w:tc>
        <w:tc>
          <w:tcPr>
            <w:tcW w:type="dxa" w:w="4989"/>
          </w:tcPr>
          <w:p>
            <w:pPr>
              <w:keepNext w:val="0"/>
              <w:spacing w:after="0" w:line="240" w:lineRule="auto"/>
            </w:pPr>
            <w:r>
              <w:rPr>
                <w:sz w:val="18"/>
              </w:rPr>
            </w:r>
            <w:r>
              <w:rPr>
                <w:b w:val="0"/>
                <w:sz w:val="18"/>
              </w:rPr>
              <w:t>min_samples_leaf=50, max_leaf_nodes=15, learning_rate=0,05, l2_regularization=0,00, class_weight=yok</w:t>
            </w:r>
          </w:p>
        </w:tc>
        <w:tc>
          <w:tcPr>
            <w:tcW w:type="dxa" w:w="1701"/>
          </w:tcPr>
          <w:p>
            <w:pPr>
              <w:keepNext w:val="0"/>
              <w:spacing w:after="0" w:line="240" w:lineRule="auto"/>
            </w:pPr>
            <w:r>
              <w:rPr>
                <w:sz w:val="18"/>
              </w:rPr>
            </w:r>
            <w:r>
              <w:rPr>
                <w:b w:val="0"/>
                <w:sz w:val="18"/>
              </w:rPr>
              <w:t>0,468 ± 0,016</w:t>
            </w:r>
          </w:p>
        </w:tc>
        <w:tc>
          <w:tcPr>
            <w:tcW w:type="dxa" w:w="907"/>
          </w:tcPr>
          <w:p>
            <w:pPr>
              <w:keepNext w:val="0"/>
              <w:spacing w:after="0" w:line="240" w:lineRule="auto"/>
            </w:pPr>
            <w:r>
              <w:rPr>
                <w:sz w:val="18"/>
              </w:rPr>
            </w:r>
            <w:r>
              <w:rPr>
                <w:b w:val="0"/>
                <w:sz w:val="18"/>
              </w:rPr>
              <w:t>0,20</w:t>
            </w:r>
          </w:p>
        </w:tc>
      </w:tr>
    </w:tbl>
    <w:p>
      <w:pPr>
        <w:spacing w:after="0" w:line="192" w:lineRule="auto"/>
      </w:pPr>
    </w:p>
    <w:p>
      <w:pPr>
        <w:jc w:val="both"/>
      </w:pPr>
      <w:r>
        <w:rPr>
          <w:b/>
        </w:rPr>
        <w:t>Karar eşiği:</w:t>
      </w:r>
      <w:r>
        <w:rPr>
          <w:b w:val="0"/>
        </w:rPr>
        <w:t xml:space="preserve"> Modeller olasılık üretir ve varsayılan 0,5 eşiği dengesiz veride abonelerin çoğunu kaçırır. Eşik, test setine hiç bakılmadan, eğitim setindeki çapraz doğrulamanın katman dışı (out-of-fold) tahminleri üzerinde F1’i en yüksek yapan değer olarak seçilmiştir (≈0,17–0,21). İlginç biçimde aramada sınıf ağırlıklandırma seçilmemiştir: ağırlıklandırma olasılıkları bozarken eşik ayarı aynı etkiyi daha kontrollü sağlamaktadır.</w:t>
      </w:r>
    </w:p>
    <w:p>
      <w:pPr>
        <w:keepNext/>
        <w:spacing w:before="200" w:after="60"/>
        <w:pBdr>
          <w:bottom w:val="single" w:sz="6" w:space="1" w:color="B5C4DA"/>
        </w:pBdr>
      </w:pPr>
      <w:r>
        <w:rPr>
          <w:b/>
          <w:color w:val="142B4C"/>
          <w:sz w:val="26"/>
        </w:rPr>
        <w:t>6. Değerlendirme Sonuçları</w:t>
      </w:r>
    </w:p>
    <w:p>
      <w:pPr>
        <w:keepNext/>
        <w:spacing w:before="80" w:after="40"/>
      </w:pPr>
      <w:r>
        <w:rPr>
          <w:b w:val="0"/>
          <w:i/>
          <w:color w:val="52514E"/>
          <w:sz w:val="18"/>
        </w:rPr>
        <w:t>Tablo 5. Test seti sonuçları (8.236 müşteri, 928 abone)</w:t>
      </w:r>
    </w:p>
    <w:tbl>
      <w:tblPr>
        <w:tblStyle w:val="TableGrid"/>
        <w:tblW w:type="auto" w:w="0"/>
        <w:jc w:val="center"/>
        <w:tblLayout w:type="fixed"/>
        <w:tblLook w:firstColumn="1" w:firstRow="1" w:lastColumn="0" w:lastRow="0" w:noHBand="0" w:noVBand="1" w:val="04A0"/>
        <w:tblLayout w:type="fixed"/>
      </w:tblPr>
      <w:tblGrid>
        <w:gridCol w:w="2608"/>
        <w:gridCol w:w="794"/>
        <w:gridCol w:w="1020"/>
        <w:gridCol w:w="1020"/>
        <w:gridCol w:w="964"/>
        <w:gridCol w:w="907"/>
        <w:gridCol w:w="1134"/>
        <w:gridCol w:w="1191"/>
      </w:tblGrid>
      <w:tr>
        <w:trPr>
          <w:cantSplit/>
        </w:trPr>
        <w:tc>
          <w:tcPr>
            <w:tcW w:type="dxa" w:w="2608"/>
            <w:shd w:val="clear" w:color="auto" w:fill="142B4C"/>
          </w:tcPr>
          <w:p>
            <w:pPr>
              <w:keepNext/>
              <w:spacing w:after="0" w:line="240" w:lineRule="auto"/>
            </w:pPr>
            <w:r/>
            <w:r>
              <w:rPr>
                <w:b/>
                <w:color w:val="FFFFFF"/>
                <w:sz w:val="18"/>
              </w:rPr>
              <w:t>Model</w:t>
            </w:r>
          </w:p>
        </w:tc>
        <w:tc>
          <w:tcPr>
            <w:tcW w:type="dxa" w:w="794"/>
            <w:shd w:val="clear" w:color="auto" w:fill="142B4C"/>
          </w:tcPr>
          <w:p>
            <w:pPr>
              <w:keepNext/>
              <w:spacing w:after="0" w:line="240" w:lineRule="auto"/>
              <w:jc w:val="center"/>
            </w:pPr>
            <w:r/>
            <w:r>
              <w:rPr>
                <w:b/>
                <w:color w:val="FFFFFF"/>
                <w:sz w:val="18"/>
              </w:rPr>
              <w:t>Eşik</w:t>
            </w:r>
          </w:p>
        </w:tc>
        <w:tc>
          <w:tcPr>
            <w:tcW w:type="dxa" w:w="1020"/>
            <w:shd w:val="clear" w:color="auto" w:fill="142B4C"/>
          </w:tcPr>
          <w:p>
            <w:pPr>
              <w:keepNext/>
              <w:spacing w:after="0" w:line="240" w:lineRule="auto"/>
              <w:jc w:val="center"/>
            </w:pPr>
            <w:r/>
            <w:r>
              <w:rPr>
                <w:b/>
                <w:color w:val="FFFFFF"/>
                <w:sz w:val="18"/>
              </w:rPr>
              <w:t>Accuracy</w:t>
            </w:r>
          </w:p>
        </w:tc>
        <w:tc>
          <w:tcPr>
            <w:tcW w:type="dxa" w:w="1020"/>
            <w:shd w:val="clear" w:color="auto" w:fill="142B4C"/>
          </w:tcPr>
          <w:p>
            <w:pPr>
              <w:keepNext/>
              <w:spacing w:after="0" w:line="240" w:lineRule="auto"/>
              <w:jc w:val="center"/>
            </w:pPr>
            <w:r/>
            <w:r>
              <w:rPr>
                <w:b/>
                <w:color w:val="FFFFFF"/>
                <w:sz w:val="18"/>
              </w:rPr>
              <w:t>Precision</w:t>
            </w:r>
          </w:p>
        </w:tc>
        <w:tc>
          <w:tcPr>
            <w:tcW w:type="dxa" w:w="964"/>
            <w:shd w:val="clear" w:color="auto" w:fill="142B4C"/>
          </w:tcPr>
          <w:p>
            <w:pPr>
              <w:keepNext/>
              <w:spacing w:after="0" w:line="240" w:lineRule="auto"/>
              <w:jc w:val="center"/>
            </w:pPr>
            <w:r/>
            <w:r>
              <w:rPr>
                <w:b/>
                <w:color w:val="FFFFFF"/>
                <w:sz w:val="18"/>
              </w:rPr>
              <w:t>Recall</w:t>
            </w:r>
          </w:p>
        </w:tc>
        <w:tc>
          <w:tcPr>
            <w:tcW w:type="dxa" w:w="907"/>
            <w:shd w:val="clear" w:color="auto" w:fill="142B4C"/>
          </w:tcPr>
          <w:p>
            <w:pPr>
              <w:keepNext/>
              <w:spacing w:after="0" w:line="240" w:lineRule="auto"/>
              <w:jc w:val="center"/>
            </w:pPr>
            <w:r/>
            <w:r>
              <w:rPr>
                <w:b/>
                <w:color w:val="FFFFFF"/>
                <w:sz w:val="18"/>
              </w:rPr>
              <w:t>F1</w:t>
            </w:r>
          </w:p>
        </w:tc>
        <w:tc>
          <w:tcPr>
            <w:tcW w:type="dxa" w:w="1134"/>
            <w:shd w:val="clear" w:color="auto" w:fill="142B4C"/>
          </w:tcPr>
          <w:p>
            <w:pPr>
              <w:keepNext/>
              <w:spacing w:after="0" w:line="240" w:lineRule="auto"/>
              <w:jc w:val="center"/>
            </w:pPr>
            <w:r/>
            <w:r>
              <w:rPr>
                <w:b/>
                <w:color w:val="FFFFFF"/>
                <w:sz w:val="18"/>
              </w:rPr>
              <w:t>ROC-AUC</w:t>
            </w:r>
          </w:p>
        </w:tc>
        <w:tc>
          <w:tcPr>
            <w:tcW w:type="dxa" w:w="1191"/>
            <w:shd w:val="clear" w:color="auto" w:fill="142B4C"/>
          </w:tcPr>
          <w:p>
            <w:pPr>
              <w:keepNext/>
              <w:spacing w:after="0" w:line="240" w:lineRule="auto"/>
              <w:jc w:val="center"/>
            </w:pPr>
            <w:r/>
            <w:r>
              <w:rPr>
                <w:b/>
                <w:color w:val="FFFFFF"/>
                <w:sz w:val="18"/>
              </w:rPr>
              <w:t>PR-AUC</w:t>
            </w:r>
          </w:p>
        </w:tc>
      </w:tr>
      <w:tr>
        <w:trPr>
          <w:cantSplit/>
        </w:trPr>
        <w:tc>
          <w:tcPr>
            <w:tcW w:type="dxa" w:w="2608"/>
          </w:tcPr>
          <w:p>
            <w:pPr>
              <w:keepNext/>
              <w:spacing w:after="0" w:line="240" w:lineRule="auto"/>
            </w:pPr>
            <w:r>
              <w:rPr>
                <w:sz w:val="18"/>
              </w:rPr>
            </w:r>
            <w:r>
              <w:rPr>
                <w:b w:val="0"/>
                <w:sz w:val="18"/>
              </w:rPr>
              <w:t>Dummy (çoğunluk)</w:t>
            </w:r>
          </w:p>
        </w:tc>
        <w:tc>
          <w:tcPr>
            <w:tcW w:type="dxa" w:w="794"/>
          </w:tcPr>
          <w:p>
            <w:pPr>
              <w:keepNext/>
              <w:spacing w:after="0" w:line="240" w:lineRule="auto"/>
              <w:jc w:val="center"/>
            </w:pPr>
            <w:r>
              <w:rPr>
                <w:sz w:val="18"/>
              </w:rPr>
            </w:r>
            <w:r>
              <w:rPr>
                <w:b w:val="0"/>
                <w:sz w:val="18"/>
              </w:rPr>
              <w:t>0,50</w:t>
            </w:r>
          </w:p>
        </w:tc>
        <w:tc>
          <w:tcPr>
            <w:tcW w:type="dxa" w:w="1020"/>
          </w:tcPr>
          <w:p>
            <w:pPr>
              <w:keepNext/>
              <w:spacing w:after="0" w:line="240" w:lineRule="auto"/>
              <w:jc w:val="center"/>
            </w:pPr>
            <w:r>
              <w:rPr>
                <w:sz w:val="18"/>
              </w:rPr>
            </w:r>
            <w:r>
              <w:rPr>
                <w:b w:val="0"/>
                <w:sz w:val="18"/>
              </w:rPr>
              <w:t>0,887</w:t>
            </w:r>
          </w:p>
        </w:tc>
        <w:tc>
          <w:tcPr>
            <w:tcW w:type="dxa" w:w="1020"/>
          </w:tcPr>
          <w:p>
            <w:pPr>
              <w:keepNext/>
              <w:spacing w:after="0" w:line="240" w:lineRule="auto"/>
              <w:jc w:val="center"/>
            </w:pPr>
            <w:r>
              <w:rPr>
                <w:sz w:val="18"/>
              </w:rPr>
            </w:r>
            <w:r>
              <w:rPr>
                <w:b w:val="0"/>
                <w:sz w:val="18"/>
              </w:rPr>
              <w:t>0,000</w:t>
            </w:r>
          </w:p>
        </w:tc>
        <w:tc>
          <w:tcPr>
            <w:tcW w:type="dxa" w:w="964"/>
          </w:tcPr>
          <w:p>
            <w:pPr>
              <w:keepNext/>
              <w:spacing w:after="0" w:line="240" w:lineRule="auto"/>
              <w:jc w:val="center"/>
            </w:pPr>
            <w:r>
              <w:rPr>
                <w:sz w:val="18"/>
              </w:rPr>
            </w:r>
            <w:r>
              <w:rPr>
                <w:b w:val="0"/>
                <w:sz w:val="18"/>
              </w:rPr>
              <w:t>0,000</w:t>
            </w:r>
          </w:p>
        </w:tc>
        <w:tc>
          <w:tcPr>
            <w:tcW w:type="dxa" w:w="907"/>
          </w:tcPr>
          <w:p>
            <w:pPr>
              <w:keepNext/>
              <w:spacing w:after="0" w:line="240" w:lineRule="auto"/>
              <w:jc w:val="center"/>
            </w:pPr>
            <w:r>
              <w:rPr>
                <w:sz w:val="18"/>
              </w:rPr>
            </w:r>
            <w:r>
              <w:rPr>
                <w:b w:val="0"/>
                <w:sz w:val="18"/>
              </w:rPr>
              <w:t>0,000</w:t>
            </w:r>
          </w:p>
        </w:tc>
        <w:tc>
          <w:tcPr>
            <w:tcW w:type="dxa" w:w="1134"/>
          </w:tcPr>
          <w:p>
            <w:pPr>
              <w:keepNext/>
              <w:spacing w:after="0" w:line="240" w:lineRule="auto"/>
              <w:jc w:val="center"/>
            </w:pPr>
            <w:r>
              <w:rPr>
                <w:sz w:val="18"/>
              </w:rPr>
            </w:r>
            <w:r>
              <w:rPr>
                <w:b w:val="0"/>
                <w:sz w:val="18"/>
              </w:rPr>
              <w:t>0,500</w:t>
            </w:r>
          </w:p>
        </w:tc>
        <w:tc>
          <w:tcPr>
            <w:tcW w:type="dxa" w:w="1191"/>
          </w:tcPr>
          <w:p>
            <w:pPr>
              <w:keepNext/>
              <w:spacing w:after="0" w:line="240" w:lineRule="auto"/>
              <w:jc w:val="center"/>
            </w:pPr>
            <w:r>
              <w:rPr>
                <w:sz w:val="18"/>
              </w:rPr>
            </w:r>
            <w:r>
              <w:rPr>
                <w:b w:val="0"/>
                <w:sz w:val="18"/>
              </w:rPr>
              <w:t>0,113</w:t>
            </w:r>
          </w:p>
        </w:tc>
      </w:tr>
      <w:tr>
        <w:trPr>
          <w:cantSplit/>
        </w:trPr>
        <w:tc>
          <w:tcPr>
            <w:tcW w:type="dxa" w:w="2608"/>
            <w:shd w:val="clear" w:color="auto" w:fill="F5F7FA"/>
          </w:tcPr>
          <w:p>
            <w:pPr>
              <w:keepNext/>
              <w:spacing w:after="0" w:line="240" w:lineRule="auto"/>
            </w:pPr>
            <w:r>
              <w:rPr>
                <w:sz w:val="18"/>
              </w:rPr>
            </w:r>
            <w:r>
              <w:rPr>
                <w:b w:val="0"/>
                <w:sz w:val="18"/>
              </w:rPr>
              <w:t>Lojistik Regresyon</w:t>
            </w:r>
          </w:p>
        </w:tc>
        <w:tc>
          <w:tcPr>
            <w:tcW w:type="dxa" w:w="794"/>
            <w:shd w:val="clear" w:color="auto" w:fill="F5F7FA"/>
          </w:tcPr>
          <w:p>
            <w:pPr>
              <w:keepNext/>
              <w:spacing w:after="0" w:line="240" w:lineRule="auto"/>
              <w:jc w:val="center"/>
            </w:pPr>
            <w:r>
              <w:rPr>
                <w:sz w:val="18"/>
              </w:rPr>
            </w:r>
            <w:r>
              <w:rPr>
                <w:b w:val="0"/>
                <w:sz w:val="18"/>
              </w:rPr>
              <w:t>0,21</w:t>
            </w:r>
          </w:p>
        </w:tc>
        <w:tc>
          <w:tcPr>
            <w:tcW w:type="dxa" w:w="1020"/>
            <w:shd w:val="clear" w:color="auto" w:fill="F5F7FA"/>
          </w:tcPr>
          <w:p>
            <w:pPr>
              <w:keepNext/>
              <w:spacing w:after="0" w:line="240" w:lineRule="auto"/>
              <w:jc w:val="center"/>
            </w:pPr>
            <w:r>
              <w:rPr>
                <w:sz w:val="18"/>
              </w:rPr>
            </w:r>
            <w:r>
              <w:rPr>
                <w:b w:val="0"/>
                <w:sz w:val="18"/>
              </w:rPr>
              <w:t>0,874</w:t>
            </w:r>
          </w:p>
        </w:tc>
        <w:tc>
          <w:tcPr>
            <w:tcW w:type="dxa" w:w="1020"/>
            <w:shd w:val="clear" w:color="auto" w:fill="F5F7FA"/>
          </w:tcPr>
          <w:p>
            <w:pPr>
              <w:keepNext/>
              <w:spacing w:after="0" w:line="240" w:lineRule="auto"/>
              <w:jc w:val="center"/>
            </w:pPr>
            <w:r>
              <w:rPr>
                <w:sz w:val="18"/>
              </w:rPr>
            </w:r>
            <w:r>
              <w:rPr>
                <w:b w:val="0"/>
                <w:sz w:val="18"/>
              </w:rPr>
              <w:t>0,453</w:t>
            </w:r>
          </w:p>
        </w:tc>
        <w:tc>
          <w:tcPr>
            <w:tcW w:type="dxa" w:w="964"/>
            <w:shd w:val="clear" w:color="auto" w:fill="F5F7FA"/>
          </w:tcPr>
          <w:p>
            <w:pPr>
              <w:keepNext/>
              <w:spacing w:after="0" w:line="240" w:lineRule="auto"/>
              <w:jc w:val="center"/>
            </w:pPr>
            <w:r>
              <w:rPr>
                <w:sz w:val="18"/>
              </w:rPr>
            </w:r>
            <w:r>
              <w:rPr>
                <w:b w:val="0"/>
                <w:sz w:val="18"/>
              </w:rPr>
              <w:t>0,578</w:t>
            </w:r>
          </w:p>
        </w:tc>
        <w:tc>
          <w:tcPr>
            <w:tcW w:type="dxa" w:w="907"/>
            <w:shd w:val="clear" w:color="auto" w:fill="F5F7FA"/>
          </w:tcPr>
          <w:p>
            <w:pPr>
              <w:keepNext/>
              <w:spacing w:after="0" w:line="240" w:lineRule="auto"/>
              <w:jc w:val="center"/>
            </w:pPr>
            <w:r>
              <w:rPr>
                <w:sz w:val="18"/>
              </w:rPr>
            </w:r>
            <w:r>
              <w:rPr>
                <w:b w:val="0"/>
                <w:sz w:val="18"/>
              </w:rPr>
              <w:t>0,508</w:t>
            </w:r>
          </w:p>
        </w:tc>
        <w:tc>
          <w:tcPr>
            <w:tcW w:type="dxa" w:w="1134"/>
            <w:shd w:val="clear" w:color="auto" w:fill="F5F7FA"/>
          </w:tcPr>
          <w:p>
            <w:pPr>
              <w:keepNext/>
              <w:spacing w:after="0" w:line="240" w:lineRule="auto"/>
              <w:jc w:val="center"/>
            </w:pPr>
            <w:r>
              <w:rPr>
                <w:sz w:val="18"/>
              </w:rPr>
            </w:r>
            <w:r>
              <w:rPr>
                <w:b w:val="0"/>
                <w:sz w:val="18"/>
              </w:rPr>
              <w:t>0,800</w:t>
            </w:r>
          </w:p>
        </w:tc>
        <w:tc>
          <w:tcPr>
            <w:tcW w:type="dxa" w:w="1191"/>
            <w:shd w:val="clear" w:color="auto" w:fill="F5F7FA"/>
          </w:tcPr>
          <w:p>
            <w:pPr>
              <w:keepNext/>
              <w:spacing w:after="0" w:line="240" w:lineRule="auto"/>
              <w:jc w:val="center"/>
            </w:pPr>
            <w:r>
              <w:rPr>
                <w:sz w:val="18"/>
              </w:rPr>
            </w:r>
            <w:r>
              <w:rPr>
                <w:b w:val="0"/>
                <w:sz w:val="18"/>
              </w:rPr>
              <w:t>0,454</w:t>
            </w:r>
          </w:p>
        </w:tc>
      </w:tr>
      <w:tr>
        <w:trPr>
          <w:cantSplit/>
        </w:trPr>
        <w:tc>
          <w:tcPr>
            <w:tcW w:type="dxa" w:w="2608"/>
          </w:tcPr>
          <w:p>
            <w:pPr>
              <w:keepNext/>
              <w:spacing w:after="0" w:line="240" w:lineRule="auto"/>
            </w:pPr>
            <w:r>
              <w:rPr>
                <w:sz w:val="18"/>
              </w:rPr>
            </w:r>
            <w:r>
              <w:rPr>
                <w:b w:val="0"/>
                <w:sz w:val="18"/>
              </w:rPr>
              <w:t>Random Forest</w:t>
            </w:r>
          </w:p>
        </w:tc>
        <w:tc>
          <w:tcPr>
            <w:tcW w:type="dxa" w:w="794"/>
          </w:tcPr>
          <w:p>
            <w:pPr>
              <w:keepNext/>
              <w:spacing w:after="0" w:line="240" w:lineRule="auto"/>
              <w:jc w:val="center"/>
            </w:pPr>
            <w:r>
              <w:rPr>
                <w:sz w:val="18"/>
              </w:rPr>
            </w:r>
            <w:r>
              <w:rPr>
                <w:b w:val="0"/>
                <w:sz w:val="18"/>
              </w:rPr>
              <w:t>0,17</w:t>
            </w:r>
          </w:p>
        </w:tc>
        <w:tc>
          <w:tcPr>
            <w:tcW w:type="dxa" w:w="1020"/>
          </w:tcPr>
          <w:p>
            <w:pPr>
              <w:keepNext/>
              <w:spacing w:after="0" w:line="240" w:lineRule="auto"/>
              <w:jc w:val="center"/>
            </w:pPr>
            <w:r>
              <w:rPr>
                <w:sz w:val="18"/>
              </w:rPr>
            </w:r>
            <w:r>
              <w:rPr>
                <w:b w:val="0"/>
                <w:sz w:val="18"/>
              </w:rPr>
              <w:t>0,875</w:t>
            </w:r>
          </w:p>
        </w:tc>
        <w:tc>
          <w:tcPr>
            <w:tcW w:type="dxa" w:w="1020"/>
          </w:tcPr>
          <w:p>
            <w:pPr>
              <w:keepNext/>
              <w:spacing w:after="0" w:line="240" w:lineRule="auto"/>
              <w:jc w:val="center"/>
            </w:pPr>
            <w:r>
              <w:rPr>
                <w:sz w:val="18"/>
              </w:rPr>
            </w:r>
            <w:r>
              <w:rPr>
                <w:b w:val="0"/>
                <w:sz w:val="18"/>
              </w:rPr>
              <w:t>0,459</w:t>
            </w:r>
          </w:p>
        </w:tc>
        <w:tc>
          <w:tcPr>
            <w:tcW w:type="dxa" w:w="964"/>
          </w:tcPr>
          <w:p>
            <w:pPr>
              <w:keepNext/>
              <w:spacing w:after="0" w:line="240" w:lineRule="auto"/>
              <w:jc w:val="center"/>
            </w:pPr>
            <w:r>
              <w:rPr>
                <w:sz w:val="18"/>
              </w:rPr>
            </w:r>
            <w:r>
              <w:rPr>
                <w:b w:val="0"/>
                <w:sz w:val="18"/>
              </w:rPr>
              <w:t>0,614</w:t>
            </w:r>
          </w:p>
        </w:tc>
        <w:tc>
          <w:tcPr>
            <w:tcW w:type="dxa" w:w="907"/>
          </w:tcPr>
          <w:p>
            <w:pPr>
              <w:keepNext/>
              <w:spacing w:after="0" w:line="240" w:lineRule="auto"/>
              <w:jc w:val="center"/>
            </w:pPr>
            <w:r>
              <w:rPr>
                <w:sz w:val="18"/>
              </w:rPr>
            </w:r>
            <w:r>
              <w:rPr>
                <w:b w:val="0"/>
                <w:sz w:val="18"/>
              </w:rPr>
              <w:t>0,526</w:t>
            </w:r>
          </w:p>
        </w:tc>
        <w:tc>
          <w:tcPr>
            <w:tcW w:type="dxa" w:w="1134"/>
          </w:tcPr>
          <w:p>
            <w:pPr>
              <w:keepNext/>
              <w:spacing w:after="0" w:line="240" w:lineRule="auto"/>
              <w:jc w:val="center"/>
            </w:pPr>
            <w:r>
              <w:rPr>
                <w:sz w:val="18"/>
              </w:rPr>
            </w:r>
            <w:r>
              <w:rPr>
                <w:b w:val="0"/>
                <w:sz w:val="18"/>
              </w:rPr>
              <w:t>0,811</w:t>
            </w:r>
          </w:p>
        </w:tc>
        <w:tc>
          <w:tcPr>
            <w:tcW w:type="dxa" w:w="1191"/>
          </w:tcPr>
          <w:p>
            <w:pPr>
              <w:keepNext/>
              <w:spacing w:after="0" w:line="240" w:lineRule="auto"/>
              <w:jc w:val="center"/>
            </w:pPr>
            <w:r>
              <w:rPr>
                <w:sz w:val="18"/>
              </w:rPr>
            </w:r>
            <w:r>
              <w:rPr>
                <w:b w:val="0"/>
                <w:sz w:val="18"/>
              </w:rPr>
              <w:t>0,489</w:t>
            </w:r>
          </w:p>
        </w:tc>
      </w:tr>
      <w:tr>
        <w:trPr>
          <w:cantSplit/>
        </w:trPr>
        <w:tc>
          <w:tcPr>
            <w:tcW w:type="dxa" w:w="2608"/>
            <w:shd w:val="clear" w:color="auto" w:fill="E3ECF7"/>
          </w:tcPr>
          <w:p>
            <w:pPr>
              <w:keepNext/>
              <w:spacing w:after="0" w:line="240" w:lineRule="auto"/>
            </w:pPr>
            <w:r>
              <w:rPr>
                <w:b/>
                <w:sz w:val="18"/>
              </w:rPr>
            </w:r>
            <w:r>
              <w:rPr>
                <w:b/>
                <w:sz w:val="18"/>
              </w:rPr>
              <w:t>HistGradientBoosting</w:t>
            </w:r>
          </w:p>
        </w:tc>
        <w:tc>
          <w:tcPr>
            <w:tcW w:type="dxa" w:w="794"/>
            <w:shd w:val="clear" w:color="auto" w:fill="E3ECF7"/>
          </w:tcPr>
          <w:p>
            <w:pPr>
              <w:keepNext/>
              <w:spacing w:after="0" w:line="240" w:lineRule="auto"/>
              <w:jc w:val="center"/>
            </w:pPr>
            <w:r>
              <w:rPr>
                <w:b/>
                <w:sz w:val="18"/>
              </w:rPr>
            </w:r>
            <w:r>
              <w:rPr>
                <w:b/>
                <w:sz w:val="18"/>
              </w:rPr>
              <w:t>0,20</w:t>
            </w:r>
          </w:p>
        </w:tc>
        <w:tc>
          <w:tcPr>
            <w:tcW w:type="dxa" w:w="1020"/>
            <w:shd w:val="clear" w:color="auto" w:fill="E3ECF7"/>
          </w:tcPr>
          <w:p>
            <w:pPr>
              <w:keepNext/>
              <w:spacing w:after="0" w:line="240" w:lineRule="auto"/>
              <w:jc w:val="center"/>
            </w:pPr>
            <w:r>
              <w:rPr>
                <w:b/>
                <w:sz w:val="18"/>
              </w:rPr>
            </w:r>
            <w:r>
              <w:rPr>
                <w:b/>
                <w:sz w:val="18"/>
              </w:rPr>
              <w:t>0,878</w:t>
            </w:r>
          </w:p>
        </w:tc>
        <w:tc>
          <w:tcPr>
            <w:tcW w:type="dxa" w:w="1020"/>
            <w:shd w:val="clear" w:color="auto" w:fill="E3ECF7"/>
          </w:tcPr>
          <w:p>
            <w:pPr>
              <w:keepNext/>
              <w:spacing w:after="0" w:line="240" w:lineRule="auto"/>
              <w:jc w:val="center"/>
            </w:pPr>
            <w:r>
              <w:rPr>
                <w:b/>
                <w:sz w:val="18"/>
              </w:rPr>
            </w:r>
            <w:r>
              <w:rPr>
                <w:b/>
                <w:sz w:val="18"/>
              </w:rPr>
              <w:t>0,469</w:t>
            </w:r>
          </w:p>
        </w:tc>
        <w:tc>
          <w:tcPr>
            <w:tcW w:type="dxa" w:w="964"/>
            <w:shd w:val="clear" w:color="auto" w:fill="E3ECF7"/>
          </w:tcPr>
          <w:p>
            <w:pPr>
              <w:keepNext/>
              <w:spacing w:after="0" w:line="240" w:lineRule="auto"/>
              <w:jc w:val="center"/>
            </w:pPr>
            <w:r>
              <w:rPr>
                <w:b/>
                <w:sz w:val="18"/>
              </w:rPr>
            </w:r>
            <w:r>
              <w:rPr>
                <w:b/>
                <w:sz w:val="18"/>
              </w:rPr>
              <w:t>0,610</w:t>
            </w:r>
          </w:p>
        </w:tc>
        <w:tc>
          <w:tcPr>
            <w:tcW w:type="dxa" w:w="907"/>
            <w:shd w:val="clear" w:color="auto" w:fill="E3ECF7"/>
          </w:tcPr>
          <w:p>
            <w:pPr>
              <w:keepNext/>
              <w:spacing w:after="0" w:line="240" w:lineRule="auto"/>
              <w:jc w:val="center"/>
            </w:pPr>
            <w:r>
              <w:rPr>
                <w:b/>
                <w:sz w:val="18"/>
              </w:rPr>
            </w:r>
            <w:r>
              <w:rPr>
                <w:b/>
                <w:sz w:val="18"/>
              </w:rPr>
              <w:t>0,530</w:t>
            </w:r>
          </w:p>
        </w:tc>
        <w:tc>
          <w:tcPr>
            <w:tcW w:type="dxa" w:w="1134"/>
            <w:shd w:val="clear" w:color="auto" w:fill="E3ECF7"/>
          </w:tcPr>
          <w:p>
            <w:pPr>
              <w:keepNext/>
              <w:spacing w:after="0" w:line="240" w:lineRule="auto"/>
              <w:jc w:val="center"/>
            </w:pPr>
            <w:r>
              <w:rPr>
                <w:b/>
                <w:sz w:val="18"/>
              </w:rPr>
            </w:r>
            <w:r>
              <w:rPr>
                <w:b/>
                <w:sz w:val="18"/>
              </w:rPr>
              <w:t>0,815</w:t>
            </w:r>
          </w:p>
        </w:tc>
        <w:tc>
          <w:tcPr>
            <w:tcW w:type="dxa" w:w="1191"/>
            <w:shd w:val="clear" w:color="auto" w:fill="E3ECF7"/>
          </w:tcPr>
          <w:p>
            <w:pPr>
              <w:keepNext/>
              <w:spacing w:after="0" w:line="240" w:lineRule="auto"/>
              <w:jc w:val="center"/>
            </w:pPr>
            <w:r>
              <w:rPr>
                <w:b/>
                <w:sz w:val="18"/>
              </w:rPr>
            </w:r>
            <w:r>
              <w:rPr>
                <w:b/>
                <w:sz w:val="18"/>
              </w:rPr>
              <w:t>0,497</w:t>
            </w:r>
          </w:p>
        </w:tc>
      </w:tr>
      <w:tr>
        <w:trPr>
          <w:cantSplit/>
        </w:trPr>
        <w:tc>
          <w:tcPr>
            <w:tcW w:type="dxa" w:w="2608"/>
          </w:tcPr>
          <w:p>
            <w:pPr>
              <w:keepNext/>
              <w:spacing w:after="0" w:line="240" w:lineRule="auto"/>
            </w:pPr>
            <w:r>
              <w:rPr>
                <w:sz w:val="18"/>
              </w:rPr>
            </w:r>
            <w:r>
              <w:rPr>
                <w:b w:val="0"/>
                <w:sz w:val="18"/>
              </w:rPr>
              <w:t>HGB – varsayılan eşik 0,5</w:t>
            </w:r>
          </w:p>
        </w:tc>
        <w:tc>
          <w:tcPr>
            <w:tcW w:type="dxa" w:w="794"/>
          </w:tcPr>
          <w:p>
            <w:pPr>
              <w:keepNext/>
              <w:spacing w:after="0" w:line="240" w:lineRule="auto"/>
              <w:jc w:val="center"/>
            </w:pPr>
            <w:r>
              <w:rPr>
                <w:sz w:val="18"/>
              </w:rPr>
            </w:r>
            <w:r>
              <w:rPr>
                <w:b w:val="0"/>
                <w:sz w:val="18"/>
              </w:rPr>
              <w:t>0,50</w:t>
            </w:r>
          </w:p>
        </w:tc>
        <w:tc>
          <w:tcPr>
            <w:tcW w:type="dxa" w:w="1020"/>
          </w:tcPr>
          <w:p>
            <w:pPr>
              <w:keepNext/>
              <w:spacing w:after="0" w:line="240" w:lineRule="auto"/>
              <w:jc w:val="center"/>
            </w:pPr>
            <w:r>
              <w:rPr>
                <w:sz w:val="18"/>
              </w:rPr>
            </w:r>
            <w:r>
              <w:rPr>
                <w:b w:val="0"/>
                <w:sz w:val="18"/>
              </w:rPr>
              <w:t>0,901</w:t>
            </w:r>
          </w:p>
        </w:tc>
        <w:tc>
          <w:tcPr>
            <w:tcW w:type="dxa" w:w="1020"/>
          </w:tcPr>
          <w:p>
            <w:pPr>
              <w:keepNext/>
              <w:spacing w:after="0" w:line="240" w:lineRule="auto"/>
              <w:jc w:val="center"/>
            </w:pPr>
            <w:r>
              <w:rPr>
                <w:sz w:val="18"/>
              </w:rPr>
            </w:r>
            <w:r>
              <w:rPr>
                <w:b w:val="0"/>
                <w:sz w:val="18"/>
              </w:rPr>
              <w:t>0,668</w:t>
            </w:r>
          </w:p>
        </w:tc>
        <w:tc>
          <w:tcPr>
            <w:tcW w:type="dxa" w:w="964"/>
          </w:tcPr>
          <w:p>
            <w:pPr>
              <w:keepNext/>
              <w:spacing w:after="0" w:line="240" w:lineRule="auto"/>
              <w:jc w:val="center"/>
            </w:pPr>
            <w:r>
              <w:rPr>
                <w:sz w:val="18"/>
              </w:rPr>
            </w:r>
            <w:r>
              <w:rPr>
                <w:b w:val="0"/>
                <w:sz w:val="18"/>
              </w:rPr>
              <w:t>0,234</w:t>
            </w:r>
          </w:p>
        </w:tc>
        <w:tc>
          <w:tcPr>
            <w:tcW w:type="dxa" w:w="907"/>
          </w:tcPr>
          <w:p>
            <w:pPr>
              <w:keepNext/>
              <w:spacing w:after="0" w:line="240" w:lineRule="auto"/>
              <w:jc w:val="center"/>
            </w:pPr>
            <w:r>
              <w:rPr>
                <w:sz w:val="18"/>
              </w:rPr>
            </w:r>
            <w:r>
              <w:rPr>
                <w:b w:val="0"/>
                <w:sz w:val="18"/>
              </w:rPr>
              <w:t>0,346</w:t>
            </w:r>
          </w:p>
        </w:tc>
        <w:tc>
          <w:tcPr>
            <w:tcW w:type="dxa" w:w="1134"/>
          </w:tcPr>
          <w:p>
            <w:pPr>
              <w:keepNext/>
              <w:spacing w:after="0" w:line="240" w:lineRule="auto"/>
              <w:jc w:val="center"/>
            </w:pPr>
            <w:r>
              <w:rPr>
                <w:sz w:val="18"/>
              </w:rPr>
            </w:r>
            <w:r>
              <w:rPr>
                <w:b w:val="0"/>
                <w:sz w:val="18"/>
              </w:rPr>
              <w:t>0,815</w:t>
            </w:r>
          </w:p>
        </w:tc>
        <w:tc>
          <w:tcPr>
            <w:tcW w:type="dxa" w:w="1191"/>
          </w:tcPr>
          <w:p>
            <w:pPr>
              <w:keepNext/>
              <w:spacing w:after="0" w:line="240" w:lineRule="auto"/>
              <w:jc w:val="center"/>
            </w:pPr>
            <w:r>
              <w:rPr>
                <w:sz w:val="18"/>
              </w:rPr>
            </w:r>
            <w:r>
              <w:rPr>
                <w:b w:val="0"/>
                <w:sz w:val="18"/>
              </w:rPr>
              <w:t>0,497</w:t>
            </w:r>
          </w:p>
        </w:tc>
      </w:tr>
      <w:tr>
        <w:trPr>
          <w:cantSplit/>
        </w:trPr>
        <w:tc>
          <w:tcPr>
            <w:tcW w:type="dxa" w:w="2608"/>
            <w:shd w:val="clear" w:color="auto" w:fill="F5F7FA"/>
          </w:tcPr>
          <w:p>
            <w:pPr>
              <w:keepNext w:val="0"/>
              <w:spacing w:after="0" w:line="240" w:lineRule="auto"/>
            </w:pPr>
            <w:r>
              <w:rPr>
                <w:sz w:val="18"/>
              </w:rPr>
            </w:r>
            <w:r>
              <w:rPr>
                <w:b w:val="0"/>
                <w:sz w:val="18"/>
              </w:rPr>
              <w:t>HGB + duration (gerçekçi değil)</w:t>
            </w:r>
          </w:p>
        </w:tc>
        <w:tc>
          <w:tcPr>
            <w:tcW w:type="dxa" w:w="794"/>
            <w:shd w:val="clear" w:color="auto" w:fill="F5F7FA"/>
          </w:tcPr>
          <w:p>
            <w:pPr>
              <w:keepNext w:val="0"/>
              <w:spacing w:after="0" w:line="240" w:lineRule="auto"/>
              <w:jc w:val="center"/>
            </w:pPr>
            <w:r>
              <w:rPr>
                <w:sz w:val="18"/>
              </w:rPr>
            </w:r>
            <w:r>
              <w:rPr>
                <w:b w:val="0"/>
                <w:sz w:val="18"/>
              </w:rPr>
              <w:t>0,32</w:t>
            </w:r>
          </w:p>
        </w:tc>
        <w:tc>
          <w:tcPr>
            <w:tcW w:type="dxa" w:w="1020"/>
            <w:shd w:val="clear" w:color="auto" w:fill="F5F7FA"/>
          </w:tcPr>
          <w:p>
            <w:pPr>
              <w:keepNext w:val="0"/>
              <w:spacing w:after="0" w:line="240" w:lineRule="auto"/>
              <w:jc w:val="center"/>
            </w:pPr>
            <w:r>
              <w:rPr>
                <w:sz w:val="18"/>
              </w:rPr>
            </w:r>
            <w:r>
              <w:rPr>
                <w:b w:val="0"/>
                <w:sz w:val="18"/>
              </w:rPr>
              <w:t>0,910</w:t>
            </w:r>
          </w:p>
        </w:tc>
        <w:tc>
          <w:tcPr>
            <w:tcW w:type="dxa" w:w="1020"/>
            <w:shd w:val="clear" w:color="auto" w:fill="F5F7FA"/>
          </w:tcPr>
          <w:p>
            <w:pPr>
              <w:keepNext w:val="0"/>
              <w:spacing w:after="0" w:line="240" w:lineRule="auto"/>
              <w:jc w:val="center"/>
            </w:pPr>
            <w:r>
              <w:rPr>
                <w:sz w:val="18"/>
              </w:rPr>
            </w:r>
            <w:r>
              <w:rPr>
                <w:b w:val="0"/>
                <w:sz w:val="18"/>
              </w:rPr>
              <w:t>0,572</w:t>
            </w:r>
          </w:p>
        </w:tc>
        <w:tc>
          <w:tcPr>
            <w:tcW w:type="dxa" w:w="964"/>
            <w:shd w:val="clear" w:color="auto" w:fill="F5F7FA"/>
          </w:tcPr>
          <w:p>
            <w:pPr>
              <w:keepNext w:val="0"/>
              <w:spacing w:after="0" w:line="240" w:lineRule="auto"/>
              <w:jc w:val="center"/>
            </w:pPr>
            <w:r>
              <w:rPr>
                <w:sz w:val="18"/>
              </w:rPr>
            </w:r>
            <w:r>
              <w:rPr>
                <w:b w:val="0"/>
                <w:sz w:val="18"/>
              </w:rPr>
              <w:t>0,782</w:t>
            </w:r>
          </w:p>
        </w:tc>
        <w:tc>
          <w:tcPr>
            <w:tcW w:type="dxa" w:w="907"/>
            <w:shd w:val="clear" w:color="auto" w:fill="F5F7FA"/>
          </w:tcPr>
          <w:p>
            <w:pPr>
              <w:keepNext w:val="0"/>
              <w:spacing w:after="0" w:line="240" w:lineRule="auto"/>
              <w:jc w:val="center"/>
            </w:pPr>
            <w:r>
              <w:rPr>
                <w:sz w:val="18"/>
              </w:rPr>
            </w:r>
            <w:r>
              <w:rPr>
                <w:b w:val="0"/>
                <w:sz w:val="18"/>
              </w:rPr>
              <w:t>0,661</w:t>
            </w:r>
          </w:p>
        </w:tc>
        <w:tc>
          <w:tcPr>
            <w:tcW w:type="dxa" w:w="1134"/>
            <w:shd w:val="clear" w:color="auto" w:fill="F5F7FA"/>
          </w:tcPr>
          <w:p>
            <w:pPr>
              <w:keepNext w:val="0"/>
              <w:spacing w:after="0" w:line="240" w:lineRule="auto"/>
              <w:jc w:val="center"/>
            </w:pPr>
            <w:r>
              <w:rPr>
                <w:sz w:val="18"/>
              </w:rPr>
            </w:r>
            <w:r>
              <w:rPr>
                <w:b w:val="0"/>
                <w:sz w:val="18"/>
              </w:rPr>
              <w:t>0,951</w:t>
            </w:r>
          </w:p>
        </w:tc>
        <w:tc>
          <w:tcPr>
            <w:tcW w:type="dxa" w:w="1191"/>
            <w:shd w:val="clear" w:color="auto" w:fill="F5F7FA"/>
          </w:tcPr>
          <w:p>
            <w:pPr>
              <w:keepNext w:val="0"/>
              <w:spacing w:after="0" w:line="240" w:lineRule="auto"/>
              <w:jc w:val="center"/>
            </w:pPr>
            <w:r>
              <w:rPr>
                <w:sz w:val="18"/>
              </w:rPr>
            </w:r>
            <w:r>
              <w:rPr>
                <w:b w:val="0"/>
                <w:sz w:val="18"/>
              </w:rPr>
              <w:t>0,674</w:t>
            </w:r>
          </w:p>
        </w:tc>
      </w:tr>
    </w:tbl>
    <w:p>
      <w:pPr>
        <w:spacing w:after="0" w:line="192" w:lineRule="auto"/>
      </w:pPr>
    </w:p>
    <w:p>
      <w:pPr>
        <w:jc w:val="both"/>
      </w:pPr>
      <w:r>
        <w:rPr>
          <w:b w:val="0"/>
        </w:rPr>
        <w:t xml:space="preserve">Üç model de rastgele tahminin (PR-AUC 0,113) yaklaşık 4–4,5 katı PR-AUC’ye ulaşmıştır. </w:t>
      </w:r>
      <w:r>
        <w:rPr>
          <w:b/>
        </w:rPr>
        <w:t>HistGradientBoosting</w:t>
      </w:r>
      <w:r>
        <w:rPr>
          <w:b w:val="0"/>
        </w:rPr>
        <w:t xml:space="preserve"> tüm metriklerde en iyi sonucu vermiştir (F1 0,530, PR-AUC 0,497); Random Forest çok yakın, Lojistik Regresyon ise özellikle düşük recall bölgesinde belirgin biçimde geridedir (Şekil 3b). Dummy modelin accuracy’si (0,887) eşik ayarlı modellerden bile yüksektir, ancak hiçbir aboneyi bulamaz; bu, accuracy’nin bu problemde neden kullanılmaması gerektiğini açıkça gösterir. Eşik seçiminin etkisi de büyüktür: aynı HGB modeli 0,5 eşiğinde abonelerin yalnızca %23’ünü yakalarken seçilen eşikte %61’ini yakalar (F1 0,346 → 0,530).</w:t>
      </w:r>
    </w:p>
    <w:p>
      <w:pPr>
        <w:keepNext/>
        <w:spacing w:before="80" w:after="0"/>
        <w:jc w:val="center"/>
      </w:pPr>
      <w:r>
        <w:drawing>
          <wp:inline xmlns:a="http://schemas.openxmlformats.org/drawingml/2006/main" xmlns:pic="http://schemas.openxmlformats.org/drawingml/2006/picture">
            <wp:extent cx="5040000" cy="1988779"/>
            <wp:docPr id="3" name="Picture 3"/>
            <wp:cNvGraphicFramePr>
              <a:graphicFrameLocks noChangeAspect="1"/>
            </wp:cNvGraphicFramePr>
            <a:graphic>
              <a:graphicData uri="http://schemas.openxmlformats.org/drawingml/2006/picture">
                <pic:pic>
                  <pic:nvPicPr>
                    <pic:cNvPr id="0" name="3_roc_pr.png"/>
                    <pic:cNvPicPr/>
                  </pic:nvPicPr>
                  <pic:blipFill>
                    <a:blip r:embed="rId15"/>
                    <a:stretch>
                      <a:fillRect/>
                    </a:stretch>
                  </pic:blipFill>
                  <pic:spPr>
                    <a:xfrm>
                      <a:off x="0" y="0"/>
                      <a:ext cx="5040000" cy="1988779"/>
                    </a:xfrm>
                    <a:prstGeom prst="rect"/>
                  </pic:spPr>
                </pic:pic>
              </a:graphicData>
            </a:graphic>
          </wp:inline>
        </w:drawing>
      </w:r>
    </w:p>
    <w:p>
      <w:pPr>
        <w:spacing w:after="120"/>
        <w:jc w:val="center"/>
      </w:pPr>
      <w:r>
        <w:rPr>
          <w:b w:val="0"/>
          <w:i/>
          <w:color w:val="52514E"/>
          <w:sz w:val="18"/>
        </w:rPr>
        <w:t>Şekil 3. Test setinde ROC ve Precision–Recall eğrileri (noktalar: seçilen eşikteki çalışma noktası)</w:t>
      </w:r>
    </w:p>
    <w:p>
      <w:pPr>
        <w:jc w:val="both"/>
      </w:pPr>
      <w:r>
        <w:rPr>
          <w:b/>
        </w:rPr>
        <w:t>Karışıklık matrisi (Şekil 4a):</w:t>
      </w:r>
      <w:r>
        <w:rPr>
          <w:b w:val="0"/>
        </w:rPr>
        <w:t xml:space="preserve"> HGB, 928 abonenin 566’sını doğru bulmuş, 362’sini kaçırmıştır (FN). “Abone olur” dediği 1.207 müşterinin 641’i (FP) abone olmamıştır; yani her ~2,1 aramadan biri satışla sonuçlanır (rastgele aramada ~8,9 aramada bir). </w:t>
      </w:r>
      <w:r>
        <w:rPr>
          <w:b/>
        </w:rPr>
        <w:t>Permütasyon önemine</w:t>
      </w:r>
      <w:r>
        <w:rPr>
          <w:b w:val="0"/>
        </w:rPr>
        <w:t xml:space="preserve"> (Şekil 4b) göre modelin en çok dayandığı değişkenler çalışan sayısı, Euribor ve istihdam değişimi gibi ekonomik göstergeler; ardından müşterinin önceden aranmış olması, iletişim türü ve aydır. Meslek, eğitim ve kredi bilgilerinin katkısı ise sıfıra yakındır.</w:t>
      </w:r>
    </w:p>
    <w:p>
      <w:pPr>
        <w:keepNext/>
        <w:spacing w:before="80" w:after="0"/>
        <w:jc w:val="center"/>
      </w:pPr>
      <w:r>
        <w:drawing>
          <wp:inline xmlns:a="http://schemas.openxmlformats.org/drawingml/2006/main" xmlns:pic="http://schemas.openxmlformats.org/drawingml/2006/picture">
            <wp:extent cx="5220000" cy="2000626"/>
            <wp:docPr id="4" name="Picture 4"/>
            <wp:cNvGraphicFramePr>
              <a:graphicFrameLocks noChangeAspect="1"/>
            </wp:cNvGraphicFramePr>
            <a:graphic>
              <a:graphicData uri="http://schemas.openxmlformats.org/drawingml/2006/picture">
                <pic:pic>
                  <pic:nvPicPr>
                    <pic:cNvPr id="0" name="4_karisiklik_onem.png"/>
                    <pic:cNvPicPr/>
                  </pic:nvPicPr>
                  <pic:blipFill>
                    <a:blip r:embed="rId16"/>
                    <a:stretch>
                      <a:fillRect/>
                    </a:stretch>
                  </pic:blipFill>
                  <pic:spPr>
                    <a:xfrm>
                      <a:off x="0" y="0"/>
                      <a:ext cx="5220000" cy="2000626"/>
                    </a:xfrm>
                    <a:prstGeom prst="rect"/>
                  </pic:spPr>
                </pic:pic>
              </a:graphicData>
            </a:graphic>
          </wp:inline>
        </w:drawing>
      </w:r>
    </w:p>
    <w:p>
      <w:pPr>
        <w:spacing w:after="120"/>
        <w:jc w:val="center"/>
      </w:pPr>
      <w:r>
        <w:rPr>
          <w:b w:val="0"/>
          <w:i/>
          <w:color w:val="52514E"/>
          <w:sz w:val="18"/>
        </w:rPr>
        <w:t>Şekil 4. (a) HGB karışıklık matrisi (renk: satır içi oran), (b) test setinde permütasyon önemi</w:t>
      </w:r>
    </w:p>
    <w:p>
      <w:pPr>
        <w:jc w:val="both"/>
      </w:pPr>
      <w:r>
        <w:rPr>
          <w:b/>
        </w:rPr>
        <w:t>İş açısından yorum (Şekil 5b):</w:t>
      </w:r>
      <w:r>
        <w:rPr>
          <w:b w:val="0"/>
        </w:rPr>
        <w:t xml:space="preserve"> Müşteriler model olasılığına göre sıralanıp listenin yalnızca ilk %10’u arandığında abonelerin </w:t>
      </w:r>
      <w:r>
        <w:rPr>
          <w:b/>
        </w:rPr>
        <w:t>%47</w:t>
      </w:r>
      <w:r>
        <w:rPr>
          <w:b w:val="0"/>
        </w:rPr>
        <w:t xml:space="preserve">’si, ilk %20’si arandığında </w:t>
      </w:r>
      <w:r>
        <w:rPr>
          <w:b/>
        </w:rPr>
        <w:t>%67</w:t>
      </w:r>
      <w:r>
        <w:rPr>
          <w:b w:val="0"/>
        </w:rPr>
        <w:t>’si yakalanır (rastgele aramaya göre 3,4 kat verim). Şekil 5a ise eşiğin bir iş kararı olduğunu gösterir: arama maliyeti yüksekse eşik yükseltilerek precision, kaçırılan müşterinin maliyeti yüksekse eşik düşürülerek recall artırılabilir.</w:t>
      </w:r>
    </w:p>
    <w:p>
      <w:pPr>
        <w:keepNext/>
        <w:spacing w:before="80" w:after="0"/>
        <w:jc w:val="center"/>
      </w:pPr>
      <w:r>
        <w:drawing>
          <wp:inline xmlns:a="http://schemas.openxmlformats.org/drawingml/2006/main" xmlns:pic="http://schemas.openxmlformats.org/drawingml/2006/picture">
            <wp:extent cx="4860000" cy="1841354"/>
            <wp:docPr id="5" name="Picture 5"/>
            <wp:cNvGraphicFramePr>
              <a:graphicFrameLocks noChangeAspect="1"/>
            </wp:cNvGraphicFramePr>
            <a:graphic>
              <a:graphicData uri="http://schemas.openxmlformats.org/drawingml/2006/picture">
                <pic:pic>
                  <pic:nvPicPr>
                    <pic:cNvPr id="0" name="5_esik_kazanc.png"/>
                    <pic:cNvPicPr/>
                  </pic:nvPicPr>
                  <pic:blipFill>
                    <a:blip r:embed="rId17"/>
                    <a:stretch>
                      <a:fillRect/>
                    </a:stretch>
                  </pic:blipFill>
                  <pic:spPr>
                    <a:xfrm>
                      <a:off x="0" y="0"/>
                      <a:ext cx="4860000" cy="1841354"/>
                    </a:xfrm>
                    <a:prstGeom prst="rect"/>
                  </pic:spPr>
                </pic:pic>
              </a:graphicData>
            </a:graphic>
          </wp:inline>
        </w:drawing>
      </w:r>
    </w:p>
    <w:p>
      <w:pPr>
        <w:spacing w:after="120"/>
        <w:jc w:val="center"/>
      </w:pPr>
      <w:r>
        <w:rPr>
          <w:b w:val="0"/>
          <w:i/>
          <w:color w:val="52514E"/>
          <w:sz w:val="18"/>
        </w:rPr>
        <w:t>Şekil 5. (a) Eşiğe göre precision / recall / F1 değişimi, (b) kümülatif kazanç eğrisi</w:t>
      </w:r>
    </w:p>
    <w:p>
      <w:pPr>
        <w:jc w:val="both"/>
      </w:pPr>
      <w:r>
        <w:rPr>
          <w:b/>
        </w:rPr>
        <w:t>Sızıntı karşılaştırması:</w:t>
      </w:r>
      <w:r>
        <w:rPr>
          <w:b w:val="0"/>
        </w:rPr>
        <w:t xml:space="preserve"> Görüşme süresi (duration) modele eklendiğinde ROC-AUC 0,815 → 0,951, F1 0,530 → 0,661 sıçramaktadır. Bu yüksek değer yanıltıcıdır; bu veri setiyle sıkça raporlanan %90+ AUC değerleri genellikle duration içeren modellere aittir. Gerçekte kullanılabilecek model, duration içermeyen modeldir.</w:t>
      </w:r>
    </w:p>
    <w:p>
      <w:pPr>
        <w:keepNext/>
        <w:spacing w:before="200" w:after="60"/>
        <w:pBdr>
          <w:bottom w:val="single" w:sz="6" w:space="1" w:color="B5C4DA"/>
        </w:pBdr>
      </w:pPr>
      <w:r>
        <w:rPr>
          <w:b/>
          <w:color w:val="142B4C"/>
          <w:sz w:val="26"/>
        </w:rPr>
        <w:t>7. Hata Analizi</w:t>
      </w:r>
    </w:p>
    <w:p>
      <w:pPr>
        <w:jc w:val="both"/>
      </w:pPr>
      <w:r>
        <w:rPr>
          <w:b w:val="0"/>
        </w:rPr>
        <w:t>Test setindeki tahminler doğru/yanlış türlerine ayrılarak müşteri profilleri karşılaştırılmıştır:</w:t>
      </w:r>
    </w:p>
    <w:p>
      <w:pPr>
        <w:keepNext/>
        <w:spacing w:before="80" w:after="40"/>
      </w:pPr>
      <w:r>
        <w:rPr>
          <w:b w:val="0"/>
          <w:i/>
          <w:color w:val="52514E"/>
          <w:sz w:val="18"/>
        </w:rPr>
        <w:t>Tablo 6. Hata türlerine göre müşteri profili (HGB, test seti)</w:t>
      </w:r>
    </w:p>
    <w:tbl>
      <w:tblPr>
        <w:tblStyle w:val="TableGrid"/>
        <w:tblW w:type="auto" w:w="0"/>
        <w:jc w:val="center"/>
        <w:tblLayout w:type="fixed"/>
        <w:tblLook w:firstColumn="1" w:firstRow="1" w:lastColumn="0" w:lastRow="0" w:noHBand="0" w:noVBand="1" w:val="04A0"/>
        <w:tblLayout w:type="fixed"/>
      </w:tblPr>
      <w:tblGrid>
        <w:gridCol w:w="2608"/>
        <w:gridCol w:w="737"/>
        <w:gridCol w:w="1134"/>
        <w:gridCol w:w="1134"/>
        <w:gridCol w:w="1361"/>
        <w:gridCol w:w="1134"/>
        <w:gridCol w:w="1531"/>
      </w:tblGrid>
      <w:tr>
        <w:trPr>
          <w:cantSplit/>
        </w:trPr>
        <w:tc>
          <w:tcPr>
            <w:tcW w:type="dxa" w:w="2608"/>
            <w:shd w:val="clear" w:color="auto" w:fill="142B4C"/>
          </w:tcPr>
          <w:p>
            <w:pPr>
              <w:keepNext/>
              <w:spacing w:after="0" w:line="240" w:lineRule="auto"/>
            </w:pPr>
            <w:r/>
            <w:r>
              <w:rPr>
                <w:b/>
                <w:color w:val="FFFFFF"/>
                <w:sz w:val="18"/>
              </w:rPr>
              <w:t>Grup</w:t>
            </w:r>
          </w:p>
        </w:tc>
        <w:tc>
          <w:tcPr>
            <w:tcW w:type="dxa" w:w="737"/>
            <w:shd w:val="clear" w:color="auto" w:fill="142B4C"/>
          </w:tcPr>
          <w:p>
            <w:pPr>
              <w:keepNext/>
              <w:spacing w:after="0" w:line="240" w:lineRule="auto"/>
              <w:jc w:val="center"/>
            </w:pPr>
            <w:r/>
            <w:r>
              <w:rPr>
                <w:b/>
                <w:color w:val="FFFFFF"/>
                <w:sz w:val="18"/>
              </w:rPr>
              <w:t>Adet</w:t>
            </w:r>
          </w:p>
        </w:tc>
        <w:tc>
          <w:tcPr>
            <w:tcW w:type="dxa" w:w="1134"/>
            <w:shd w:val="clear" w:color="auto" w:fill="142B4C"/>
          </w:tcPr>
          <w:p>
            <w:pPr>
              <w:keepNext/>
              <w:spacing w:after="0" w:line="240" w:lineRule="auto"/>
              <w:jc w:val="center"/>
            </w:pPr>
            <w:r/>
            <w:r>
              <w:rPr>
                <w:b/>
                <w:color w:val="FFFFFF"/>
                <w:sz w:val="18"/>
              </w:rPr>
              <w:t>Ort. olasılık</w:t>
            </w:r>
          </w:p>
        </w:tc>
        <w:tc>
          <w:tcPr>
            <w:tcW w:type="dxa" w:w="1134"/>
            <w:shd w:val="clear" w:color="auto" w:fill="142B4C"/>
          </w:tcPr>
          <w:p>
            <w:pPr>
              <w:keepNext/>
              <w:spacing w:after="0" w:line="240" w:lineRule="auto"/>
              <w:jc w:val="center"/>
            </w:pPr>
            <w:r/>
            <w:r>
              <w:rPr>
                <w:b/>
                <w:color w:val="FFFFFF"/>
                <w:sz w:val="18"/>
              </w:rPr>
              <w:t>Ort. Euribor</w:t>
            </w:r>
          </w:p>
        </w:tc>
        <w:tc>
          <w:tcPr>
            <w:tcW w:type="dxa" w:w="1361"/>
            <w:shd w:val="clear" w:color="auto" w:fill="142B4C"/>
          </w:tcPr>
          <w:p>
            <w:pPr>
              <w:keepNext/>
              <w:spacing w:after="0" w:line="240" w:lineRule="auto"/>
              <w:jc w:val="center"/>
            </w:pPr>
            <w:r/>
            <w:r>
              <w:rPr>
                <w:b/>
                <w:color w:val="FFFFFF"/>
                <w:sz w:val="18"/>
              </w:rPr>
              <w:t>Önceden aranmış</w:t>
            </w:r>
          </w:p>
        </w:tc>
        <w:tc>
          <w:tcPr>
            <w:tcW w:type="dxa" w:w="1134"/>
            <w:shd w:val="clear" w:color="auto" w:fill="142B4C"/>
          </w:tcPr>
          <w:p>
            <w:pPr>
              <w:keepNext/>
              <w:spacing w:after="0" w:line="240" w:lineRule="auto"/>
              <w:jc w:val="center"/>
            </w:pPr>
            <w:r/>
            <w:r>
              <w:rPr>
                <w:b/>
                <w:color w:val="FFFFFF"/>
                <w:sz w:val="18"/>
              </w:rPr>
              <w:t>Mayıs payı</w:t>
            </w:r>
          </w:p>
        </w:tc>
        <w:tc>
          <w:tcPr>
            <w:tcW w:type="dxa" w:w="1531"/>
            <w:shd w:val="clear" w:color="auto" w:fill="142B4C"/>
          </w:tcPr>
          <w:p>
            <w:pPr>
              <w:keepNext/>
              <w:spacing w:after="0" w:line="240" w:lineRule="auto"/>
              <w:jc w:val="center"/>
            </w:pPr>
            <w:r/>
            <w:r>
              <w:rPr>
                <w:b/>
                <w:color w:val="FFFFFF"/>
                <w:sz w:val="18"/>
              </w:rPr>
              <w:t>Ort. görüşme süresi</w:t>
            </w:r>
          </w:p>
        </w:tc>
      </w:tr>
      <w:tr>
        <w:trPr>
          <w:cantSplit/>
        </w:trPr>
        <w:tc>
          <w:tcPr>
            <w:tcW w:type="dxa" w:w="2608"/>
          </w:tcPr>
          <w:p>
            <w:pPr>
              <w:keepNext/>
              <w:spacing w:after="0" w:line="240" w:lineRule="auto"/>
            </w:pPr>
            <w:r>
              <w:rPr>
                <w:sz w:val="18"/>
              </w:rPr>
            </w:r>
            <w:r>
              <w:rPr>
                <w:b w:val="0"/>
                <w:sz w:val="18"/>
              </w:rPr>
              <w:t>TP – doğru yakalanan abone</w:t>
            </w:r>
          </w:p>
        </w:tc>
        <w:tc>
          <w:tcPr>
            <w:tcW w:type="dxa" w:w="737"/>
          </w:tcPr>
          <w:p>
            <w:pPr>
              <w:keepNext/>
              <w:spacing w:after="0" w:line="240" w:lineRule="auto"/>
              <w:jc w:val="center"/>
            </w:pPr>
            <w:r>
              <w:rPr>
                <w:sz w:val="18"/>
              </w:rPr>
            </w:r>
            <w:r>
              <w:rPr>
                <w:b w:val="0"/>
                <w:sz w:val="18"/>
              </w:rPr>
              <w:t>566</w:t>
            </w:r>
          </w:p>
        </w:tc>
        <w:tc>
          <w:tcPr>
            <w:tcW w:type="dxa" w:w="1134"/>
          </w:tcPr>
          <w:p>
            <w:pPr>
              <w:keepNext/>
              <w:spacing w:after="0" w:line="240" w:lineRule="auto"/>
              <w:jc w:val="center"/>
            </w:pPr>
            <w:r>
              <w:rPr>
                <w:sz w:val="18"/>
              </w:rPr>
            </w:r>
            <w:r>
              <w:rPr>
                <w:b w:val="0"/>
                <w:sz w:val="18"/>
              </w:rPr>
              <w:t>0,47</w:t>
            </w:r>
          </w:p>
        </w:tc>
        <w:tc>
          <w:tcPr>
            <w:tcW w:type="dxa" w:w="1134"/>
          </w:tcPr>
          <w:p>
            <w:pPr>
              <w:keepNext/>
              <w:spacing w:after="0" w:line="240" w:lineRule="auto"/>
              <w:jc w:val="center"/>
            </w:pPr>
            <w:r>
              <w:rPr>
                <w:sz w:val="18"/>
              </w:rPr>
            </w:r>
            <w:r>
              <w:rPr>
                <w:b w:val="0"/>
                <w:sz w:val="18"/>
              </w:rPr>
              <w:t>1,05</w:t>
            </w:r>
          </w:p>
        </w:tc>
        <w:tc>
          <w:tcPr>
            <w:tcW w:type="dxa" w:w="1361"/>
          </w:tcPr>
          <w:p>
            <w:pPr>
              <w:keepNext/>
              <w:spacing w:after="0" w:line="240" w:lineRule="auto"/>
              <w:jc w:val="center"/>
            </w:pPr>
            <w:r>
              <w:rPr>
                <w:sz w:val="18"/>
              </w:rPr>
            </w:r>
            <w:r>
              <w:rPr>
                <w:b w:val="0"/>
                <w:sz w:val="18"/>
              </w:rPr>
              <w:t>%33</w:t>
            </w:r>
          </w:p>
        </w:tc>
        <w:tc>
          <w:tcPr>
            <w:tcW w:type="dxa" w:w="1134"/>
          </w:tcPr>
          <w:p>
            <w:pPr>
              <w:keepNext/>
              <w:spacing w:after="0" w:line="240" w:lineRule="auto"/>
              <w:jc w:val="center"/>
            </w:pPr>
            <w:r>
              <w:rPr>
                <w:sz w:val="18"/>
              </w:rPr>
            </w:r>
            <w:r>
              <w:rPr>
                <w:b w:val="0"/>
                <w:sz w:val="18"/>
              </w:rPr>
              <w:t>%6</w:t>
            </w:r>
          </w:p>
        </w:tc>
        <w:tc>
          <w:tcPr>
            <w:tcW w:type="dxa" w:w="1531"/>
          </w:tcPr>
          <w:p>
            <w:pPr>
              <w:keepNext/>
              <w:spacing w:after="0" w:line="240" w:lineRule="auto"/>
              <w:jc w:val="center"/>
            </w:pPr>
            <w:r>
              <w:rPr>
                <w:sz w:val="18"/>
              </w:rPr>
            </w:r>
            <w:r>
              <w:rPr>
                <w:b w:val="0"/>
                <w:sz w:val="18"/>
              </w:rPr>
              <w:t>6,4 dk</w:t>
            </w:r>
          </w:p>
        </w:tc>
      </w:tr>
      <w:tr>
        <w:trPr>
          <w:cantSplit/>
        </w:trPr>
        <w:tc>
          <w:tcPr>
            <w:tcW w:type="dxa" w:w="2608"/>
            <w:shd w:val="clear" w:color="auto" w:fill="F5F7FA"/>
          </w:tcPr>
          <w:p>
            <w:pPr>
              <w:keepNext/>
              <w:spacing w:after="0" w:line="240" w:lineRule="auto"/>
            </w:pPr>
            <w:r>
              <w:rPr>
                <w:sz w:val="18"/>
              </w:rPr>
            </w:r>
            <w:r>
              <w:rPr>
                <w:b w:val="0"/>
                <w:sz w:val="18"/>
              </w:rPr>
              <w:t>FN – kaçırılan abone</w:t>
            </w:r>
          </w:p>
        </w:tc>
        <w:tc>
          <w:tcPr>
            <w:tcW w:type="dxa" w:w="737"/>
            <w:shd w:val="clear" w:color="auto" w:fill="F5F7FA"/>
          </w:tcPr>
          <w:p>
            <w:pPr>
              <w:keepNext/>
              <w:spacing w:after="0" w:line="240" w:lineRule="auto"/>
              <w:jc w:val="center"/>
            </w:pPr>
            <w:r>
              <w:rPr>
                <w:sz w:val="18"/>
              </w:rPr>
            </w:r>
            <w:r>
              <w:rPr>
                <w:b w:val="0"/>
                <w:sz w:val="18"/>
              </w:rPr>
              <w:t>362</w:t>
            </w:r>
          </w:p>
        </w:tc>
        <w:tc>
          <w:tcPr>
            <w:tcW w:type="dxa" w:w="1134"/>
            <w:shd w:val="clear" w:color="auto" w:fill="F5F7FA"/>
          </w:tcPr>
          <w:p>
            <w:pPr>
              <w:keepNext/>
              <w:spacing w:after="0" w:line="240" w:lineRule="auto"/>
              <w:jc w:val="center"/>
            </w:pPr>
            <w:r>
              <w:rPr>
                <w:sz w:val="18"/>
              </w:rPr>
            </w:r>
            <w:r>
              <w:rPr>
                <w:b w:val="0"/>
                <w:sz w:val="18"/>
              </w:rPr>
              <w:t>0,07</w:t>
            </w:r>
          </w:p>
        </w:tc>
        <w:tc>
          <w:tcPr>
            <w:tcW w:type="dxa" w:w="1134"/>
            <w:shd w:val="clear" w:color="auto" w:fill="F5F7FA"/>
          </w:tcPr>
          <w:p>
            <w:pPr>
              <w:keepNext/>
              <w:spacing w:after="0" w:line="240" w:lineRule="auto"/>
              <w:jc w:val="center"/>
            </w:pPr>
            <w:r>
              <w:rPr>
                <w:sz w:val="18"/>
              </w:rPr>
            </w:r>
            <w:r>
              <w:rPr>
                <w:b w:val="0"/>
                <w:sz w:val="18"/>
              </w:rPr>
              <w:t>3,63</w:t>
            </w:r>
          </w:p>
        </w:tc>
        <w:tc>
          <w:tcPr>
            <w:tcW w:type="dxa" w:w="1361"/>
            <w:shd w:val="clear" w:color="auto" w:fill="F5F7FA"/>
          </w:tcPr>
          <w:p>
            <w:pPr>
              <w:keepNext/>
              <w:spacing w:after="0" w:line="240" w:lineRule="auto"/>
              <w:jc w:val="center"/>
            </w:pPr>
            <w:r>
              <w:rPr>
                <w:sz w:val="18"/>
              </w:rPr>
            </w:r>
            <w:r>
              <w:rPr>
                <w:b w:val="0"/>
                <w:sz w:val="18"/>
              </w:rPr>
              <w:t>%0</w:t>
            </w:r>
          </w:p>
        </w:tc>
        <w:tc>
          <w:tcPr>
            <w:tcW w:type="dxa" w:w="1134"/>
            <w:shd w:val="clear" w:color="auto" w:fill="F5F7FA"/>
          </w:tcPr>
          <w:p>
            <w:pPr>
              <w:keepNext/>
              <w:spacing w:after="0" w:line="240" w:lineRule="auto"/>
              <w:jc w:val="center"/>
            </w:pPr>
            <w:r>
              <w:rPr>
                <w:sz w:val="18"/>
              </w:rPr>
            </w:r>
            <w:r>
              <w:rPr>
                <w:b w:val="0"/>
                <w:sz w:val="18"/>
              </w:rPr>
              <w:t>%41</w:t>
            </w:r>
          </w:p>
        </w:tc>
        <w:tc>
          <w:tcPr>
            <w:tcW w:type="dxa" w:w="1531"/>
            <w:shd w:val="clear" w:color="auto" w:fill="F5F7FA"/>
          </w:tcPr>
          <w:p>
            <w:pPr>
              <w:keepNext/>
              <w:spacing w:after="0" w:line="240" w:lineRule="auto"/>
              <w:jc w:val="center"/>
            </w:pPr>
            <w:r>
              <w:rPr>
                <w:sz w:val="18"/>
              </w:rPr>
            </w:r>
            <w:r>
              <w:rPr>
                <w:b w:val="0"/>
                <w:sz w:val="18"/>
              </w:rPr>
              <w:t>14,1 dk</w:t>
            </w:r>
          </w:p>
        </w:tc>
      </w:tr>
      <w:tr>
        <w:trPr>
          <w:cantSplit/>
        </w:trPr>
        <w:tc>
          <w:tcPr>
            <w:tcW w:type="dxa" w:w="2608"/>
          </w:tcPr>
          <w:p>
            <w:pPr>
              <w:keepNext/>
              <w:spacing w:after="0" w:line="240" w:lineRule="auto"/>
            </w:pPr>
            <w:r>
              <w:rPr>
                <w:sz w:val="18"/>
              </w:rPr>
            </w:r>
            <w:r>
              <w:rPr>
                <w:b w:val="0"/>
                <w:sz w:val="18"/>
              </w:rPr>
              <w:t>FP – yanlış alarm</w:t>
            </w:r>
          </w:p>
        </w:tc>
        <w:tc>
          <w:tcPr>
            <w:tcW w:type="dxa" w:w="737"/>
          </w:tcPr>
          <w:p>
            <w:pPr>
              <w:keepNext/>
              <w:spacing w:after="0" w:line="240" w:lineRule="auto"/>
              <w:jc w:val="center"/>
            </w:pPr>
            <w:r>
              <w:rPr>
                <w:sz w:val="18"/>
              </w:rPr>
            </w:r>
            <w:r>
              <w:rPr>
                <w:b w:val="0"/>
                <w:sz w:val="18"/>
              </w:rPr>
              <w:t>641</w:t>
            </w:r>
          </w:p>
        </w:tc>
        <w:tc>
          <w:tcPr>
            <w:tcW w:type="dxa" w:w="1134"/>
          </w:tcPr>
          <w:p>
            <w:pPr>
              <w:keepNext/>
              <w:spacing w:after="0" w:line="240" w:lineRule="auto"/>
              <w:jc w:val="center"/>
            </w:pPr>
            <w:r>
              <w:rPr>
                <w:sz w:val="18"/>
              </w:rPr>
            </w:r>
            <w:r>
              <w:rPr>
                <w:b w:val="0"/>
                <w:sz w:val="18"/>
              </w:rPr>
              <w:t>0,38</w:t>
            </w:r>
          </w:p>
        </w:tc>
        <w:tc>
          <w:tcPr>
            <w:tcW w:type="dxa" w:w="1134"/>
          </w:tcPr>
          <w:p>
            <w:pPr>
              <w:keepNext/>
              <w:spacing w:after="0" w:line="240" w:lineRule="auto"/>
              <w:jc w:val="center"/>
            </w:pPr>
            <w:r>
              <w:rPr>
                <w:sz w:val="18"/>
              </w:rPr>
            </w:r>
            <w:r>
              <w:rPr>
                <w:b w:val="0"/>
                <w:sz w:val="18"/>
              </w:rPr>
              <w:t>1,10</w:t>
            </w:r>
          </w:p>
        </w:tc>
        <w:tc>
          <w:tcPr>
            <w:tcW w:type="dxa" w:w="1361"/>
          </w:tcPr>
          <w:p>
            <w:pPr>
              <w:keepNext/>
              <w:spacing w:after="0" w:line="240" w:lineRule="auto"/>
              <w:jc w:val="center"/>
            </w:pPr>
            <w:r>
              <w:rPr>
                <w:sz w:val="18"/>
              </w:rPr>
            </w:r>
            <w:r>
              <w:rPr>
                <w:b w:val="0"/>
                <w:sz w:val="18"/>
              </w:rPr>
              <w:t>%17</w:t>
            </w:r>
          </w:p>
        </w:tc>
        <w:tc>
          <w:tcPr>
            <w:tcW w:type="dxa" w:w="1134"/>
          </w:tcPr>
          <w:p>
            <w:pPr>
              <w:keepNext/>
              <w:spacing w:after="0" w:line="240" w:lineRule="auto"/>
              <w:jc w:val="center"/>
            </w:pPr>
            <w:r>
              <w:rPr>
                <w:sz w:val="18"/>
              </w:rPr>
            </w:r>
            <w:r>
              <w:rPr>
                <w:b w:val="0"/>
                <w:sz w:val="18"/>
              </w:rPr>
              <w:t>%6</w:t>
            </w:r>
          </w:p>
        </w:tc>
        <w:tc>
          <w:tcPr>
            <w:tcW w:type="dxa" w:w="1531"/>
          </w:tcPr>
          <w:p>
            <w:pPr>
              <w:keepNext/>
              <w:spacing w:after="0" w:line="240" w:lineRule="auto"/>
              <w:jc w:val="center"/>
            </w:pPr>
            <w:r>
              <w:rPr>
                <w:sz w:val="18"/>
              </w:rPr>
            </w:r>
            <w:r>
              <w:rPr>
                <w:b w:val="0"/>
                <w:sz w:val="18"/>
              </w:rPr>
              <w:t>4,1 dk</w:t>
            </w:r>
          </w:p>
        </w:tc>
      </w:tr>
      <w:tr>
        <w:trPr>
          <w:cantSplit/>
        </w:trPr>
        <w:tc>
          <w:tcPr>
            <w:tcW w:type="dxa" w:w="2608"/>
            <w:shd w:val="clear" w:color="auto" w:fill="F5F7FA"/>
          </w:tcPr>
          <w:p>
            <w:pPr>
              <w:keepNext w:val="0"/>
              <w:spacing w:after="0" w:line="240" w:lineRule="auto"/>
            </w:pPr>
            <w:r>
              <w:rPr>
                <w:sz w:val="18"/>
              </w:rPr>
            </w:r>
            <w:r>
              <w:rPr>
                <w:b w:val="0"/>
                <w:sz w:val="18"/>
              </w:rPr>
              <w:t>TN – doğru ret</w:t>
            </w:r>
          </w:p>
        </w:tc>
        <w:tc>
          <w:tcPr>
            <w:tcW w:type="dxa" w:w="737"/>
            <w:shd w:val="clear" w:color="auto" w:fill="F5F7FA"/>
          </w:tcPr>
          <w:p>
            <w:pPr>
              <w:keepNext w:val="0"/>
              <w:spacing w:after="0" w:line="240" w:lineRule="auto"/>
              <w:jc w:val="center"/>
            </w:pPr>
            <w:r>
              <w:rPr>
                <w:sz w:val="18"/>
              </w:rPr>
            </w:r>
            <w:r>
              <w:rPr>
                <w:b w:val="0"/>
                <w:sz w:val="18"/>
              </w:rPr>
              <w:t>6.667</w:t>
            </w:r>
          </w:p>
        </w:tc>
        <w:tc>
          <w:tcPr>
            <w:tcW w:type="dxa" w:w="1134"/>
            <w:shd w:val="clear" w:color="auto" w:fill="F5F7FA"/>
          </w:tcPr>
          <w:p>
            <w:pPr>
              <w:keepNext w:val="0"/>
              <w:spacing w:after="0" w:line="240" w:lineRule="auto"/>
              <w:jc w:val="center"/>
            </w:pPr>
            <w:r>
              <w:rPr>
                <w:sz w:val="18"/>
              </w:rPr>
            </w:r>
            <w:r>
              <w:rPr>
                <w:b w:val="0"/>
                <w:sz w:val="18"/>
              </w:rPr>
              <w:t>0,06</w:t>
            </w:r>
          </w:p>
        </w:tc>
        <w:tc>
          <w:tcPr>
            <w:tcW w:type="dxa" w:w="1134"/>
            <w:shd w:val="clear" w:color="auto" w:fill="F5F7FA"/>
          </w:tcPr>
          <w:p>
            <w:pPr>
              <w:keepNext w:val="0"/>
              <w:spacing w:after="0" w:line="240" w:lineRule="auto"/>
              <w:jc w:val="center"/>
            </w:pPr>
            <w:r>
              <w:rPr>
                <w:sz w:val="18"/>
              </w:rPr>
            </w:r>
            <w:r>
              <w:rPr>
                <w:b w:val="0"/>
                <w:sz w:val="18"/>
              </w:rPr>
              <w:t>4,10</w:t>
            </w:r>
          </w:p>
        </w:tc>
        <w:tc>
          <w:tcPr>
            <w:tcW w:type="dxa" w:w="1361"/>
            <w:shd w:val="clear" w:color="auto" w:fill="F5F7FA"/>
          </w:tcPr>
          <w:p>
            <w:pPr>
              <w:keepNext w:val="0"/>
              <w:spacing w:after="0" w:line="240" w:lineRule="auto"/>
              <w:jc w:val="center"/>
            </w:pPr>
            <w:r>
              <w:rPr>
                <w:sz w:val="18"/>
              </w:rPr>
            </w:r>
            <w:r>
              <w:rPr>
                <w:b w:val="0"/>
                <w:sz w:val="18"/>
              </w:rPr>
              <w:t>%0</w:t>
            </w:r>
          </w:p>
        </w:tc>
        <w:tc>
          <w:tcPr>
            <w:tcW w:type="dxa" w:w="1134"/>
            <w:shd w:val="clear" w:color="auto" w:fill="F5F7FA"/>
          </w:tcPr>
          <w:p>
            <w:pPr>
              <w:keepNext w:val="0"/>
              <w:spacing w:after="0" w:line="240" w:lineRule="auto"/>
              <w:jc w:val="center"/>
            </w:pPr>
            <w:r>
              <w:rPr>
                <w:sz w:val="18"/>
              </w:rPr>
            </w:r>
            <w:r>
              <w:rPr>
                <w:b w:val="0"/>
                <w:sz w:val="18"/>
              </w:rPr>
              <w:t>%38</w:t>
            </w:r>
          </w:p>
        </w:tc>
        <w:tc>
          <w:tcPr>
            <w:tcW w:type="dxa" w:w="1531"/>
            <w:shd w:val="clear" w:color="auto" w:fill="F5F7FA"/>
          </w:tcPr>
          <w:p>
            <w:pPr>
              <w:keepNext w:val="0"/>
              <w:spacing w:after="0" w:line="240" w:lineRule="auto"/>
              <w:jc w:val="center"/>
            </w:pPr>
            <w:r>
              <w:rPr>
                <w:sz w:val="18"/>
              </w:rPr>
            </w:r>
            <w:r>
              <w:rPr>
                <w:b w:val="0"/>
                <w:sz w:val="18"/>
              </w:rPr>
              <w:t>3,7 dk</w:t>
            </w:r>
          </w:p>
        </w:tc>
      </w:tr>
    </w:tbl>
    <w:p>
      <w:pPr>
        <w:spacing w:after="0" w:line="192" w:lineRule="auto"/>
      </w:pPr>
    </w:p>
    <w:p>
      <w:pPr>
        <w:pStyle w:val="ListBullet"/>
        <w:spacing w:after="40"/>
        <w:ind w:left="340"/>
        <w:jc w:val="both"/>
      </w:pPr>
      <w:r>
        <w:rPr>
          <w:b/>
        </w:rPr>
        <w:t>Kaçırılan aboneler (FN) “kötü dönemde” abone olanlardır:</w:t>
      </w:r>
      <w:r>
        <w:rPr>
          <w:b w:val="0"/>
        </w:rPr>
        <w:t xml:space="preserve"> FN’lerin ortalama Euribor’u 3,63 (TP’lerde 1,05), %41’i mayıs ayında aranmış ve neredeyse hiçbiri önceden aranmamıştır. Model, yüksek faiz döneminde abone olan müşterilerin yalnızca ~%4,5’ini yakalayabilmiştir (düşük faiz döneminde %82). Bu müşterilerin ortalama görüşme süresi </w:t>
      </w:r>
      <w:r>
        <w:rPr>
          <w:b/>
        </w:rPr>
        <w:t>14,1 dk</w:t>
      </w:r>
      <w:r>
        <w:rPr>
          <w:b w:val="0"/>
        </w:rPr>
        <w:t>’dır: satışı, modelin göremediği uzun ve ikna edici bir görüşme getirmiştir.</w:t>
      </w:r>
    </w:p>
    <w:p>
      <w:pPr>
        <w:pStyle w:val="ListBullet"/>
        <w:spacing w:after="40"/>
        <w:ind w:left="340"/>
        <w:jc w:val="both"/>
      </w:pPr>
      <w:r>
        <w:rPr>
          <w:b/>
        </w:rPr>
        <w:t>Yanlış alarmlar (FP) “iyi dönemde” aranıp abone olmayanlardır:</w:t>
      </w:r>
      <w:r>
        <w:rPr>
          <w:b w:val="0"/>
        </w:rPr>
        <w:t xml:space="preserve"> Ortalama Euribor 1,10 ile TP’lere çok benzerler; en emin olunan FP’lerin tamamı önceki kampanyada başarılı olmuş müşterilerdir. Model, dönem ve geçmiş başarı sinyallerine aşırı güvenmekte, aynı koşullardaki müşterileri birbirinden ayıracak bireysel bilgiye (gelir, bakiye, ürün sahipliği) sahip olmadığı için ayırt edememektedir.</w:t>
      </w:r>
    </w:p>
    <w:p>
      <w:pPr>
        <w:pStyle w:val="ListBullet"/>
        <w:spacing w:after="40"/>
        <w:ind w:left="340"/>
        <w:jc w:val="both"/>
      </w:pPr>
      <w:r>
        <w:rPr>
          <w:b/>
        </w:rPr>
        <w:t>Zaman bazlı doğrulama:</w:t>
      </w:r>
      <w:r>
        <w:rPr>
          <w:b w:val="0"/>
        </w:rPr>
        <w:t xml:space="preserve"> Veri tarih sıralı olduğundan ek olarak ilk %80’lik dönemle eğitip son %20’lik dönemde test edilmiştir. Bu dönemde abonelik oranı %6,4 → %30,8’e, ortalama Euribor ~4,3 → ~1,0’a değişmiştir. Rastgele bölmede en iyi olan HGB’nin ROC-AUC’si 0,647’ye ve recall’u %15’e düşerken, Lojistik Regresyon ROC-AUC 0,749 ve recall %69 ile en dayanıklı model olmuştur. Ağaç modelleri eğitimde görmedikleri değer aralığına (çok düşük faiz) </w:t>
      </w:r>
      <w:r>
        <w:rPr>
          <w:b/>
        </w:rPr>
        <w:t>dışdeğerleme (extrapolation) yapamaz</w:t>
      </w:r>
      <w:r>
        <w:rPr>
          <w:b w:val="0"/>
        </w:rPr>
        <w:t>; doğrusal model ise “faiz düştükçe abonelik artar” eğilimini sürdürebilir.</w:t>
      </w:r>
    </w:p>
    <w:p>
      <w:pPr>
        <w:jc w:val="both"/>
      </w:pPr>
      <w:r>
        <w:rPr>
          <w:b/>
        </w:rPr>
        <w:t>Zayıf yönler:</w:t>
      </w:r>
      <w:r>
        <w:rPr>
          <w:b w:val="0"/>
        </w:rPr>
        <w:t xml:space="preserve"> (1) Performansın büyük kısmı müşteriden değil makroekonomik dönemden gelmektedir; (2) dönem değiştiğinde (veri kayması / concept drift) başarı ciddi biçimde düşebilir; (3) müşteri başına finansal bilgi (gelir, mevduat bakiyesi) olmadığı için aynı dönemdeki müşteriler iyi ayrıştırılamamaktadır; (4) precision ~%47 ile sınırlıdır. </w:t>
      </w:r>
      <w:r>
        <w:rPr>
          <w:b/>
        </w:rPr>
        <w:t>Güçlü yönler:</w:t>
      </w:r>
      <w:r>
        <w:rPr>
          <w:b w:val="0"/>
        </w:rPr>
        <w:t xml:space="preserve"> sızıntısız ve gerçekçi kurgu, rastgele aramaya göre 3–4 kat verim, Pipeline ile tekrarlanabilir ve test seti hiç kullanılmadan seçilmiş hiperparametre ve eşik.</w:t>
      </w:r>
    </w:p>
    <w:p>
      <w:pPr>
        <w:keepNext/>
        <w:spacing w:before="200" w:after="60"/>
        <w:pBdr>
          <w:bottom w:val="single" w:sz="6" w:space="1" w:color="B5C4DA"/>
        </w:pBdr>
      </w:pPr>
      <w:r>
        <w:rPr>
          <w:b/>
          <w:color w:val="142B4C"/>
          <w:sz w:val="26"/>
        </w:rPr>
        <w:t>8. Sonuç ve Geliştirme Önerileri</w:t>
      </w:r>
    </w:p>
    <w:p>
      <w:pPr>
        <w:jc w:val="both"/>
      </w:pPr>
      <w:r>
        <w:rPr>
          <w:b w:val="0"/>
        </w:rPr>
        <w:t xml:space="preserve">Bu çalışmada telefon pazarlaması öncesinde abone olacak müşterileri önceden belirleyen, sızıntıdan arındırılmış bir sınıflandırma modeli geliştirilmiştir. HistGradientBoosting rastgele bölünmüş test setinde F1 0,530 ve PR-AUC 0,497 ile en iyi sonucu vermiş, listenin ilk %20’sini arayarak abonelerin %67’sine ulaşmayı mümkün kılmıştır. Ancak zaman bazlı doğrulama, ekonomik koşullar değiştiğinde daha basit Lojistik Regresyon’un daha güvenilir olduğunu göstermiştir. Bu nedenle </w:t>
      </w:r>
      <w:r>
        <w:rPr>
          <w:b/>
        </w:rPr>
        <w:t>uygulamada model seçimi yalnızca tek bir test skoruna göre değil, gelecekteki dönemlerdeki dayanıklılığa göre de yapılmalıdır.</w:t>
      </w:r>
      <w:r>
        <w:rPr>
          <w:b w:val="0"/>
        </w:rPr>
        <w:t xml:space="preserve"> Geliştirme önerileri:</w:t>
      </w:r>
    </w:p>
    <w:p>
      <w:pPr>
        <w:pStyle w:val="ListNumber"/>
        <w:spacing w:after="40"/>
        <w:ind w:left="340"/>
        <w:jc w:val="both"/>
      </w:pPr>
      <w:r>
        <w:rPr>
          <w:b/>
        </w:rPr>
        <w:t>Düzenli yeniden eğitim ve izleme:</w:t>
      </w:r>
      <w:r>
        <w:rPr>
          <w:b w:val="0"/>
        </w:rPr>
        <w:t xml:space="preserve"> Model her ay/çeyrek son dönem verisiyle yeniden eğitilmeli, kayan pencere (rolling window) doğrulaması kullanılmalı ve abonelik oranı ile Euribor gibi girdilerin dağılımı izlenmelidir.</w:t>
      </w:r>
    </w:p>
    <w:p>
      <w:pPr>
        <w:pStyle w:val="ListNumber"/>
        <w:spacing w:after="40"/>
        <w:ind w:left="340"/>
        <w:jc w:val="both"/>
      </w:pPr>
      <w:r>
        <w:rPr>
          <w:b/>
        </w:rPr>
        <w:t>Dönemden bağımsız özellikler:</w:t>
      </w:r>
      <w:r>
        <w:rPr>
          <w:b w:val="0"/>
        </w:rPr>
        <w:t xml:space="preserve"> Ekonomik göstergeler arası yüksek korelasyon nedeniyle tek bir gösterge veya fark/değişim özellikleri (ör. son 3 aydaki faiz değişimi) kullanılmalı; müşteri bakiyesi, gelir ve ürün sahipliği gibi bireysel veriler eklenmelidir.</w:t>
      </w:r>
    </w:p>
    <w:p>
      <w:pPr>
        <w:pStyle w:val="ListNumber"/>
        <w:spacing w:after="40"/>
        <w:ind w:left="340"/>
        <w:jc w:val="both"/>
      </w:pPr>
      <w:r>
        <w:rPr>
          <w:b/>
        </w:rPr>
        <w:t>Maliyet duyarlı eşik:</w:t>
      </w:r>
      <w:r>
        <w:rPr>
          <w:b w:val="0"/>
        </w:rPr>
        <w:t xml:space="preserve"> Bir aramanın maliyeti ile bir aboneliğin getirisi belirlenerek eşik F1 yerine beklenen kâra göre seçilmeli; olasılıklar kalibre edilmelidir (CalibratedClassifierCV).</w:t>
      </w:r>
    </w:p>
    <w:p>
      <w:pPr>
        <w:pStyle w:val="ListNumber"/>
        <w:spacing w:after="40"/>
        <w:ind w:left="340"/>
        <w:jc w:val="both"/>
      </w:pPr>
      <w:r>
        <w:rPr>
          <w:b/>
        </w:rPr>
        <w:t>Daha ileri modeller ve açıklanabilirlik:</w:t>
      </w:r>
      <w:r>
        <w:rPr>
          <w:b w:val="0"/>
        </w:rPr>
        <w:t xml:space="preserve"> CatBoost/LightGBM ile kategorik değişkenler doğrudan işlenebilir, doğrusal ve ağaç modellerinin birleşimi (stacking) denenebilir; SHAP ile her müşteri için tahminin nedeni çağrı merkezi çalışanına gösterilebilir.</w:t>
      </w:r>
    </w:p>
    <w:p>
      <w:pPr>
        <w:pStyle w:val="ListNumber"/>
        <w:spacing w:after="40"/>
        <w:ind w:left="340"/>
        <w:jc w:val="both"/>
      </w:pPr>
      <w:r>
        <w:rPr>
          <w:b/>
        </w:rPr>
        <w:t>Uplift modelleme:</w:t>
      </w:r>
      <w:r>
        <w:rPr>
          <w:b w:val="0"/>
        </w:rPr>
        <w:t xml:space="preserve"> Asıl iş sorusu “kim alır?” değil “kim aranırsa alır?” olduğu için, kontrol grubu verisi toplanarak aramanın etkisi doğrudan modellenebilir.</w:t>
      </w:r>
    </w:p>
    <w:p>
      <w:pPr>
        <w:keepNext/>
        <w:spacing w:before="200" w:after="60"/>
        <w:pBdr>
          <w:bottom w:val="single" w:sz="6" w:space="1" w:color="B5C4DA"/>
        </w:pBdr>
      </w:pPr>
      <w:r>
        <w:rPr>
          <w:b/>
          <w:color w:val="142B4C"/>
          <w:sz w:val="26"/>
        </w:rPr>
        <w:t>Kaynaklar</w:t>
      </w:r>
    </w:p>
    <w:p>
      <w:pPr>
        <w:pStyle w:val="ListNumber2"/>
        <w:spacing w:after="20"/>
      </w:pPr>
      <w:r>
        <w:rPr>
          <w:sz w:val="18"/>
        </w:rPr>
        <w:t>Moro, S., Cortez, P. ve Rita, P. (2014). A Data-Driven Approach to Predict the Success of Bank Telemarketing. Decision Support Systems, 62, 22–31. https://doi.org/10.1016/j.dss.2014.03.001</w:t>
      </w:r>
    </w:p>
    <w:p>
      <w:pPr>
        <w:pStyle w:val="ListNumber2"/>
        <w:spacing w:after="20"/>
      </w:pPr>
      <w:r>
        <w:rPr>
          <w:sz w:val="18"/>
        </w:rPr>
        <w:t>UCI Machine Learning Repository – Bank Marketing veri seti: https://archive.ics.uci.edu/dataset/222/bank+marketing</w:t>
      </w:r>
    </w:p>
    <w:p>
      <w:pPr>
        <w:pStyle w:val="ListNumber2"/>
        <w:spacing w:after="20"/>
      </w:pPr>
      <w:r>
        <w:rPr>
          <w:sz w:val="18"/>
        </w:rPr>
        <w:t>Pedregosa, F. vd. (2011). Scikit-learn: Machine Learning in Python. JMLR, 12, 2825–2830.</w:t>
      </w:r>
    </w:p>
    <w:p>
      <w:pPr>
        <w:pStyle w:val="ListNumber2"/>
        <w:spacing w:after="20"/>
      </w:pPr>
      <w:r>
        <w:rPr>
          <w:sz w:val="18"/>
        </w:rPr>
        <w:t>Proje kodu ve not defteri: https://github.com/elifdelal/banka-pazarlama-tahmini</w:t>
      </w:r>
    </w:p>
    <w:sectPr w:rsidR="00FC693F" w:rsidRPr="0006063C" w:rsidSect="00034616">
      <w:footerReference w:type="default" r:id="rId9"/>
      <w:pgSz w:w="11906" w:h="16838"/>
      <w:pgMar w:top="794" w:right="1077" w:bottom="79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Elif DELAL · Banka Pazarlamasında Abonelik Tahmini · Sayfa </w:t>
    </w:r>
    <w:r>
      <w:rPr>
        <w:color w:val="52514E"/>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lifdelal/banka-pazarlama-tahmini" TargetMode="External"/><Relationship Id="rId11" Type="http://schemas.openxmlformats.org/officeDocument/2006/relationships/hyperlink" Target="https://colab.research.google.com/github/elifdelal/banka-pazarlama-tahmini/blob/main/Banka_Pazarlama_Tahmini.ipynb" TargetMode="External"/><Relationship Id="rId12" Type="http://schemas.openxmlformats.org/officeDocument/2006/relationships/hyperlink" Target="https://archive.ics.uci.edu/dataset/222/bank+marketing"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