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rPr>
          <w:lang w:val="en-GB"/>
        </w:rPr>
      </w:pPr>
      <w:r>
        <w:rPr>
          <w:lang w:val="en-GB"/>
        </w:rPr>
        <w:t>STAR METHODS</w:t>
      </w:r>
    </w:p>
    <w:p>
      <w:pPr>
        <w:pStyle w:val="1stParagraph"/>
        <w:rPr>
          <w:lang w:val="en-GB"/>
        </w:rPr>
      </w:pPr>
      <w:r>
        <w:rPr>
          <w:lang w:val="en-GB"/>
        </w:rPr>
        <w:t xml:space="preserve">Detailed methods are provided in the online version of this paper and include the following: </w:t>
      </w:r>
    </w:p>
    <w:p>
      <w:pPr>
        <w:pStyle w:val="2ndParagraph"/>
        <w:numPr>
          <w:ilvl w:val="0"/>
          <w:numId w:val="1"/>
        </w:numPr>
        <w:rPr>
          <w:lang w:val="en-GB"/>
        </w:rPr>
      </w:pPr>
      <w:r>
        <w:rPr>
          <w:lang w:val="en-GB"/>
        </w:rPr>
        <w:t>Key resources table</w:t>
      </w:r>
    </w:p>
    <w:p>
      <w:pPr>
        <w:pStyle w:val="2ndParagraph"/>
        <w:numPr>
          <w:ilvl w:val="0"/>
          <w:numId w:val="1"/>
        </w:numPr>
        <w:rPr>
          <w:lang w:val="en-GB"/>
        </w:rPr>
      </w:pPr>
      <w:r>
        <w:rPr>
          <w:lang w:val="en-GB"/>
        </w:rPr>
        <w:t xml:space="preserve">Contact for reagents and resources sharing </w:t>
      </w:r>
    </w:p>
    <w:p>
      <w:pPr>
        <w:pStyle w:val="2ndParagraph"/>
        <w:numPr>
          <w:ilvl w:val="0"/>
          <w:numId w:val="1"/>
        </w:numPr>
        <w:rPr>
          <w:lang w:val="en-GB"/>
        </w:rPr>
      </w:pPr>
      <w:r>
        <w:rPr>
          <w:lang w:val="en-GB"/>
        </w:rPr>
        <w:t>Experimental Models</w:t>
      </w:r>
    </w:p>
    <w:p>
      <w:pPr>
        <w:pStyle w:val="2ndParagraph"/>
        <w:numPr>
          <w:ilvl w:val="0"/>
          <w:numId w:val="1"/>
        </w:numPr>
        <w:rPr>
          <w:lang w:val="en-GB"/>
        </w:rPr>
      </w:pPr>
      <w:r>
        <w:rPr>
          <w:lang w:val="en-GB"/>
        </w:rPr>
        <w:t>Methods details</w:t>
      </w:r>
    </w:p>
    <w:p>
      <w:pPr>
        <w:pStyle w:val="2ndParagraph"/>
        <w:numPr>
          <w:ilvl w:val="1"/>
          <w:numId w:val="1"/>
        </w:numPr>
        <w:rPr>
          <w:lang w:val="en-GB"/>
        </w:rPr>
      </w:pPr>
      <w:r>
        <w:rPr>
          <w:lang w:val="en-GB"/>
        </w:rPr>
        <w:t>Retroviral infection for clonal labelling</w:t>
      </w:r>
    </w:p>
    <w:p>
      <w:pPr>
        <w:pStyle w:val="2ndParagraph"/>
        <w:numPr>
          <w:ilvl w:val="1"/>
          <w:numId w:val="1"/>
        </w:numPr>
        <w:rPr>
          <w:lang w:val="en-GB"/>
        </w:rPr>
      </w:pPr>
      <w:r>
        <w:rPr>
          <w:lang w:val="en-GB"/>
        </w:rPr>
        <w:t>Tamoxifen inducible clonal labelling</w:t>
      </w:r>
    </w:p>
    <w:p>
      <w:pPr>
        <w:pStyle w:val="2ndParagraph"/>
        <w:numPr>
          <w:ilvl w:val="1"/>
          <w:numId w:val="1"/>
        </w:numPr>
        <w:rPr>
          <w:lang w:val="en-GB"/>
        </w:rPr>
      </w:pPr>
      <w:r>
        <w:rPr>
          <w:lang w:val="en-GB"/>
        </w:rPr>
        <w:t>Histology</w:t>
      </w:r>
    </w:p>
    <w:p>
      <w:pPr>
        <w:pStyle w:val="2ndParagraph"/>
        <w:numPr>
          <w:ilvl w:val="1"/>
          <w:numId w:val="1"/>
        </w:numPr>
        <w:rPr>
          <w:lang w:val="en-GB"/>
        </w:rPr>
      </w:pPr>
      <w:r>
        <w:rPr>
          <w:lang w:val="en-GB"/>
        </w:rPr>
        <w:t>Imaging</w:t>
      </w:r>
    </w:p>
    <w:p>
      <w:pPr>
        <w:pStyle w:val="2ndParagraph"/>
        <w:numPr>
          <w:ilvl w:val="1"/>
          <w:numId w:val="1"/>
        </w:numPr>
        <w:rPr>
          <w:lang w:val="en-GB"/>
        </w:rPr>
      </w:pPr>
      <w:r>
        <w:rPr>
          <w:i/>
          <w:lang w:val="en-GB"/>
        </w:rPr>
        <w:t>In silico</w:t>
      </w:r>
      <w:r>
        <w:rPr>
          <w:lang w:val="en-GB"/>
        </w:rPr>
        <w:t xml:space="preserve"> modelling of progenitor behaviour</w:t>
      </w:r>
    </w:p>
    <w:p>
      <w:pPr>
        <w:pStyle w:val="2ndParagraph"/>
        <w:numPr>
          <w:ilvl w:val="0"/>
          <w:numId w:val="1"/>
        </w:numPr>
        <w:rPr>
          <w:lang w:val="en-GB"/>
        </w:rPr>
      </w:pPr>
      <w:r>
        <w:rPr>
          <w:lang w:val="en-GB"/>
        </w:rPr>
        <w:t>Quantification and statistical analysis</w:t>
      </w:r>
    </w:p>
    <w:p>
      <w:pPr>
        <w:pStyle w:val="2ndParagraph"/>
        <w:numPr>
          <w:ilvl w:val="1"/>
          <w:numId w:val="1"/>
        </w:numPr>
        <w:rPr>
          <w:lang w:val="en-GB"/>
        </w:rPr>
      </w:pPr>
      <w:r>
        <w:rPr>
          <w:lang w:val="en-GB"/>
        </w:rPr>
        <w:t>Quantification of cell distribution and clonal spatial configuration</w:t>
      </w:r>
    </w:p>
    <w:p>
      <w:pPr>
        <w:pStyle w:val="2ndParagraph"/>
        <w:numPr>
          <w:ilvl w:val="1"/>
          <w:numId w:val="1"/>
        </w:numPr>
        <w:rPr>
          <w:lang w:val="en-GB"/>
        </w:rPr>
      </w:pPr>
      <w:r>
        <w:rPr>
          <w:lang w:val="en-GB"/>
        </w:rPr>
        <w:t>Pyramidal neuron subtype classification</w:t>
      </w:r>
    </w:p>
    <w:p>
      <w:pPr>
        <w:pStyle w:val="2ndParagraph"/>
        <w:numPr>
          <w:ilvl w:val="1"/>
          <w:numId w:val="1"/>
        </w:numPr>
        <w:rPr>
          <w:lang w:val="en-GB"/>
        </w:rPr>
      </w:pPr>
      <w:r>
        <w:rPr>
          <w:lang w:val="en-GB"/>
        </w:rPr>
        <w:t>Quantification of relative laminar ratios of pyramidal neurons</w:t>
      </w:r>
    </w:p>
    <w:p>
      <w:pPr>
        <w:pStyle w:val="2ndParagraph"/>
        <w:numPr>
          <w:ilvl w:val="1"/>
          <w:numId w:val="1"/>
        </w:numPr>
        <w:rPr>
          <w:lang w:val="en-GB"/>
        </w:rPr>
      </w:pPr>
      <w:r>
        <w:rPr>
          <w:lang w:val="en-GB"/>
        </w:rPr>
        <w:t>Statistical tests</w:t>
      </w:r>
    </w:p>
    <w:p>
      <w:pPr>
        <w:pStyle w:val="2ndParagraph"/>
        <w:numPr>
          <w:ilvl w:val="0"/>
          <w:numId w:val="1"/>
        </w:numPr>
        <w:rPr>
          <w:lang w:val="en-GB"/>
        </w:rPr>
      </w:pPr>
      <w:r>
        <w:rPr>
          <w:lang w:val="en-GB"/>
        </w:rPr>
        <w:t>Data and software availability</w:t>
      </w:r>
    </w:p>
    <w:p>
      <w:pPr>
        <w:pStyle w:val="2ndParagraph"/>
        <w:rPr>
          <w:lang w:val="en-GB"/>
        </w:rPr>
      </w:pPr>
      <w:r>
        <w:rPr>
          <w:lang w:val="en-GB"/>
        </w:rPr>
      </w:r>
    </w:p>
    <w:p>
      <w:pPr>
        <w:pStyle w:val="2ndParagraph"/>
        <w:rPr>
          <w:lang w:val="en-GB"/>
        </w:rPr>
      </w:pPr>
      <w:r>
        <w:rPr>
          <w:lang w:val="en-GB"/>
        </w:rPr>
      </w:r>
    </w:p>
    <w:p>
      <w:pPr>
        <w:pStyle w:val="2ndParagraph"/>
        <w:rPr>
          <w:lang w:val="en-GB"/>
        </w:rPr>
      </w:pPr>
      <w:r>
        <w:rPr>
          <w:lang w:val="en-GB"/>
        </w:rPr>
      </w:r>
    </w:p>
    <w:p>
      <w:pPr>
        <w:pStyle w:val="2ndParagraph"/>
        <w:rPr>
          <w:lang w:val="en-GB"/>
        </w:rPr>
      </w:pPr>
      <w:r>
        <w:rPr>
          <w:lang w:val="en-GB"/>
        </w:rPr>
      </w:r>
    </w:p>
    <w:p>
      <w:pPr>
        <w:pStyle w:val="2ndParagraph"/>
        <w:rPr>
          <w:lang w:val="en-GB"/>
        </w:rPr>
      </w:pPr>
      <w:r>
        <w:rPr>
          <w:lang w:val="en-GB"/>
        </w:rPr>
      </w:r>
    </w:p>
    <w:p>
      <w:pPr>
        <w:pStyle w:val="2ndParagraph"/>
        <w:rPr>
          <w:lang w:val="en-GB"/>
        </w:rPr>
      </w:pPr>
      <w:r>
        <w:rPr>
          <w:lang w:val="en-GB"/>
        </w:rPr>
      </w:r>
      <w:r>
        <w:br w:type="page"/>
      </w:r>
    </w:p>
    <w:p>
      <w:pPr>
        <w:pStyle w:val="Heading3"/>
        <w:rPr>
          <w:rFonts w:ascii="Arial" w:hAnsi="Arial" w:eastAsia="ヒラギノ角ゴ Pro W3" w:cs="Arial Unicode MS"/>
          <w:bCs w:val="false"/>
          <w:color w:val="984806"/>
          <w:lang w:val="en-US"/>
        </w:rPr>
      </w:pPr>
      <w:r>
        <w:rPr>
          <w:rFonts w:eastAsia="ヒラギノ角ゴ Pro W3" w:cs="Arial Unicode MS" w:ascii="Arial" w:hAnsi="Arial"/>
          <w:bCs w:val="false"/>
          <w:color w:val="984806"/>
          <w:lang w:val="en-US"/>
        </w:rPr>
        <w:t>KEY RESOURCES TABLE</w:t>
      </w:r>
    </w:p>
    <w:p>
      <w:pPr>
        <w:pStyle w:val="Normal"/>
        <w:rPr>
          <w:lang w:val="en-US"/>
        </w:rPr>
      </w:pPr>
      <w:r>
        <w:rPr>
          <w:lang w:val="en-US"/>
        </w:rPr>
      </w:r>
    </w:p>
    <w:tbl>
      <w:tblPr>
        <w:tblStyle w:val="LightShading-Accent1"/>
        <w:tblW w:w="8188" w:type="dxa"/>
        <w:jc w:val="left"/>
        <w:tblInd w:w="0" w:type="dxa"/>
        <w:tblCellMar>
          <w:top w:w="0" w:type="dxa"/>
          <w:left w:w="108" w:type="dxa"/>
          <w:bottom w:w="0" w:type="dxa"/>
          <w:right w:w="108" w:type="dxa"/>
        </w:tblCellMar>
        <w:tblLook w:val="04a0" w:noVBand="1" w:noHBand="0" w:lastColumn="0" w:firstColumn="1" w:lastRow="0" w:firstRow="1"/>
      </w:tblPr>
      <w:tblGrid>
        <w:gridCol w:w="4219"/>
        <w:gridCol w:w="2410"/>
        <w:gridCol w:w="1559"/>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bottom w:val="single" w:sz="12" w:space="0" w:color="4F81BD"/>
              <w:insideH w:val="single" w:sz="12" w:space="0" w:color="4F81BD"/>
            </w:tcBorders>
            <w:shd w:color="auto" w:fill="DBE5F1" w:themeFill="accent1" w:themeFillTint="33" w:val="clear"/>
            <w:vAlign w:val="center"/>
          </w:tcPr>
          <w:p>
            <w:pPr>
              <w:pStyle w:val="Normal"/>
              <w:spacing w:lineRule="auto" w:line="240" w:before="0" w:after="0"/>
              <w:rPr>
                <w:rFonts w:ascii="Arial" w:hAnsi="Arial" w:cs="Arial"/>
                <w:b w:val="false"/>
                <w:b w:val="false"/>
                <w:color w:val="00000A"/>
                <w:sz w:val="20"/>
                <w:szCs w:val="20"/>
              </w:rPr>
            </w:pPr>
            <w:r>
              <w:rPr>
                <w:rFonts w:cs="Arial" w:ascii="Arial" w:hAnsi="Arial"/>
                <w:b w:val="false"/>
                <w:bCs/>
                <w:color w:val="00000A"/>
                <w:sz w:val="20"/>
                <w:szCs w:val="20"/>
                <w:lang w:val="en-GB"/>
              </w:rPr>
              <w:t>REAGENT or RESOURCES</w:t>
            </w:r>
          </w:p>
        </w:tc>
        <w:tc>
          <w:tcPr>
            <w:tcW w:w="2410" w:type="dxa"/>
            <w:tcBorders>
              <w:bottom w:val="single" w:sz="18" w:space="0" w:color="4F81BD"/>
              <w:insideH w:val="single" w:sz="18" w:space="0" w:color="4F81BD"/>
            </w:tcBorders>
            <w:shd w:color="auto" w:fill="DBE5F1" w:themeFill="accent1" w:themeFillTint="33"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A"/>
                <w:sz w:val="20"/>
                <w:szCs w:val="20"/>
              </w:rPr>
            </w:pPr>
            <w:r>
              <w:rPr>
                <w:rFonts w:cs="Arial" w:ascii="Arial" w:hAnsi="Arial"/>
                <w:b w:val="false"/>
                <w:bCs/>
                <w:color w:val="00000A"/>
                <w:sz w:val="20"/>
                <w:szCs w:val="20"/>
                <w:lang w:val="en-GB"/>
              </w:rPr>
              <w:t>SOURCE</w:t>
            </w:r>
          </w:p>
        </w:tc>
        <w:tc>
          <w:tcPr>
            <w:tcW w:w="1559" w:type="dxa"/>
            <w:tcBorders>
              <w:bottom w:val="single" w:sz="18" w:space="0" w:color="4F81BD"/>
              <w:insideH w:val="single" w:sz="18" w:space="0" w:color="4F81BD"/>
            </w:tcBorders>
            <w:shd w:color="auto" w:fill="DBE5F1" w:themeFill="accent1" w:themeFillTint="33"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color w:val="00000A"/>
                <w:sz w:val="20"/>
                <w:szCs w:val="20"/>
              </w:rPr>
            </w:pPr>
            <w:r>
              <w:rPr>
                <w:rFonts w:cs="Arial" w:ascii="Arial" w:hAnsi="Arial"/>
                <w:b w:val="false"/>
                <w:bCs/>
                <w:color w:val="00000A"/>
                <w:sz w:val="20"/>
                <w:szCs w:val="20"/>
                <w:lang w:val="en-GB"/>
              </w:rPr>
              <w:t>IDENTIFIER</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single" w:sz="18" w:space="0" w:color="4F81BD"/>
              <w:bottom w:val="nil"/>
              <w:insideH w:val="nil"/>
            </w:tcBorders>
            <w:shd w:color="auto" w:fill="FFFFFF" w:themeFill="background1" w:val="clear"/>
            <w:vAlign w:val="center"/>
          </w:tcPr>
          <w:p>
            <w:pPr>
              <w:pStyle w:val="Normal"/>
              <w:rPr>
                <w:rFonts w:ascii="Arial" w:hAnsi="Arial" w:cs="Arial"/>
                <w:b/>
                <w:b/>
                <w:bCs/>
                <w:color w:val="365F91" w:themeColor="accent1" w:themeShade="bf"/>
                <w:sz w:val="20"/>
                <w:szCs w:val="20"/>
                <w:lang w:val="en-GB"/>
              </w:rPr>
            </w:pPr>
            <w:r>
              <w:rPr>
                <w:rFonts w:cs="Arial" w:ascii="Arial" w:hAnsi="Arial"/>
                <w:b/>
                <w:bCs/>
                <w:color w:val="365F91" w:themeColor="accent1" w:themeShade="bf"/>
                <w:sz w:val="20"/>
                <w:szCs w:val="20"/>
                <w:lang w:val="en-GB"/>
              </w:rPr>
            </w:r>
          </w:p>
        </w:tc>
        <w:tc>
          <w:tcPr>
            <w:tcW w:w="2410" w:type="dxa"/>
            <w:tcBorders>
              <w:top w:val="single" w:sz="18" w:space="0" w:color="4F81BD"/>
              <w:bottom w:val="nil"/>
              <w:insideH w:val="nil"/>
            </w:tcBorders>
            <w:shd w:color="auto" w:fill="FFFFFF" w:themeFill="background1"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top w:val="single" w:sz="18" w:space="0" w:color="4F81BD"/>
              <w:bottom w:val="nil"/>
              <w:insideH w:val="nil"/>
            </w:tcBorders>
            <w:shd w:color="auto" w:fill="FFFFFF" w:themeFill="background1"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tcBorders>
            <w:shd w:fill="auto"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Experimental models: Organisms/strains</w:t>
            </w:r>
          </w:p>
        </w:tc>
        <w:tc>
          <w:tcPr>
            <w:tcW w:w="2410" w:type="dxa"/>
            <w:tcBorders>
              <w:top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top w:val="nil"/>
            </w:tcBorders>
            <w:shd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DBE5F1" w:themeFill="accent1" w:themeFillTint="33" w:val="clear"/>
            <w:vAlign w:val="center"/>
          </w:tcPr>
          <w:p>
            <w:pPr>
              <w:pStyle w:val="Normal"/>
              <w:rPr>
                <w:rFonts w:ascii="Arial" w:hAnsi="Arial" w:eastAsia="Times New Roman" w:cs="Arial"/>
                <w:sz w:val="20"/>
                <w:szCs w:val="20"/>
              </w:rPr>
            </w:pPr>
            <w:r>
              <w:rPr>
                <w:rFonts w:cs="Arial" w:ascii="Arial" w:hAnsi="Arial"/>
                <w:b/>
                <w:bCs/>
                <w:color w:val="00000A"/>
                <w:sz w:val="20"/>
                <w:szCs w:val="20"/>
                <w:lang w:val="en-GB"/>
              </w:rPr>
              <w:t>Mouse:</w:t>
            </w:r>
            <w:r>
              <w:rPr>
                <w:rFonts w:cs="Arial" w:ascii="Arial" w:hAnsi="Arial"/>
                <w:b/>
                <w:bCs/>
                <w:color w:val="000000" w:themeColor="text1"/>
                <w:sz w:val="20"/>
                <w:szCs w:val="20"/>
                <w:lang w:val="en-GB"/>
              </w:rPr>
              <w:t xml:space="preserve"> </w:t>
            </w:r>
            <w:r>
              <w:rPr>
                <w:rFonts w:eastAsia="Times New Roman" w:cs="Arial" w:ascii="Arial" w:hAnsi="Arial"/>
                <w:b/>
                <w:bCs/>
                <w:color w:val="00000A"/>
                <w:sz w:val="20"/>
                <w:szCs w:val="20"/>
                <w:lang w:val="en-GB"/>
              </w:rPr>
              <w:t>Neurod6tm1(cre)Kan</w:t>
            </w:r>
          </w:p>
        </w:tc>
        <w:tc>
          <w:tcPr>
            <w:tcW w:w="2410"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(Schwab et al., 2000)</w:t>
            </w:r>
          </w:p>
        </w:tc>
        <w:tc>
          <w:tcPr>
            <w:tcW w:w="1559"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B6.CBA-Tg(Emx1-cre/ERT2)1Kess/SshiJ</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The Jackson Laboratory</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Stock no 027784</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C57BL/6J;129S-Eomestm1.1(cre/ERT2)Sjar</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(Pimeisl et al., 2013)</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Gt(ROSA)26Sortm1.1(CAG-EGFP)Fsh/Mmjax</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The Jackson Laboratory</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Stock no 32037</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Gt(ROSA)26Sortm4(ACTB-tdTomato,-EGFP)Luo</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The Jackson Laboratory</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Stock no 007576</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Igs2tm1(ACTB-EGFP,-tdTomato)Luo</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The Jackson Laboratory</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Stock no 013749</w:t>
            </w:r>
          </w:p>
        </w:tc>
      </w:tr>
      <w:tr>
        <w:trPr>
          <w:trHeight w:val="418"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Mouse: Gt (ROSA)26Sortm1(CAG-Venus/GMNN,-Cherry/CDT1)Jnk</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lang w:val="en-GB"/>
              </w:rPr>
            </w:pPr>
            <w:r>
              <w:rPr>
                <w:rFonts w:cs="Arial" w:ascii="Arial" w:hAnsi="Arial"/>
                <w:color w:val="00000A"/>
                <w:sz w:val="20"/>
                <w:szCs w:val="20"/>
                <w:lang w:val="en-GB"/>
              </w:rPr>
              <w:t>(Mort et al., 2014)</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vAlign w:val="center"/>
          </w:tcPr>
          <w:p>
            <w:pPr>
              <w:pStyle w:val="Normal"/>
              <w:rPr>
                <w:rFonts w:ascii="Arial" w:hAnsi="Arial" w:cs="Arial"/>
                <w:b/>
                <w:b/>
                <w:bCs/>
                <w:color w:val="365F91" w:themeColor="accent1" w:themeShade="bf"/>
                <w:sz w:val="20"/>
                <w:szCs w:val="20"/>
                <w:lang w:val="en-GB"/>
              </w:rPr>
            </w:pPr>
            <w:r>
              <w:rPr>
                <w:rFonts w:cs="Arial" w:ascii="Arial" w:hAnsi="Arial"/>
                <w:b/>
                <w:bCs/>
                <w:color w:val="365F91" w:themeColor="accent1" w:themeShade="bf"/>
                <w:sz w:val="20"/>
                <w:szCs w:val="20"/>
                <w:lang w:val="en-GB"/>
              </w:rPr>
            </w:r>
          </w:p>
        </w:tc>
        <w:tc>
          <w:tcPr>
            <w:tcW w:w="2410" w:type="dxa"/>
            <w:tcBorders>
              <w:top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top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Recombinant DNA</w:t>
            </w:r>
          </w:p>
        </w:tc>
        <w:tc>
          <w:tcPr>
            <w:tcW w:w="2410" w:type="dxa"/>
            <w:tcBorders/>
            <w:shd w:color="auto" w:fill="auto"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shd w:color="auto" w:fill="auto"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RV-CAG-dio-EGFP</w:t>
            </w:r>
          </w:p>
        </w:tc>
        <w:tc>
          <w:tcPr>
            <w:tcW w:w="2410" w:type="dxa"/>
            <w:tcBorders>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Ciceri et al., 2013; Backbone in Addgene 87662</w:t>
            </w:r>
          </w:p>
        </w:tc>
        <w:tc>
          <w:tcPr>
            <w:tcW w:w="1559" w:type="dxa"/>
            <w:tcBorders>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Ciceri et al., 2013; Backbone in Addgene 87662</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RV-CAG-dio-mCherry</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Ciceri et al., 2013; Backbone in Addgene 87662</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Ciceri et al., 2013; Backbone in Addgene 87662</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Antibodies</w:t>
            </w:r>
          </w:p>
        </w:tc>
        <w:tc>
          <w:tcPr>
            <w:tcW w:w="2410" w:type="dxa"/>
            <w:tcBorders/>
            <w:shd w:color="auto"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shd w:color="auto"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GFP</w:t>
            </w:r>
          </w:p>
        </w:tc>
        <w:tc>
          <w:tcPr>
            <w:tcW w:w="2410"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Aves Lab</w:t>
            </w:r>
          </w:p>
        </w:tc>
        <w:tc>
          <w:tcPr>
            <w:tcW w:w="1559"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GFP-1020</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DsRed</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Clonetech</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632496</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mCherry</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Antibodies-Online</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ABIN1440057</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Ctip2</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Abcam</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Ab18465</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Satb2</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Abcam</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Ab51502</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Satb2</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Abcam</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Ab34735</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Tle4</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Gif from Stefano Stifani</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Anti-Chicken IgY (H+L) 488</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Molecular Probes</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A-11039</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Anti-Mouse IgG1 647</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Molecular Probes</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A-21240</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Anti-Mouse IgG (H+L) biotinylated</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Vector laboratories</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BA-2000</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Anti-Rat IgG (H+L) 555</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Molecular Probes</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A-21434</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Anti-Goat IgG (H+L) 555</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Molecular Probes</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A-21432</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Anti-Rabbit IgG (H+L) 488</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Molecular Probes</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A-21206</w:t>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vAlign w:val="center"/>
          </w:tcPr>
          <w:p>
            <w:pPr>
              <w:pStyle w:val="Normal"/>
              <w:rPr>
                <w:rFonts w:ascii="Arial" w:hAnsi="Arial" w:cs="Arial"/>
                <w:b w:val="false"/>
                <w:b w:val="false"/>
                <w:sz w:val="20"/>
                <w:szCs w:val="20"/>
              </w:rPr>
            </w:pPr>
            <w:r>
              <w:rPr>
                <w:rFonts w:cs="Arial" w:ascii="Arial" w:hAnsi="Arial"/>
                <w:b w:val="false"/>
                <w:bCs/>
                <w:color w:val="00000A"/>
                <w:sz w:val="20"/>
                <w:szCs w:val="20"/>
                <w:lang w:val="en-GB"/>
              </w:rPr>
              <w:t>Software for Data Analyses</w:t>
            </w:r>
          </w:p>
        </w:tc>
        <w:tc>
          <w:tcPr>
            <w:tcW w:w="2410" w:type="dxa"/>
            <w:tcBorders>
              <w:top w:val="nil"/>
            </w:tcBorders>
            <w:shd w:color="auto"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c>
          <w:tcPr>
            <w:tcW w:w="1559" w:type="dxa"/>
            <w:tcBorders>
              <w:top w:val="nil"/>
            </w:tcBorders>
            <w:shd w:color="auto" w:fill="auto"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 xml:space="preserve">MatLab </w:t>
            </w:r>
          </w:p>
        </w:tc>
        <w:tc>
          <w:tcPr>
            <w:tcW w:w="2410"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Mathworks</w:t>
            </w:r>
          </w:p>
        </w:tc>
        <w:tc>
          <w:tcPr>
            <w:tcW w:w="1559" w:type="dxa"/>
            <w:tcBorders>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ImageJ</w:t>
            </w:r>
          </w:p>
        </w:tc>
        <w:tc>
          <w:tcPr>
            <w:tcW w:w="2410"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https://fiji.sc/</w:t>
            </w:r>
          </w:p>
        </w:tc>
        <w:tc>
          <w:tcPr>
            <w:tcW w:w="1559" w:type="dxa"/>
            <w:tcBorders>
              <w:top w:val="nil"/>
              <w:bottom w:val="nil"/>
              <w:insideH w:val="nil"/>
            </w:tcBorders>
            <w:shd w:color="auto" w:fill="DBE5F1"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Arial" w:hAnsi="Arial" w:cs="Arial"/>
                <w:color w:val="365F91" w:themeColor="accent1" w:themeShade="bf"/>
                <w:sz w:val="20"/>
                <w:szCs w:val="20"/>
                <w:lang w:val="en-GB"/>
              </w:rPr>
            </w:pPr>
            <w:r>
              <w:rPr>
                <w:rFonts w:cs="Arial" w:ascii="Arial" w:hAnsi="Arial"/>
                <w:color w:val="365F91" w:themeColor="accent1" w:themeShade="bf"/>
                <w:sz w:val="20"/>
                <w:szCs w:val="20"/>
                <w:lang w:val="en-GB"/>
              </w:rPr>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421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BE5F1" w:themeFill="accent1" w:themeFillTint="33" w:val="clear"/>
            <w:vAlign w:val="center"/>
          </w:tcPr>
          <w:p>
            <w:pPr>
              <w:pStyle w:val="Normal"/>
              <w:rPr>
                <w:rFonts w:ascii="Arial" w:hAnsi="Arial" w:cs="Arial"/>
                <w:b w:val="false"/>
                <w:b w:val="false"/>
                <w:color w:val="00000A"/>
                <w:sz w:val="20"/>
                <w:szCs w:val="20"/>
              </w:rPr>
            </w:pPr>
            <w:r>
              <w:rPr>
                <w:rFonts w:cs="Arial" w:ascii="Arial" w:hAnsi="Arial"/>
                <w:b w:val="false"/>
                <w:bCs/>
                <w:color w:val="00000A"/>
                <w:sz w:val="20"/>
                <w:szCs w:val="20"/>
                <w:lang w:val="en-GB"/>
              </w:rPr>
              <w:t>R, R-studio</w:t>
            </w:r>
          </w:p>
        </w:tc>
        <w:tc>
          <w:tcPr>
            <w:tcW w:w="2410"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color w:val="00000A"/>
                <w:sz w:val="20"/>
                <w:szCs w:val="20"/>
              </w:rPr>
            </w:pPr>
            <w:r>
              <w:rPr>
                <w:rFonts w:cs="Arial" w:ascii="Arial" w:hAnsi="Arial"/>
                <w:color w:val="00000A"/>
                <w:sz w:val="20"/>
                <w:szCs w:val="20"/>
                <w:lang w:val="en-GB"/>
              </w:rPr>
              <w:t>https://www.r-project.org/about.html</w:t>
            </w:r>
          </w:p>
        </w:tc>
        <w:tc>
          <w:tcPr>
            <w:tcW w:w="1559" w:type="dxa"/>
            <w:tcBorders>
              <w:top w:val="nil"/>
              <w:bottom w:val="nil"/>
              <w:insideH w:val="nil"/>
            </w:tcBorders>
            <w:shd w:color="auto" w:fill="DBE5F1" w:themeFill="accent1" w:themeFillTint="33"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Arial" w:hAnsi="Arial" w:cs="Arial"/>
                <w:b/>
                <w:b/>
                <w:color w:val="365F91" w:themeColor="accent1" w:themeShade="bf"/>
                <w:sz w:val="20"/>
                <w:szCs w:val="20"/>
                <w:lang w:val="en-GB"/>
              </w:rPr>
            </w:pPr>
            <w:r>
              <w:rPr>
                <w:rFonts w:cs="Arial" w:ascii="Arial" w:hAnsi="Arial"/>
                <w:b/>
                <w:color w:val="365F91" w:themeColor="accent1" w:themeShade="bf"/>
                <w:sz w:val="20"/>
                <w:szCs w:val="20"/>
                <w:lang w:val="en-GB"/>
              </w:rPr>
            </w:r>
          </w:p>
        </w:tc>
      </w:tr>
    </w:tbl>
    <w:p>
      <w:pPr>
        <w:pStyle w:val="Normal"/>
        <w:rPr>
          <w:rFonts w:ascii="Arial" w:hAnsi="Arial" w:eastAsia="ヒラギノ角ゴ Pro W3" w:cs="Arial Unicode MS"/>
          <w:b/>
          <w:b/>
          <w:color w:val="984806"/>
          <w:lang w:val="en-GB"/>
        </w:rPr>
      </w:pPr>
      <w:r>
        <w:rPr>
          <w:rFonts w:eastAsia="ヒラギノ角ゴ Pro W3" w:cs="Arial Unicode MS" w:ascii="Arial" w:hAnsi="Arial"/>
          <w:b/>
          <w:color w:val="984806"/>
          <w:lang w:val="en-GB"/>
        </w:rPr>
      </w:r>
      <w:r>
        <w:br w:type="page"/>
      </w:r>
    </w:p>
    <w:p>
      <w:pPr>
        <w:pStyle w:val="Normal"/>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 xml:space="preserve">CONTACT FOR REAGENT AND RESOURCE SHARING </w:t>
      </w:r>
    </w:p>
    <w:p>
      <w:pPr>
        <w:pStyle w:val="Normal"/>
        <w:rPr>
          <w:rFonts w:ascii="Arial" w:hAnsi="Arial" w:eastAsia="ヒラギノ角ゴ Pro W3" w:cs="Arial Unicode MS"/>
          <w:b/>
          <w:b/>
          <w:color w:val="984806"/>
          <w:lang w:val="en-GB"/>
        </w:rPr>
      </w:pPr>
      <w:r>
        <w:rPr>
          <w:rFonts w:eastAsia="ヒラギノ角ゴ Pro W3" w:cs="Arial Unicode MS" w:ascii="Arial" w:hAnsi="Arial"/>
          <w:b/>
          <w:color w:val="984806"/>
          <w:lang w:val="en-GB"/>
        </w:rPr>
      </w:r>
    </w:p>
    <w:p>
      <w:pPr>
        <w:pStyle w:val="Normal"/>
        <w:suppressAutoHyphens w:val="true"/>
        <w:spacing w:lineRule="auto" w:line="480"/>
        <w:rPr/>
      </w:pPr>
      <w:r>
        <w:rPr>
          <w:rFonts w:eastAsia="ヒラギノ角ゴ Pro W3" w:cs="Times New Roman" w:ascii="Times" w:hAnsi="Times"/>
          <w:color w:val="000000"/>
          <w:lang w:val="en-GB"/>
        </w:rPr>
        <w:t>Further information and request for resources and reagents should be directed to the Lead Contact, Oscar Marín (</w:t>
      </w:r>
      <w:hyperlink r:id="rId2">
        <w:r>
          <w:rPr>
            <w:rStyle w:val="InternetLink"/>
            <w:rFonts w:eastAsia="ヒラギノ角ゴ Pro W3" w:cs="Times New Roman" w:ascii="Times" w:hAnsi="Times"/>
            <w:color w:val="4F81BD" w:themeColor="accent1"/>
            <w:u w:val="single"/>
            <w:lang w:val="en-GB" w:eastAsia="en-SG" w:bidi="en-SG"/>
          </w:rPr>
          <w:t>oscar.marin@kcl.ac.uk</w:t>
        </w:r>
      </w:hyperlink>
      <w:r>
        <w:rPr>
          <w:rFonts w:eastAsia="ヒラギノ角ゴ Pro W3" w:cs="Times New Roman" w:ascii="Times" w:hAnsi="Times"/>
          <w:color w:val="000000"/>
          <w:lang w:val="en-GB"/>
        </w:rPr>
        <w:t xml:space="preserve">). </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r>
    </w:p>
    <w:p>
      <w:pPr>
        <w:pStyle w:val="Normal"/>
        <w:keepNext/>
        <w:numPr>
          <w:ilvl w:val="0"/>
          <w:numId w:val="0"/>
        </w:numPr>
        <w:suppressAutoHyphens w:val="true"/>
        <w:spacing w:lineRule="auto" w:line="480" w:before="360" w:after="120"/>
        <w:outlineLvl w:val="2"/>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EXPERIMENTAL MODELS</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t xml:space="preserve">All transgenic mouse lines used in this study are listed on the key resources table. All adult mice were housed in groups and kept on reverse light/dark cycle (12/12 h) regardless of genotypes. Only time-mated pregnant female mice that have undergone in utero surgeries were house individually. Both male and female mice were used in all experiments. </w:t>
      </w:r>
      <w:r>
        <w:rPr>
          <w:rFonts w:eastAsia="ヒラギノ角ゴ Pro W3" w:cs="Times New Roman" w:ascii="Times" w:hAnsi="Times"/>
          <w:i/>
          <w:color w:val="000000"/>
          <w:lang w:val="en-GB"/>
        </w:rPr>
        <w:t>In utero</w:t>
      </w:r>
      <w:r>
        <w:rPr>
          <w:rFonts w:eastAsia="ヒラギノ角ゴ Pro W3" w:cs="Times New Roman" w:ascii="Times" w:hAnsi="Times"/>
          <w:color w:val="000000"/>
          <w:lang w:val="en-GB"/>
        </w:rPr>
        <w:t xml:space="preserve"> experiments where performed at different developmental stages that range from E9.5 to E14.5. For histological analyses, mice ages range from P2 to P30. All procedures were approved by King's College London and IST Austria, and were performed under UK Home Office project licenses, and in accordance to Austrian (law </w:t>
      </w:r>
      <w:r>
        <w:rPr>
          <w:rFonts w:eastAsia="ヒラギノ角ゴ Pro W3" w:cs="Times New Roman" w:ascii="Times" w:hAnsi="Times"/>
          <w:color w:val="3366FF"/>
          <w:lang w:val="en-GB"/>
        </w:rPr>
        <w:t>XX</w:t>
      </w:r>
      <w:r>
        <w:rPr>
          <w:rFonts w:eastAsia="ヒラギノ角ゴ Pro W3" w:cs="Times New Roman" w:ascii="Times" w:hAnsi="Times"/>
          <w:color w:val="000000"/>
          <w:lang w:val="en-GB"/>
        </w:rPr>
        <w:t xml:space="preserve">) and European regulations (EU directive 86/609, EU decree 2001-486). The day of vaginal plug was considered as embryonic day (E) 0.5 and the day of birth as postnatal day (P) 0. </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r>
    </w:p>
    <w:p>
      <w:pPr>
        <w:pStyle w:val="Normal"/>
        <w:keepNext/>
        <w:numPr>
          <w:ilvl w:val="0"/>
          <w:numId w:val="0"/>
        </w:numPr>
        <w:suppressAutoHyphens w:val="true"/>
        <w:spacing w:lineRule="auto" w:line="480" w:before="360" w:after="120"/>
        <w:outlineLvl w:val="2"/>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METHOD DETAILS</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Retroviral infection for clonal labelling</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t xml:space="preserve">Cre-dependent conditional retroviral stocks encoding EGFP and membrane-bound mCherry reporters (rv::dio-EGFP and mCherry; Ciceri et al., 2013) were produce as previously described (Tashiro et al. 2006). In brief, </w:t>
      </w:r>
      <w:r>
        <w:rPr>
          <w:rFonts w:cs="Times New Roman" w:ascii="Times New Roman" w:hAnsi="Times New Roman"/>
          <w:lang w:val="es-ES"/>
        </w:rPr>
        <w:t>Moloney murine leukemia viruses (MoMLV)</w:t>
      </w:r>
      <w:r>
        <w:rPr>
          <w:rFonts w:eastAsia="ヒラギノ角ゴ Pro W3" w:cs="Times New Roman" w:ascii="Times" w:hAnsi="Times"/>
          <w:color w:val="000000"/>
          <w:lang w:val="en-GB"/>
        </w:rPr>
        <w:t xml:space="preserve"> were produced by transfecting HEK293T cells with retroviral plasmids (Rv::dio-EGFP and mCherry, pCMV-Vsvg, and pCMV-GAG-pol) using lipofectamine 2000. Forty-eight hours post transfection the supernatant was collected, concentrated and purified by two sequential rounds of ultracentrifugation. The viral pellet was re-suspended in sterile PBS and stored in aliquots at -80°C. Rv::dio-EGFP and mCherry were produced in the same plates and mixed before concentration by ultracentrifugation. </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t xml:space="preserve">For </w:t>
      </w:r>
      <w:r>
        <w:rPr>
          <w:rFonts w:eastAsia="ヒラギノ角ゴ Pro W3" w:cs="Times New Roman" w:ascii="Times" w:hAnsi="Times"/>
          <w:i/>
          <w:color w:val="000000"/>
          <w:lang w:val="en-GB"/>
        </w:rPr>
        <w:t>In utero</w:t>
      </w:r>
      <w:r>
        <w:rPr>
          <w:rFonts w:eastAsia="ヒラギノ角ゴ Pro W3" w:cs="Times New Roman" w:ascii="Times" w:hAnsi="Times"/>
          <w:color w:val="000000"/>
          <w:lang w:val="en-GB"/>
        </w:rPr>
        <w:t xml:space="preserve"> injections, pregnant females were deeply anesthetized with isoflurane and the abdominal cavity was incised to expose uterus. Conditional retroviruses were injected at low-titer into the telencephalic ventricles of E9.5, E10.5, E11.5, E12.5 and E14.5 mouse embryos using an ultrasound-guided imaging system (Visualsonic) coupled with a nanoliter injector as previously described (Pla et al., 2006; Ciceri et al., 2013). Some experiments were performed using the rv::dio-EGFP exclusively. After the procedure, the uterine horns were place back in the abdominal cavity and the wound were surgically sutured. The female was then placed in a 32°C recovering chamber for 30 mins post-surgery before returning to standard housing conditions.</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Tamoxifen inducible clonal labeling</w:t>
      </w:r>
    </w:p>
    <w:p>
      <w:pPr>
        <w:pStyle w:val="Normal"/>
        <w:suppressAutoHyphens w:val="true"/>
        <w:spacing w:lineRule="auto" w:line="480"/>
        <w:rPr>
          <w:rFonts w:ascii="Times" w:hAnsi="Times" w:eastAsia="ヒラギノ角ゴ Pro W3" w:cs="Times New Roman"/>
          <w:color w:val="000000"/>
          <w:lang w:val="en-GB"/>
        </w:rPr>
      </w:pPr>
      <w:r>
        <w:rPr>
          <w:rFonts w:ascii="Times New Roman" w:hAnsi="Times New Roman"/>
          <w:i/>
          <w:iCs/>
          <w:u w:val="none" w:color="243778"/>
          <w:lang w:val="en-GB"/>
        </w:rPr>
        <w:t>Emx1-Cre</w:t>
      </w:r>
      <w:r>
        <w:rPr>
          <w:rFonts w:ascii="Times New Roman" w:hAnsi="Times New Roman"/>
          <w:i/>
          <w:iCs/>
          <w:u w:val="none" w:color="243778"/>
          <w:vertAlign w:val="superscript"/>
          <w:lang w:val="en-GB"/>
        </w:rPr>
        <w:t>ERT2</w:t>
      </w:r>
      <w:r>
        <w:rPr>
          <w:rFonts w:ascii="Times New Roman" w:hAnsi="Times New Roman"/>
          <w:i/>
          <w:iCs/>
          <w:u w:val="none" w:color="243778"/>
          <w:lang w:val="en-GB"/>
        </w:rPr>
        <w:t>, RCE</w:t>
      </w:r>
      <w:r>
        <w:rPr>
          <w:rFonts w:ascii="Times New Roman" w:hAnsi="Times New Roman"/>
          <w:u w:val="none" w:color="243778"/>
          <w:lang w:val="en-GB"/>
        </w:rPr>
        <w:t xml:space="preserve"> and </w:t>
      </w:r>
      <w:r>
        <w:rPr>
          <w:rFonts w:ascii="Times New Roman" w:hAnsi="Times New Roman"/>
          <w:i/>
          <w:u w:val="none" w:color="243778"/>
          <w:lang w:val="en-GB"/>
        </w:rPr>
        <w:t>Tbr2-Cre</w:t>
      </w:r>
      <w:r>
        <w:rPr>
          <w:rFonts w:ascii="Times New Roman" w:hAnsi="Times New Roman"/>
          <w:i/>
          <w:u w:val="none" w:color="243778"/>
          <w:vertAlign w:val="superscript"/>
          <w:lang w:val="en-GB"/>
        </w:rPr>
        <w:t>ERT2</w:t>
      </w:r>
      <w:r>
        <w:rPr>
          <w:rFonts w:ascii="Times New Roman" w:hAnsi="Times New Roman"/>
          <w:u w:val="none" w:color="243778"/>
          <w:lang w:val="en-GB"/>
        </w:rPr>
        <w:t xml:space="preserve">, </w:t>
      </w:r>
      <w:r>
        <w:rPr>
          <w:rFonts w:ascii="Times New Roman" w:hAnsi="Times New Roman"/>
          <w:i/>
          <w:u w:val="none" w:color="243778"/>
          <w:lang w:val="en-GB"/>
        </w:rPr>
        <w:t xml:space="preserve">RCE </w:t>
      </w:r>
      <w:r>
        <w:rPr>
          <w:rFonts w:eastAsia="ヒラギノ角ゴ Pro W3" w:cs="Times New Roman" w:ascii="Times" w:hAnsi="Times"/>
          <w:color w:val="000000"/>
          <w:lang w:val="en-GB"/>
        </w:rPr>
        <w:t>pregnant females received a single intraperitoneal injection of low dose (</w:t>
      </w:r>
      <w:commentRangeStart w:id="0"/>
      <w:r>
        <w:rPr>
          <w:rFonts w:eastAsia="ヒラギノ角ゴ Pro W3" w:cs="Times New Roman" w:ascii="Times" w:hAnsi="Times"/>
          <w:color w:val="000000" w:themeColor="text1"/>
          <w:lang w:val="en-GB"/>
        </w:rPr>
        <w:t>1</w:t>
      </w:r>
      <w:r>
        <w:rPr>
          <w:rFonts w:eastAsia="ヒラギノ角ゴ Pro W3" w:cs="Times New Roman" w:ascii="Times" w:hAnsi="Times"/>
          <w:color w:val="000000"/>
          <w:lang w:val="en-GB"/>
        </w:rPr>
        <w:t xml:space="preserve"> ng</w:t>
      </w:r>
      <w:r>
        <w:rPr>
          <w:rFonts w:eastAsia="ヒラギノ角ゴ Pro W3" w:cs="Times New Roman" w:ascii="Times" w:hAnsi="Times"/>
          <w:color w:val="000000"/>
          <w:lang w:val="en-GB"/>
        </w:rPr>
      </w:r>
      <w:commentRangeEnd w:id="0"/>
      <w:r>
        <w:commentReference w:id="0"/>
      </w:r>
      <w:r>
        <w:rPr>
          <w:rFonts w:eastAsia="ヒラギノ角ゴ Pro W3" w:cs="Times New Roman" w:ascii="Times" w:hAnsi="Times"/>
          <w:color w:val="000000"/>
          <w:lang w:val="en-GB"/>
        </w:rPr>
        <w:t xml:space="preserve">/kg) tamoxifen dissolved in corn oil at E12.5. Form MADM experiments, </w:t>
      </w:r>
      <w:r>
        <w:rPr>
          <w:rFonts w:ascii="Times New Roman" w:hAnsi="Times New Roman"/>
          <w:i/>
          <w:iCs/>
          <w:u w:val="none" w:color="243778"/>
          <w:lang w:val="en-GB"/>
        </w:rPr>
        <w:t>Emx1-Cre</w:t>
      </w:r>
      <w:r>
        <w:rPr>
          <w:rFonts w:ascii="Times New Roman" w:hAnsi="Times New Roman"/>
          <w:i/>
          <w:iCs/>
          <w:u w:val="none" w:color="243778"/>
          <w:vertAlign w:val="superscript"/>
          <w:lang w:val="en-GB"/>
        </w:rPr>
        <w:t xml:space="preserve">ERT2 </w:t>
      </w:r>
      <w:r>
        <w:rPr>
          <w:rFonts w:eastAsia="ヒラギノ角ゴ Pro W3" w:cs="Times New Roman" w:ascii="Times" w:hAnsi="Times"/>
          <w:color w:val="000000"/>
          <w:lang w:val="en-GB"/>
        </w:rPr>
        <w:t>mice were crossed with MADM-11GT and MADM-11TG mice and clonal labelling was induced by tamoxifen administration at E12.5 (intraperitoneal 25-50 mg/kg).</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Histology</w:t>
      </w:r>
    </w:p>
    <w:p>
      <w:pPr>
        <w:pStyle w:val="Normal"/>
        <w:suppressAutoHyphens w:val="true"/>
        <w:spacing w:lineRule="auto" w:line="480"/>
        <w:rPr/>
      </w:pPr>
      <w:r>
        <w:rPr>
          <w:rFonts w:eastAsia="ヒラギノ角ゴ Pro W3" w:cs="Times New Roman" w:ascii="Times" w:hAnsi="Times"/>
          <w:color w:val="000000"/>
          <w:lang w:val="en-GB"/>
        </w:rPr>
        <w:t xml:space="preserve">Postnatal mice were perfused transcardially with 4% </w:t>
      </w:r>
      <w:r>
        <w:rPr>
          <w:rFonts w:ascii="Times New Roman" w:hAnsi="Times New Roman"/>
          <w:lang w:val="en-GB" w:eastAsia="en-US"/>
        </w:rPr>
        <w:t>paraformaldehyde (PFA)</w:t>
      </w:r>
      <w:r>
        <w:rPr>
          <w:rFonts w:eastAsia="ヒラギノ角ゴ Pro W3" w:cs="Times New Roman" w:ascii="Times" w:hAnsi="Times"/>
          <w:color w:val="000000"/>
          <w:lang w:val="en-GB"/>
        </w:rPr>
        <w:t xml:space="preserve"> in PBS and the dissected brains were fixed for 2 h at 4°C in the same solution. Brains were serially sectioned at 100 μm on a vibratome </w:t>
      </w:r>
      <w:r>
        <w:rPr>
          <w:rFonts w:ascii="Times New Roman" w:hAnsi="Times New Roman"/>
          <w:lang w:val="en-GB" w:eastAsia="en-US"/>
        </w:rPr>
        <w:t xml:space="preserve">(VT1000S, Leica) </w:t>
      </w:r>
      <w:r>
        <w:rPr>
          <w:rFonts w:eastAsia="ヒラギノ角ゴ Pro W3" w:cs="Times New Roman" w:ascii="Times" w:hAnsi="Times"/>
          <w:color w:val="000000"/>
          <w:lang w:val="en-GB"/>
        </w:rPr>
        <w:t xml:space="preserve">or on a freezing microtome </w:t>
      </w:r>
      <w:r>
        <w:rPr>
          <w:rFonts w:ascii="Times New Roman" w:hAnsi="Times New Roman"/>
          <w:lang w:val="en-GB" w:eastAsia="en-US"/>
        </w:rPr>
        <w:t xml:space="preserve">(XXX, Leica) </w:t>
      </w:r>
      <w:r>
        <w:rPr>
          <w:rFonts w:eastAsia="ヒラギノ角ゴ Pro W3" w:cs="Times New Roman" w:ascii="Times" w:hAnsi="Times"/>
          <w:color w:val="000000"/>
          <w:lang w:val="en-GB"/>
        </w:rPr>
        <w:t xml:space="preserve">and free-floating coronal sections were then subsequently processed for immunohistochemistry as previously described </w:t>
      </w:r>
      <w:r>
        <w:rPr>
          <w:rFonts w:eastAsia="ヒラギノ角ゴ Pro W3" w:cs="Times New Roman" w:ascii="Times" w:hAnsi="Times"/>
          <w:color w:val="000000"/>
          <w:lang w:val="en-GB"/>
        </w:rPr>
      </w:r>
      <w:r>
        <w:fldChar w:fldCharType="end"/>
      </w:r>
      <w:r>
        <w:fldChar w:fldCharType="begin"/>
      </w:r>
      <w:r>
        <w:instrText>ADDIN EN.CITE.DATA</w:instrText>
      </w:r>
      <w:r>
        <w:fldChar w:fldCharType="separate"/>
      </w:r>
      <w:bookmarkStart w:id="0" w:name="__Fieldmark__580_1517442673"/>
      <w:bookmarkStart w:id="1" w:name="__Fieldmark__579_1517442673"/>
      <w:bookmarkEnd w:id="0"/>
      <w:r>
        <w:rPr>
          <w:rFonts w:eastAsia="ヒラギノ角ゴ Pro W3" w:cs="Times New Roman" w:ascii="Times" w:hAnsi="Times"/>
          <w:color w:val="000000"/>
          <w:lang w:val="en-GB"/>
        </w:rPr>
        <w:t>(Pla et al., 2006)</w:t>
      </w:r>
      <w:r>
        <w:rPr>
          <w:rFonts w:eastAsia="ヒラギノ角ゴ Pro W3" w:cs="Times New Roman" w:ascii="Times" w:hAnsi="Times"/>
          <w:color w:val="000000"/>
          <w:lang w:val="en-GB"/>
        </w:rPr>
      </w:r>
      <w:r>
        <w:fldChar w:fldCharType="end"/>
      </w:r>
      <w:bookmarkEnd w:id="1"/>
      <w:r>
        <w:rPr>
          <w:rFonts w:eastAsia="ヒラギノ角ゴ Pro W3" w:cs="Times New Roman" w:ascii="Times" w:hAnsi="Times"/>
          <w:color w:val="000000"/>
          <w:lang w:val="en-GB"/>
        </w:rPr>
        <w:t>. Primary and secondary antibodies used in the study are listed in Key resource table.</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US"/>
        </w:rPr>
      </w:pPr>
      <w:r>
        <w:rPr>
          <w:rFonts w:eastAsia="ヒラギノ角ゴ Pro W3" w:cs="Arial Unicode MS" w:ascii="Arial" w:hAnsi="Arial"/>
          <w:b/>
          <w:color w:val="984806"/>
          <w:lang w:val="en-US"/>
        </w:rPr>
        <w:t>Imaging</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US"/>
        </w:rPr>
        <w:t>Images were acquired using fluorescence microscopes (DM5000B, CTR5000 and DMIRB from Leica or Apotome.2 from Zeiss) coupled to digital cameras (DC500 or DFC350FX, Leica; OrcaR2, Hamamatsu) with the appropriate emission filter sets or in inverted confocal microscopes (Leica TCS SP8 and Zeiss LSM800 Airyscan).</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GB"/>
        </w:rPr>
      </w:pPr>
      <w:r>
        <w:rPr>
          <w:rFonts w:eastAsia="ヒラギノ角ゴ Pro W3" w:cs="Arial Unicode MS" w:ascii="Arial" w:hAnsi="Arial"/>
          <w:b/>
          <w:i/>
          <w:color w:val="984806"/>
          <w:lang w:val="en-GB"/>
        </w:rPr>
        <w:t xml:space="preserve">In silico </w:t>
      </w:r>
      <w:r>
        <w:rPr>
          <w:rFonts w:eastAsia="ヒラギノ角ゴ Pro W3" w:cs="Arial Unicode MS" w:ascii="Arial" w:hAnsi="Arial"/>
          <w:b/>
          <w:color w:val="984806"/>
          <w:lang w:val="en-GB"/>
        </w:rPr>
        <w:t>modelling of cortical development</w:t>
      </w:r>
    </w:p>
    <w:p>
      <w:pPr>
        <w:pStyle w:val="INTesisNormal"/>
        <w:rPr>
          <w:lang w:val="en-GB" w:eastAsia="en-US"/>
        </w:rPr>
      </w:pPr>
      <w:r>
        <w:rPr>
          <w:lang w:val="en-GB" w:eastAsia="en-US"/>
        </w:rPr>
        <w:t>All modelling of progenitor behaviour was performed using Matlab (Mathworks).</w:t>
      </w:r>
    </w:p>
    <w:p>
      <w:pPr>
        <w:pStyle w:val="INTesisNormal"/>
        <w:rPr>
          <w:rFonts w:eastAsia="ヒラギノ角ゴ Pro W3"/>
          <w:color w:val="000000"/>
          <w:lang w:val="en-GB" w:eastAsia="en-US"/>
        </w:rPr>
      </w:pPr>
      <w:r>
        <w:rPr>
          <w:rFonts w:eastAsia="ヒラギノ角ゴ Pro W3"/>
          <w:color w:val="000000"/>
          <w:lang w:val="en-GB" w:eastAsia="en-US"/>
        </w:rPr>
        <w:t xml:space="preserve">To avoid overfitting variability that could correspond to differences in progenitor behaviour across cortical areas, simulations were compared to the lineages observed in somatosensory cortex (SSCx), using our </w:t>
      </w:r>
      <w:r>
        <w:rPr>
          <w:i/>
          <w:lang w:val="en-GB"/>
        </w:rPr>
        <w:t>Emx1</w:t>
      </w:r>
      <w:r>
        <w:rPr>
          <w:i/>
          <w:vertAlign w:val="superscript"/>
          <w:lang w:val="en-GB"/>
        </w:rPr>
        <w:t>CreER</w:t>
      </w:r>
      <w:r>
        <w:rPr>
          <w:lang w:val="en-GB"/>
        </w:rPr>
        <w:t xml:space="preserve"> ; RCE</w:t>
      </w:r>
      <w:r>
        <w:rPr>
          <w:rFonts w:ascii="Helvetica" w:hAnsi="Helvetica"/>
          <w:lang w:val="en-GB"/>
        </w:rPr>
        <w:t xml:space="preserve"> </w:t>
      </w:r>
      <w:r>
        <w:rPr>
          <w:rFonts w:eastAsia="ヒラギノ角ゴ Pro W3"/>
          <w:color w:val="000000"/>
          <w:lang w:val="en-GB" w:eastAsia="en-US"/>
        </w:rPr>
        <w:t xml:space="preserve">experimental dataset. </w:t>
      </w:r>
    </w:p>
    <w:p>
      <w:pPr>
        <w:pStyle w:val="INTesisNormal"/>
        <w:rPr>
          <w:rFonts w:eastAsia="ヒラギノ角ゴ Pro W3"/>
          <w:color w:val="000000"/>
          <w:lang w:val="en-GB" w:eastAsia="en-US"/>
        </w:rPr>
      </w:pPr>
      <w:r>
        <w:rPr>
          <w:rFonts w:eastAsia="ヒラギノ角ゴ Pro W3"/>
          <w:color w:val="000000"/>
          <w:lang w:val="en-GB" w:eastAsia="en-US"/>
        </w:rPr>
        <w:t xml:space="preserve">The closeness of model results to experimental data was assessed based on three control parameters: proportion of cells per layer, clonal size distribution and Spearman correlation (r) values for number of cells in upper versus lower layers.  For each control parameter, we computed a normalized z-score measure by taking the difference between the experimental value and the average value across simulation repeats, and then dividing by the standard deviation across simulation repeats. The control parameter was considered to be consistent when the z-score value was less than 1. </w:t>
      </w:r>
    </w:p>
    <w:p>
      <w:pPr>
        <w:pStyle w:val="INTesisNormal"/>
        <w:rPr>
          <w:rFonts w:eastAsia="ヒラギノ角ゴ Pro W3"/>
          <w:color w:val="000000"/>
          <w:lang w:val="en-GB" w:eastAsia="en-US"/>
        </w:rPr>
      </w:pPr>
      <w:r>
        <w:rPr>
          <w:rFonts w:ascii="Times New Roman" w:hAnsi="Times New Roman"/>
          <w:lang w:val="en-GB" w:eastAsia="en-US"/>
        </w:rPr>
        <w:t xml:space="preserve">To achieve randomly permuted </w:t>
      </w:r>
      <w:r>
        <w:rPr>
          <w:rFonts w:eastAsia="ヒラギノ角ゴ Pro W3"/>
          <w:color w:val="000000"/>
          <w:lang w:val="en-GB" w:eastAsia="en-US"/>
        </w:rPr>
        <w:t xml:space="preserve">cortical lineages, neurons observed in our </w:t>
      </w:r>
      <w:r>
        <w:rPr>
          <w:i/>
          <w:lang w:val="en-GB"/>
        </w:rPr>
        <w:t>Emx1</w:t>
      </w:r>
      <w:r>
        <w:rPr>
          <w:i/>
          <w:vertAlign w:val="superscript"/>
          <w:lang w:val="en-GB"/>
        </w:rPr>
        <w:t>CreER</w:t>
      </w:r>
      <w:r>
        <w:rPr>
          <w:lang w:val="en-GB"/>
        </w:rPr>
        <w:t xml:space="preserve"> ; RCE</w:t>
      </w:r>
      <w:r>
        <w:rPr>
          <w:rFonts w:ascii="Helvetica" w:hAnsi="Helvetica"/>
          <w:lang w:val="en-GB"/>
        </w:rPr>
        <w:t xml:space="preserve"> </w:t>
      </w:r>
      <w:r>
        <w:rPr>
          <w:rFonts w:eastAsia="ヒラギノ角ゴ Pro W3"/>
          <w:color w:val="000000"/>
          <w:lang w:val="en-GB" w:eastAsia="en-US"/>
        </w:rPr>
        <w:t xml:space="preserve">experimental dataset were permuted among lineages while maintaining their laminar identities. This operation was repeated 1000 times, providing average and standard deviation values that were then used to compare with the experimental dataset. </w:t>
      </w:r>
    </w:p>
    <w:p>
      <w:pPr>
        <w:pStyle w:val="INTesisNormal"/>
        <w:rPr>
          <w:rFonts w:ascii="Times New Roman" w:hAnsi="Times New Roman"/>
          <w:lang w:val="en-GB" w:eastAsia="en-US"/>
        </w:rPr>
      </w:pPr>
      <w:r>
        <w:rPr>
          <w:rFonts w:eastAsia="ヒラギノ角ゴ Pro W3"/>
          <w:color w:val="000000"/>
          <w:lang w:val="en-GB" w:eastAsia="en-US"/>
        </w:rPr>
        <w:t>Stochastic models I and II simulated 100 progenitors undergoing cell generation sequentially, following the in vivo inside-out pattern. In each layer</w:t>
      </w:r>
      <w:r>
        <w:rPr>
          <w:rFonts w:eastAsia="ヒラギノ角ゴ Pro W3"/>
          <w:i/>
          <w:color w:val="000000"/>
          <w:lang w:val="en-GB" w:eastAsia="en-US"/>
        </w:rPr>
        <w:t>, in silico</w:t>
      </w:r>
      <w:r>
        <w:rPr>
          <w:rFonts w:eastAsia="ヒラギノ角ゴ Pro W3"/>
          <w:color w:val="000000"/>
          <w:lang w:val="en-GB" w:eastAsia="en-US"/>
        </w:rPr>
        <w:t xml:space="preserve"> progenitors took a number of stochastic decisions for neuron generation; at each decision, a new neuron was generated according to the probability for that layer. Sequential generation of neurons thus used the following parameters. Progenitor capacity was defined as the maximum number of neurons that can be generated by a single progenitor, and had a fixed value of 12 cells, matching the experimentally observed maximum </w:t>
      </w:r>
      <w:r>
        <w:rPr>
          <w:rFonts w:eastAsia="ヒラギノ角ゴ Pro W3"/>
          <w:color w:val="000000"/>
          <w:lang w:val="en-GB"/>
        </w:rPr>
        <w:t>lineage size. Number of opportunities per layer was established as the maximum number of cells found in a particular layer across all experimental lineages observed with all techniques.</w:t>
      </w:r>
      <w:r>
        <w:rPr>
          <w:rFonts w:eastAsia="ヒラギノ角ゴ Pro W3"/>
          <w:color w:val="000000"/>
          <w:lang w:val="en-GB" w:eastAsia="en-US"/>
        </w:rPr>
        <w:t xml:space="preserve"> This parameter corresponds to the number of stochastic decisions available to the progenitor, and reflects the size of the temporal “window” within which a </w:t>
      </w:r>
      <w:r>
        <w:rPr>
          <w:rFonts w:eastAsia="ヒラギノ角ゴ Pro W3"/>
          <w:color w:val="000000"/>
          <w:lang w:val="en-GB"/>
        </w:rPr>
        <w:t xml:space="preserve">progenitor can generate neurons in a given layer. Probability of cell generation, also layer-specific, gave the likelihood that a neuron is actually generated </w:t>
      </w:r>
      <w:r>
        <w:rPr>
          <w:rFonts w:eastAsia="ヒラギノ角ゴ Pro W3"/>
          <w:color w:val="000000"/>
          <w:lang w:val="en-GB" w:eastAsia="en-US"/>
        </w:rPr>
        <w:t>at each decision point</w:t>
      </w:r>
      <w:r>
        <w:rPr>
          <w:rFonts w:eastAsia="ヒラギノ角ゴ Pro W3"/>
          <w:color w:val="000000"/>
          <w:lang w:val="en-GB"/>
        </w:rPr>
        <w:t xml:space="preserve">. </w:t>
      </w:r>
      <w:r>
        <w:rPr>
          <w:rFonts w:eastAsia="ヒラギノ角ゴ Pro W3"/>
          <w:color w:val="000000"/>
          <w:lang w:val="en-GB" w:eastAsia="en-US"/>
        </w:rPr>
        <w:t xml:space="preserve">Simulations were repeated 100 times. Lineages with less than three cells were discarded for analysis.   </w:t>
      </w:r>
    </w:p>
    <w:p>
      <w:pPr>
        <w:pStyle w:val="INTesisNormal"/>
        <w:rPr/>
      </w:pPr>
      <w:r>
        <w:rPr>
          <w:lang w:val="en-GB" w:eastAsia="en-US"/>
        </w:rPr>
        <w:t xml:space="preserve">For each model, the set of laminar division probabilities was adjusted to find the closest possible fit of lineage configurations to experimental data, according to the control parameters. Model I used a unique progenitor, i.e. a single set of laminar division probabilities. </w:t>
      </w:r>
      <w:r>
        <w:rPr>
          <w:rFonts w:eastAsia="ヒラギノ角ゴ Pro W3"/>
          <w:color w:val="000000"/>
          <w:lang w:val="en-GB" w:eastAsia="en-US"/>
        </w:rPr>
        <w:t>Model II incorporated two progenitor populations and was fit by varying both the relative size of the two populations and the values of their division probabilities, including how probabilities varied across layers.</w:t>
      </w:r>
      <w:r>
        <w:rPr>
          <w:lang w:val="en-GB" w:eastAsia="en-US"/>
        </w:rPr>
        <w:t xml:space="preserve"> </w:t>
      </w:r>
    </w:p>
    <w:p>
      <w:pPr>
        <w:pStyle w:val="Normal"/>
        <w:keepNext/>
        <w:numPr>
          <w:ilvl w:val="0"/>
          <w:numId w:val="0"/>
        </w:numPr>
        <w:suppressAutoHyphens w:val="true"/>
        <w:spacing w:lineRule="auto" w:line="480" w:before="240" w:after="120"/>
        <w:outlineLvl w:val="1"/>
        <w:rPr/>
      </w:pPr>
      <w:r>
        <w:rPr>
          <w:rFonts w:eastAsia="ヒラギノ角ゴ Pro W3" w:cs="Arial Unicode MS" w:ascii="Arial" w:hAnsi="Arial"/>
          <w:b/>
          <w:color w:val="984806"/>
          <w:lang w:val="en-US"/>
        </w:rPr>
        <w:t>Bayesian inference of progenitor types</w:t>
      </w:r>
    </w:p>
    <w:p>
      <w:pPr>
        <w:pStyle w:val="INTesisNormal"/>
        <w:rPr/>
      </w:pPr>
      <w:r>
        <w:rPr>
          <w:color w:val="000000"/>
        </w:rPr>
        <w:t xml:space="preserve">In order to perform statistical </w:t>
      </w:r>
      <w:r>
        <w:rPr>
          <w:color w:val="000000"/>
        </w:rPr>
        <w:t xml:space="preserve">inference on the number of </w:t>
      </w:r>
      <w:r>
        <w:rPr>
          <w:color w:val="000000"/>
        </w:rPr>
        <w:t xml:space="preserve">progenitor </w:t>
      </w:r>
      <w:r>
        <w:rPr>
          <w:color w:val="000000"/>
        </w:rPr>
        <w:t>types</w:t>
      </w:r>
      <w:r>
        <w:rPr>
          <w:color w:val="000000"/>
        </w:rPr>
        <w:t xml:space="preserve"> </w:t>
      </w:r>
      <w:r>
        <w:rPr>
          <w:color w:val="000000"/>
        </w:rPr>
        <w:t xml:space="preserve">required to explain the </w:t>
      </w:r>
      <w:r>
        <w:rPr>
          <w:color w:val="000000"/>
        </w:rPr>
        <w:t>distribution of progenitors throughout the cortical layers</w:t>
      </w:r>
      <w:r>
        <w:rPr>
          <w:color w:val="000000"/>
        </w:rPr>
        <w:t>, w</w:t>
      </w:r>
      <w:r>
        <w:rPr>
          <w:color w:val="000000"/>
        </w:rPr>
        <w:t xml:space="preserve">e employed a statistical model </w:t>
      </w:r>
      <w:r>
        <w:rPr>
          <w:color w:val="000000"/>
        </w:rPr>
        <w:t xml:space="preserve">where </w:t>
      </w:r>
      <w:r>
        <w:rPr>
          <w:i/>
          <w:iCs/>
          <w:color w:val="000000"/>
        </w:rPr>
        <w:t xml:space="preserve">N </w:t>
      </w:r>
      <w:r>
        <w:rPr>
          <w:i w:val="false"/>
          <w:iCs w:val="false"/>
          <w:color w:val="000000"/>
        </w:rPr>
        <w:t xml:space="preserve">observed progenitor are grouped in </w:t>
      </w:r>
      <w:r>
        <w:rPr>
          <w:i/>
          <w:iCs/>
          <w:color w:val="000000"/>
        </w:rPr>
        <w:t>K</w:t>
      </w:r>
      <w:r>
        <w:rPr>
          <w:i w:val="false"/>
          <w:iCs w:val="false"/>
          <w:color w:val="000000"/>
        </w:rPr>
        <w:t xml:space="preserve"> progenitor types.</w:t>
      </w:r>
      <w:r>
        <w:rPr>
          <w:color w:val="000000"/>
        </w:rPr>
        <w:t xml:space="preserve"> Each </w:t>
      </w:r>
      <w:r>
        <w:rPr>
          <w:color w:val="000000"/>
        </w:rPr>
        <w:t xml:space="preserve">type </w:t>
      </w:r>
      <w:r>
        <w:rPr>
          <w:i/>
          <w:iCs/>
          <w:color w:val="000000"/>
        </w:rPr>
        <w:t>t</w:t>
      </w:r>
      <w:r>
        <w:rPr>
          <w:i/>
          <w:iCs/>
          <w:color w:val="000000"/>
          <w:vertAlign w:val="subscript"/>
        </w:rPr>
        <w:t>1:K</w:t>
      </w:r>
      <w:r>
        <w:rPr>
          <w:color w:val="000000"/>
        </w:rPr>
        <w:t xml:space="preserve"> is associated to a vector of four probabilities </w:t>
      </w:r>
      <w:r>
        <w:rPr>
          <w:i/>
          <w:iCs/>
          <w:color w:val="000000"/>
        </w:rPr>
        <w:t>p</w:t>
      </w:r>
      <w:r>
        <w:rPr>
          <w:i/>
          <w:iCs/>
          <w:color w:val="000000"/>
          <w:vertAlign w:val="subscript"/>
        </w:rPr>
        <w:t xml:space="preserve">t </w:t>
      </w:r>
      <w:r>
        <w:rPr>
          <w:i/>
          <w:iCs/>
          <w:color w:val="000000"/>
          <w:position w:val="0"/>
          <w:sz w:val="24"/>
          <w:vertAlign w:val="baseline"/>
        </w:rPr>
        <w:t xml:space="preserve">= </w:t>
      </w:r>
      <w:r>
        <w:rPr>
          <w:i w:val="false"/>
          <w:iCs w:val="false"/>
          <w:color w:val="000000"/>
          <w:position w:val="0"/>
          <w:sz w:val="24"/>
          <w:vertAlign w:val="baseline"/>
        </w:rPr>
        <w:t>{</w:t>
      </w:r>
      <w:r>
        <w:rPr>
          <w:i/>
          <w:iCs/>
          <w:color w:val="000000"/>
          <w:position w:val="0"/>
          <w:sz w:val="24"/>
          <w:vertAlign w:val="baseline"/>
        </w:rPr>
        <w:t>p</w:t>
      </w:r>
      <w:r>
        <w:rPr>
          <w:i/>
          <w:iCs/>
          <w:color w:val="000000"/>
          <w:vertAlign w:val="subscript"/>
        </w:rPr>
        <w:t>t</w:t>
      </w:r>
      <w:r>
        <w:rPr>
          <w:i w:val="false"/>
          <w:iCs w:val="false"/>
          <w:color w:val="000000"/>
          <w:vertAlign w:val="superscript"/>
        </w:rPr>
        <w:t>(II/III)</w:t>
      </w:r>
      <w:r>
        <w:rPr>
          <w:i/>
          <w:iCs/>
          <w:color w:val="000000"/>
          <w:position w:val="0"/>
          <w:sz w:val="24"/>
          <w:vertAlign w:val="baseline"/>
        </w:rPr>
        <w:t>, p</w:t>
      </w:r>
      <w:r>
        <w:rPr>
          <w:i/>
          <w:iCs/>
          <w:color w:val="000000"/>
          <w:vertAlign w:val="subscript"/>
        </w:rPr>
        <w:t>t</w:t>
      </w:r>
      <w:r>
        <w:rPr>
          <w:i w:val="false"/>
          <w:iCs w:val="false"/>
          <w:color w:val="000000"/>
          <w:vertAlign w:val="superscript"/>
        </w:rPr>
        <w:t>(IV)</w:t>
      </w:r>
      <w:r>
        <w:rPr>
          <w:i/>
          <w:iCs/>
          <w:color w:val="000000"/>
          <w:position w:val="0"/>
          <w:sz w:val="24"/>
          <w:vertAlign w:val="baseline"/>
        </w:rPr>
        <w:t>, p</w:t>
      </w:r>
      <w:r>
        <w:rPr>
          <w:i/>
          <w:iCs/>
          <w:color w:val="000000"/>
          <w:vertAlign w:val="subscript"/>
        </w:rPr>
        <w:t>t</w:t>
      </w:r>
      <w:r>
        <w:rPr>
          <w:i w:val="false"/>
          <w:iCs w:val="false"/>
          <w:color w:val="000000"/>
          <w:vertAlign w:val="superscript"/>
        </w:rPr>
        <w:t>(V)</w:t>
      </w:r>
      <w:r>
        <w:rPr>
          <w:i/>
          <w:iCs/>
          <w:color w:val="000000"/>
          <w:position w:val="0"/>
          <w:sz w:val="24"/>
          <w:vertAlign w:val="baseline"/>
        </w:rPr>
        <w:t>, p</w:t>
      </w:r>
      <w:r>
        <w:rPr>
          <w:i/>
          <w:iCs/>
          <w:color w:val="000000"/>
          <w:vertAlign w:val="subscript"/>
        </w:rPr>
        <w:t>t</w:t>
      </w:r>
      <w:r>
        <w:rPr>
          <w:i w:val="false"/>
          <w:iCs w:val="false"/>
          <w:color w:val="000000"/>
          <w:vertAlign w:val="superscript"/>
        </w:rPr>
        <w:t>(VI)</w:t>
      </w:r>
      <w:r>
        <w:rPr>
          <w:i w:val="false"/>
          <w:iCs w:val="false"/>
          <w:color w:val="000000"/>
          <w:position w:val="0"/>
          <w:sz w:val="24"/>
          <w:vertAlign w:val="baseline"/>
        </w:rPr>
        <w:t xml:space="preserve">} representing occupancy proportions. </w:t>
      </w:r>
      <w:r>
        <w:rPr>
          <w:i w:val="false"/>
          <w:iCs w:val="false"/>
          <w:color w:val="000000"/>
          <w:position w:val="0"/>
          <w:sz w:val="24"/>
          <w:vertAlign w:val="baseline"/>
        </w:rPr>
        <w:t xml:space="preserve">We assume that each progenitor cell can be assigned to a unique progenitor type based on its occupancy distribution. </w:t>
      </w:r>
      <w:r>
        <w:rPr>
          <w:i w:val="false"/>
          <w:iCs w:val="false"/>
          <w:color w:val="000000"/>
          <w:position w:val="0"/>
          <w:sz w:val="24"/>
          <w:vertAlign w:val="baseline"/>
        </w:rPr>
        <w:t xml:space="preserve">Progenitor types are associated with frequencies </w:t>
      </w:r>
      <w:r>
        <w:rPr>
          <w:i/>
          <w:iCs/>
          <w:color w:val="000000"/>
          <w:position w:val="0"/>
          <w:sz w:val="24"/>
          <w:vertAlign w:val="baseline"/>
        </w:rPr>
        <w:t>f</w:t>
      </w:r>
      <w:r>
        <w:rPr>
          <w:i/>
          <w:iCs/>
          <w:color w:val="000000"/>
          <w:vertAlign w:val="subscript"/>
        </w:rPr>
        <w:t>t</w:t>
      </w:r>
      <w:r>
        <w:rPr>
          <w:i w:val="false"/>
          <w:iCs w:val="false"/>
          <w:color w:val="000000"/>
          <w:position w:val="0"/>
          <w:sz w:val="24"/>
          <w:vertAlign w:val="baseline"/>
        </w:rPr>
        <w:t xml:space="preserve"> , </w:t>
      </w:r>
      <w:r>
        <w:rPr>
          <w:i w:val="false"/>
          <w:iCs w:val="false"/>
          <w:color w:val="000000"/>
          <w:position w:val="0"/>
          <w:sz w:val="24"/>
          <w:vertAlign w:val="baseline"/>
        </w:rPr>
        <w:t xml:space="preserve">reflecting how likely is a progenitor cell to belong to type </w:t>
      </w:r>
      <w:r>
        <w:rPr>
          <w:i/>
          <w:iCs/>
          <w:color w:val="000000"/>
          <w:position w:val="0"/>
          <w:sz w:val="24"/>
          <w:vertAlign w:val="baseline"/>
        </w:rPr>
        <w:t>t.</w:t>
      </w:r>
      <w:r>
        <w:rPr>
          <w:i w:val="false"/>
          <w:iCs w:val="false"/>
          <w:color w:val="000000"/>
          <w:position w:val="0"/>
          <w:sz w:val="24"/>
          <w:vertAlign w:val="baseline"/>
        </w:rPr>
        <w:t xml:space="preserve"> The parameters </w:t>
      </w:r>
      <w:r>
        <w:rPr>
          <w:i/>
          <w:iCs/>
          <w:color w:val="000000"/>
          <w:position w:val="0"/>
          <w:sz w:val="24"/>
          <w:vertAlign w:val="baseline"/>
        </w:rPr>
        <w:t>p</w:t>
      </w:r>
      <w:r>
        <w:rPr>
          <w:i w:val="false"/>
          <w:iCs w:val="false"/>
          <w:color w:val="000000"/>
          <w:position w:val="0"/>
          <w:sz w:val="24"/>
          <w:vertAlign w:val="baseline"/>
        </w:rPr>
        <w:t xml:space="preserve">’s and </w:t>
      </w:r>
      <w:r>
        <w:rPr>
          <w:i/>
          <w:iCs/>
          <w:color w:val="000000"/>
          <w:position w:val="0"/>
          <w:sz w:val="24"/>
          <w:vertAlign w:val="baseline"/>
        </w:rPr>
        <w:t>f</w:t>
      </w:r>
      <w:r>
        <w:rPr>
          <w:i w:val="false"/>
          <w:iCs w:val="false"/>
          <w:color w:val="000000"/>
          <w:position w:val="0"/>
          <w:sz w:val="24"/>
          <w:vertAlign w:val="baseline"/>
        </w:rPr>
        <w:t xml:space="preserve">’s for each type as well as the number of types </w:t>
      </w:r>
      <w:r>
        <w:rPr>
          <w:i/>
          <w:iCs/>
          <w:color w:val="000000"/>
          <w:position w:val="0"/>
          <w:sz w:val="24"/>
          <w:vertAlign w:val="baseline"/>
        </w:rPr>
        <w:t xml:space="preserve">K </w:t>
      </w:r>
      <w:r>
        <w:rPr>
          <w:i w:val="false"/>
          <w:iCs w:val="false"/>
          <w:color w:val="000000"/>
          <w:position w:val="0"/>
          <w:sz w:val="24"/>
          <w:vertAlign w:val="baseline"/>
        </w:rPr>
        <w:t>required can be obtained u</w:t>
      </w:r>
      <w:r>
        <w:rPr>
          <w:i w:val="false"/>
          <w:iCs w:val="false"/>
          <w:color w:val="000000"/>
          <w:position w:val="0"/>
          <w:sz w:val="24"/>
          <w:vertAlign w:val="baseline"/>
        </w:rPr>
        <w:t xml:space="preserve">sing Bayesian inference </w:t>
      </w:r>
      <w:r>
        <w:rPr>
          <w:i w:val="false"/>
          <w:iCs w:val="false"/>
          <w:color w:val="000000"/>
          <w:position w:val="0"/>
          <w:sz w:val="24"/>
          <w:vertAlign w:val="baseline"/>
        </w:rPr>
        <w:t>according to</w:t>
      </w:r>
      <w:r>
        <w:rPr>
          <w:i w:val="false"/>
          <w:iCs w:val="false"/>
          <w:color w:val="000000"/>
          <w:position w:val="0"/>
          <w:sz w:val="24"/>
          <w:vertAlign w:val="baseline"/>
        </w:rPr>
        <w:t xml:space="preserve"> the Bayes’ theorem</w:t>
      </w:r>
    </w:p>
    <w:p>
      <w:pPr>
        <w:pStyle w:val="INTesisNormal"/>
        <w:rPr/>
      </w:pPr>
      <w:r>
        <w:rPr>
          <w:i w:val="false"/>
          <w:iCs w:val="false"/>
          <w:color w:val="000000"/>
          <w:position w:val="0"/>
          <w:sz w:val="24"/>
          <w:vertAlign w:val="baseline"/>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r>
                  <w:rPr>
                    <w:rFonts w:ascii="Cambria Math" w:hAnsi="Cambria Math"/>
                  </w:rPr>
                  <m:t xml:space="preserve">N</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S</m:t>
            </m:r>
          </m:e>
        </m:d>
        <m:r>
          <w:rPr>
            <w:rFonts w:ascii="Cambria Math" w:hAnsi="Cambria Math"/>
          </w:rPr>
          <m:t xml:space="preserve">=</m:t>
        </m:r>
        <m:f>
          <m:num>
            <m:limUpp>
              <m:e>
                <m:groupChr>
                  <m:groupChrPr>
                    <m:chr m:val="⏞"/>
                    <m:pos m:val="top"/>
                    <m:vertJc m:val="bot"/>
                  </m:groupChr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e>
                </m:groupChr>
              </m:e>
              <m:lim>
                <m:r>
                  <w:rPr>
                    <w:rFonts w:ascii="Cambria Math" w:hAnsi="Cambria Math"/>
                  </w:rPr>
                  <m:t xml:space="preserve">likelihood</m:t>
                </m:r>
              </m:lim>
            </m:limUpp>
            <m:r>
              <w:rPr>
                <w:rFonts w:ascii="Cambria Math" w:hAnsi="Cambria Math"/>
              </w:rPr>
              <m:t xml:space="preserve">⋅</m:t>
            </m:r>
            <m:limUpp>
              <m:e>
                <m:groupChr>
                  <m:groupChrPr>
                    <m:chr m:val="⏞"/>
                    <m:pos m:val="top"/>
                    <m:vertJc m:val="bot"/>
                  </m:groupChrPr>
                  <m:e>
                    <m:r>
                      <w:rPr>
                        <w:rFonts w:ascii="Cambria Math" w:hAnsi="Cambria Math"/>
                      </w:rPr>
                      <m:t xml:space="preserve">P</m:t>
                    </m:r>
                    <m:d>
                      <m:dPr>
                        <m:begChr m:val="("/>
                        <m:endChr m:val=")"/>
                      </m:dPr>
                      <m:e>
                        <m:sSub>
                          <m:e>
                            <m:r>
                              <w:rPr>
                                <w:rFonts w:ascii="Cambria Math" w:hAnsi="Cambria Math"/>
                              </w:rPr>
                              <m:t xml:space="preserve">p</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e>
                </m:groupChr>
              </m:e>
              <m:lim>
                <m:r>
                  <w:rPr>
                    <w:rFonts w:ascii="Cambria Math" w:hAnsi="Cambria Math"/>
                  </w:rPr>
                  <m:t xml:space="preserve">prior</m:t>
                </m:r>
              </m:lim>
            </m:limUpp>
          </m:num>
          <m:den>
            <m:limLow>
              <m:e>
                <m:groupChr>
                  <m:groupChrPr>
                    <m:chr m:val="⏟"/>
                    <m:pos m:val="bot"/>
                    <m:vertJc m:val="top"/>
                  </m:groupChrPr>
                  <m:e>
                    <m:r>
                      <w:rPr>
                        <w:rFonts w:ascii="Cambria Math" w:hAnsi="Cambria Math"/>
                      </w:rPr>
                      <m:t xml:space="preserve">P</m:t>
                    </m:r>
                    <m:d>
                      <m:dPr>
                        <m:begChr m:val="("/>
                        <m:endChr m:val=")"/>
                      </m:dPr>
                      <m:e>
                        <m:r>
                          <w:rPr>
                            <w:rFonts w:ascii="Cambria Math" w:hAnsi="Cambria Math"/>
                          </w:rPr>
                          <m:t xml:space="preserve">S</m:t>
                        </m:r>
                      </m:e>
                    </m:d>
                  </m:e>
                </m:groupChr>
              </m:e>
              <m:lim>
                <m:r>
                  <w:rPr>
                    <w:rFonts w:ascii="Cambria Math" w:hAnsi="Cambria Math"/>
                  </w:rPr>
                  <m:t xml:space="preserve">marginal</m:t>
                </m:r>
                <m:r>
                  <w:rPr>
                    <w:rFonts w:ascii="Cambria Math" w:hAnsi="Cambria Math"/>
                  </w:rPr>
                  <m:t xml:space="preserve">likelihood</m:t>
                </m:r>
              </m:lim>
            </m:limLow>
          </m:den>
        </m:f>
      </m:oMath>
    </w:p>
    <w:p>
      <w:pPr>
        <w:pStyle w:val="INTesisNormal"/>
        <w:rPr/>
      </w:pPr>
      <w:r>
        <w:rPr>
          <w:i w:val="false"/>
          <w:iCs w:val="false"/>
          <w:color w:val="000000"/>
          <w:position w:val="0"/>
          <w:sz w:val="24"/>
          <w:vertAlign w:val="baseline"/>
        </w:rPr>
        <w:t xml:space="preserve">where </w:t>
      </w:r>
      <w:r>
        <w:rPr>
          <w:i/>
          <w:iCs/>
          <w:color w:val="000000"/>
          <w:position w:val="0"/>
          <w:sz w:val="24"/>
          <w:vertAlign w:val="baseline"/>
        </w:rPr>
        <w:t>S</w:t>
      </w:r>
      <w:r>
        <w:rPr>
          <w:i w:val="false"/>
          <w:iCs w:val="false"/>
          <w:color w:val="000000"/>
          <w:position w:val="0"/>
          <w:sz w:val="24"/>
          <w:vertAlign w:val="baseline"/>
        </w:rPr>
        <w:t xml:space="preserve"> is the occupancy matrix with </w:t>
      </w:r>
      <w:r>
        <w:rPr>
          <w:i w:val="false"/>
          <w:iCs w:val="false"/>
          <w:color w:val="000000"/>
          <w:position w:val="0"/>
          <w:sz w:val="24"/>
          <w:vertAlign w:val="baseline"/>
        </w:rPr>
        <w:t xml:space="preserve">the elements </w:t>
      </w:r>
      <w:r>
        <w:rPr>
          <w:i/>
          <w:iCs/>
          <w:color w:val="000000"/>
          <w:position w:val="0"/>
          <w:sz w:val="24"/>
          <w:vertAlign w:val="baseline"/>
        </w:rPr>
        <w:t>S</w:t>
      </w:r>
      <w:r>
        <w:rPr>
          <w:i/>
          <w:iCs/>
          <w:color w:val="000000"/>
          <w:vertAlign w:val="subscript"/>
        </w:rPr>
        <w:t>ij</w:t>
      </w:r>
      <w:r>
        <w:rPr>
          <w:i/>
          <w:iCs/>
          <w:color w:val="000000"/>
          <w:position w:val="0"/>
          <w:sz w:val="24"/>
          <w:vertAlign w:val="baseline"/>
        </w:rPr>
        <w:t xml:space="preserve"> </w:t>
      </w:r>
      <w:r>
        <w:rPr>
          <w:i w:val="false"/>
          <w:iCs w:val="false"/>
          <w:color w:val="000000"/>
          <w:position w:val="0"/>
          <w:sz w:val="24"/>
          <w:vertAlign w:val="baseline"/>
        </w:rPr>
        <w:t xml:space="preserve">representing the </w:t>
      </w:r>
      <w:r>
        <w:rPr>
          <w:i w:val="false"/>
          <w:iCs w:val="false"/>
          <w:color w:val="000000"/>
          <w:position w:val="0"/>
          <w:sz w:val="24"/>
          <w:vertAlign w:val="baseline"/>
        </w:rPr>
        <w:t xml:space="preserve">number of  progenitor cells </w:t>
      </w:r>
      <w:r>
        <w:rPr>
          <w:i/>
          <w:iCs/>
          <w:color w:val="000000"/>
          <w:position w:val="0"/>
          <w:sz w:val="24"/>
          <w:vertAlign w:val="baseline"/>
        </w:rPr>
        <w:t>i</w:t>
      </w:r>
      <w:r>
        <w:rPr>
          <w:i w:val="false"/>
          <w:iCs w:val="false"/>
          <w:color w:val="000000"/>
          <w:position w:val="0"/>
          <w:sz w:val="24"/>
          <w:vertAlign w:val="baseline"/>
        </w:rPr>
        <w:t xml:space="preserve"> found in layer </w:t>
      </w:r>
      <w:r>
        <w:rPr>
          <w:i/>
          <w:iCs/>
          <w:color w:val="000000"/>
          <w:position w:val="0"/>
          <w:sz w:val="24"/>
          <w:vertAlign w:val="baseline"/>
        </w:rPr>
        <w:t>j.</w:t>
      </w:r>
      <w:r>
        <w:rPr>
          <w:i w:val="false"/>
          <w:iCs w:val="false"/>
          <w:color w:val="000000"/>
          <w:position w:val="0"/>
          <w:sz w:val="24"/>
          <w:vertAlign w:val="baseline"/>
        </w:rPr>
        <w:t xml:space="preserve"> </w:t>
      </w:r>
      <w:r>
        <w:rPr>
          <w:i/>
          <w:iCs/>
          <w:color w:val="000000"/>
          <w:position w:val="0"/>
          <w:sz w:val="24"/>
          <w:vertAlign w:val="baseline"/>
        </w:rPr>
        <w:t xml:space="preserve"> </w:t>
      </w:r>
      <w:r>
        <w:rPr>
          <w:i w:val="false"/>
          <w:iCs w:val="false"/>
          <w:color w:val="000000"/>
          <w:position w:val="0"/>
          <w:sz w:val="24"/>
          <w:vertAlign w:val="baseline"/>
        </w:rPr>
        <w:t xml:space="preserve">The Bayes’ theorem provides the posterior distribution of the </w:t>
      </w:r>
      <w:r>
        <w:rPr>
          <w:i w:val="false"/>
          <w:iCs w:val="false"/>
          <w:color w:val="000000"/>
          <w:position w:val="0"/>
          <w:sz w:val="24"/>
          <w:vertAlign w:val="baseline"/>
        </w:rPr>
        <w:t xml:space="preserve">model </w:t>
      </w:r>
      <w:r>
        <w:rPr>
          <w:i w:val="false"/>
          <w:iCs w:val="false"/>
          <w:color w:val="000000"/>
          <w:position w:val="0"/>
          <w:sz w:val="24"/>
          <w:vertAlign w:val="baseline"/>
        </w:rPr>
        <w:t xml:space="preserve">parameters </w:t>
      </w:r>
      <w:r>
        <w:rPr>
          <w:i/>
          <w:iCs/>
          <w:color w:val="000000"/>
          <w:position w:val="0"/>
          <w:sz w:val="24"/>
          <w:vertAlign w:val="baseline"/>
        </w:rPr>
        <w:t>p</w:t>
      </w:r>
      <w:r>
        <w:rPr>
          <w:i w:val="false"/>
          <w:iCs w:val="false"/>
          <w:color w:val="000000"/>
          <w:position w:val="0"/>
          <w:sz w:val="24"/>
          <w:vertAlign w:val="baseline"/>
        </w:rPr>
        <w:t xml:space="preserve">’s and </w:t>
      </w:r>
      <w:r>
        <w:rPr>
          <w:i/>
          <w:iCs/>
          <w:color w:val="000000"/>
          <w:position w:val="0"/>
          <w:sz w:val="24"/>
          <w:vertAlign w:val="baseline"/>
        </w:rPr>
        <w:t>f</w:t>
      </w:r>
      <w:r>
        <w:rPr>
          <w:i w:val="false"/>
          <w:iCs w:val="false"/>
          <w:color w:val="000000"/>
          <w:position w:val="0"/>
          <w:sz w:val="24"/>
          <w:vertAlign w:val="baseline"/>
        </w:rPr>
        <w:t xml:space="preserve">’s </w:t>
      </w:r>
      <w:r>
        <w:rPr>
          <w:i w:val="false"/>
          <w:iCs w:val="false"/>
          <w:color w:val="000000"/>
          <w:position w:val="0"/>
          <w:sz w:val="24"/>
          <w:vertAlign w:val="baseline"/>
        </w:rPr>
        <w:t xml:space="preserve">as well as the type of each progenitor </w:t>
      </w:r>
      <w:r>
        <w:rPr>
          <w:i w:val="false"/>
          <w:iCs w:val="false"/>
          <w:color w:val="000000"/>
          <w:position w:val="0"/>
          <w:sz w:val="24"/>
          <w:vertAlign w:val="baseline"/>
        </w:rPr>
        <w:t xml:space="preserve">conditional to the observations. </w:t>
      </w:r>
    </w:p>
    <w:p>
      <w:pPr>
        <w:pStyle w:val="INTesisNormal"/>
        <w:rPr/>
      </w:pPr>
      <w:r>
        <w:rPr>
          <w:i w:val="false"/>
          <w:iCs w:val="false"/>
          <w:color w:val="000000"/>
          <w:position w:val="0"/>
          <w:sz w:val="24"/>
          <w:vertAlign w:val="baseline"/>
        </w:rPr>
        <w:t xml:space="preserve">Our statistical model can be viewed as </w:t>
      </w:r>
      <w:r>
        <w:rPr>
          <w:i w:val="false"/>
          <w:iCs w:val="false"/>
          <w:color w:val="000000"/>
          <w:position w:val="0"/>
          <w:sz w:val="24"/>
          <w:vertAlign w:val="baseline"/>
        </w:rPr>
        <w:t>the following</w:t>
      </w:r>
      <w:r>
        <w:rPr>
          <w:i w:val="false"/>
          <w:iCs w:val="false"/>
          <w:color w:val="000000"/>
          <w:position w:val="0"/>
          <w:sz w:val="24"/>
          <w:vertAlign w:val="baseline"/>
        </w:rPr>
        <w:t xml:space="preserve"> </w:t>
      </w:r>
      <w:r>
        <w:rPr>
          <w:i w:val="false"/>
          <w:iCs w:val="false"/>
          <w:color w:val="000000"/>
          <w:position w:val="0"/>
          <w:sz w:val="24"/>
          <w:vertAlign w:val="baseline"/>
        </w:rPr>
        <w:t xml:space="preserve">two-step </w:t>
      </w:r>
      <w:r>
        <w:rPr>
          <w:i w:val="false"/>
          <w:iCs w:val="false"/>
          <w:color w:val="000000"/>
          <w:position w:val="0"/>
          <w:sz w:val="24"/>
          <w:vertAlign w:val="baseline"/>
        </w:rPr>
        <w:t>generative process:</w:t>
      </w:r>
    </w:p>
    <w:p>
      <w:pPr>
        <w:pStyle w:val="INTesisNormal"/>
        <w:rPr>
          <w:i w:val="false"/>
          <w:i w:val="false"/>
          <w:iCs w:val="false"/>
          <w:color w:val="000000"/>
          <w:position w:val="0"/>
          <w:sz w:val="24"/>
          <w:vertAlign w:val="baseline"/>
        </w:rPr>
      </w:pPr>
      <w:r>
        <w:rPr/>
      </w:r>
    </w:p>
    <w:p>
      <w:pPr>
        <w:pStyle w:val="INTesisNormal"/>
        <w:widowControl/>
        <w:bidi w:val="0"/>
        <w:spacing w:lineRule="auto" w:line="360"/>
        <w:ind w:left="283" w:right="0" w:hanging="0"/>
        <w:jc w:val="both"/>
        <w:rPr/>
      </w:pPr>
      <w:r>
        <w:rPr>
          <w:i w:val="false"/>
          <w:iCs w:val="false"/>
          <w:color w:val="000000"/>
          <w:position w:val="0"/>
          <w:sz w:val="24"/>
          <w:vertAlign w:val="baseline"/>
        </w:rPr>
        <w:t>1.</w:t>
      </w:r>
      <w:r>
        <w:rPr>
          <w:i w:val="false"/>
          <w:iCs w:val="false"/>
          <w:color w:val="000000"/>
          <w:position w:val="0"/>
          <w:sz w:val="24"/>
          <w:vertAlign w:val="baseline"/>
        </w:rPr>
        <w:t xml:space="preserve"> </w:t>
      </w:r>
      <w:r>
        <w:rPr>
          <w:i w:val="false"/>
          <w:iCs w:val="false"/>
          <w:color w:val="000000"/>
          <w:position w:val="0"/>
          <w:sz w:val="24"/>
          <w:vertAlign w:val="baseline"/>
        </w:rPr>
        <w:t xml:space="preserve">Each </w:t>
      </w:r>
      <w:r>
        <w:rPr>
          <w:i w:val="false"/>
          <w:iCs w:val="false"/>
          <w:color w:val="000000"/>
          <w:position w:val="0"/>
          <w:sz w:val="24"/>
          <w:vertAlign w:val="baseline"/>
        </w:rPr>
        <w:t xml:space="preserve">progenitor </w:t>
      </w:r>
      <w:r>
        <w:rPr>
          <w:i/>
          <w:iCs/>
          <w:color w:val="000000"/>
          <w:position w:val="0"/>
          <w:sz w:val="24"/>
          <w:vertAlign w:val="baseline"/>
        </w:rPr>
        <w:t>i</w:t>
      </w:r>
      <w:r>
        <w:rPr>
          <w:i w:val="false"/>
          <w:iCs w:val="false"/>
          <w:color w:val="000000"/>
          <w:position w:val="0"/>
          <w:sz w:val="24"/>
          <w:vertAlign w:val="baseline"/>
        </w:rPr>
        <w:t xml:space="preserve"> </w:t>
      </w:r>
      <w:r>
        <w:rPr>
          <w:i w:val="false"/>
          <w:iCs w:val="false"/>
          <w:color w:val="000000"/>
          <w:position w:val="0"/>
          <w:sz w:val="24"/>
          <w:vertAlign w:val="baseline"/>
        </w:rPr>
        <w:t>is</w:t>
      </w:r>
      <w:r>
        <w:rPr>
          <w:i w:val="false"/>
          <w:iCs w:val="false"/>
          <w:color w:val="000000"/>
          <w:position w:val="0"/>
          <w:sz w:val="24"/>
          <w:vertAlign w:val="baseline"/>
        </w:rPr>
        <w:t xml:space="preserve"> assigned to </w:t>
      </w:r>
      <w:r>
        <w:rPr>
          <w:i w:val="false"/>
          <w:iCs w:val="false"/>
          <w:color w:val="000000"/>
          <w:position w:val="0"/>
          <w:sz w:val="24"/>
          <w:vertAlign w:val="baseline"/>
        </w:rPr>
        <w:t>a</w:t>
      </w:r>
      <w:r>
        <w:rPr>
          <w:i w:val="false"/>
          <w:iCs w:val="false"/>
          <w:color w:val="000000"/>
          <w:position w:val="0"/>
          <w:sz w:val="24"/>
          <w:vertAlign w:val="baseline"/>
        </w:rPr>
        <w:t xml:space="preserve"> </w:t>
      </w:r>
      <w:r>
        <w:rPr>
          <w:i w:val="false"/>
          <w:iCs w:val="false"/>
          <w:color w:val="000000"/>
          <w:position w:val="0"/>
          <w:sz w:val="24"/>
          <w:vertAlign w:val="baseline"/>
        </w:rPr>
        <w:t xml:space="preserve">progenitor </w:t>
      </w:r>
      <w:r>
        <w:rPr>
          <w:i w:val="false"/>
          <w:iCs w:val="false"/>
          <w:color w:val="000000"/>
          <w:position w:val="0"/>
          <w:sz w:val="24"/>
          <w:vertAlign w:val="baseline"/>
        </w:rPr>
        <w:t xml:space="preserve">type </w:t>
      </w:r>
      <w:r>
        <w:rPr>
          <w:i/>
          <w:iCs/>
          <w:color w:val="000000"/>
          <w:position w:val="0"/>
          <w:sz w:val="24"/>
          <w:vertAlign w:val="baseline"/>
        </w:rPr>
        <w:t>t</w:t>
      </w:r>
      <w:r>
        <w:rPr>
          <w:i/>
          <w:iCs/>
          <w:color w:val="000000"/>
          <w:vertAlign w:val="subscript"/>
        </w:rPr>
        <w:t>i</w:t>
      </w:r>
      <w:r>
        <w:rPr>
          <w:i w:val="false"/>
          <w:iCs w:val="false"/>
          <w:color w:val="000000"/>
          <w:position w:val="0"/>
          <w:sz w:val="24"/>
          <w:vertAlign w:val="baseline"/>
        </w:rPr>
        <w:t xml:space="preserve"> drawn independently from  a categorical distribution with frequencies </w:t>
      </w:r>
      <w:r>
        <w:rPr>
          <w:i/>
          <w:iCs/>
          <w:color w:val="000000"/>
          <w:position w:val="0"/>
          <w:sz w:val="24"/>
          <w:vertAlign w:val="baseline"/>
        </w:rPr>
        <w:t>f’</w:t>
      </w:r>
      <w:r>
        <w:rPr>
          <w:i w:val="false"/>
          <w:iCs w:val="false"/>
          <w:color w:val="000000"/>
          <w:position w:val="0"/>
          <w:sz w:val="24"/>
          <w:vertAlign w:val="baseline"/>
        </w:rPr>
        <w:t>s</w:t>
      </w:r>
      <w:r>
        <w:rPr>
          <w:i/>
          <w:iCs/>
          <w:color w:val="000000"/>
          <w:position w:val="0"/>
          <w:sz w:val="24"/>
          <w:vertAlign w:val="baseline"/>
        </w:rPr>
        <w:t>.</w:t>
      </w:r>
    </w:p>
    <w:p>
      <w:pPr>
        <w:pStyle w:val="INTesisNormal"/>
        <w:widowControl/>
        <w:bidi w:val="0"/>
        <w:spacing w:lineRule="auto" w:line="360"/>
        <w:ind w:left="283" w:right="0" w:hanging="0"/>
        <w:jc w:val="both"/>
        <w:rPr/>
      </w:pPr>
      <w:r>
        <w:rPr>
          <w:i/>
          <w:iCs/>
          <w:color w:val="000000"/>
          <w:position w:val="0"/>
          <w:sz w:val="24"/>
          <w:vertAlign w:val="baseline"/>
        </w:rPr>
        <w:t xml:space="preserve">2. </w:t>
      </w:r>
      <w:r>
        <w:rPr>
          <w:i w:val="false"/>
          <w:iCs w:val="false"/>
          <w:color w:val="000000"/>
          <w:position w:val="0"/>
          <w:sz w:val="24"/>
          <w:vertAlign w:val="baseline"/>
        </w:rPr>
        <w:t xml:space="preserve">The occupancy vector </w:t>
      </w:r>
      <w:r>
        <w:rPr>
          <w:i/>
          <w:iCs/>
          <w:color w:val="000000"/>
          <w:position w:val="0"/>
          <w:sz w:val="24"/>
          <w:vertAlign w:val="baseline"/>
        </w:rPr>
        <w:t>S</w:t>
      </w:r>
      <w:r>
        <w:rPr>
          <w:i/>
          <w:iCs/>
          <w:color w:val="000000"/>
          <w:vertAlign w:val="subscript"/>
        </w:rPr>
        <w:t>ij</w:t>
      </w:r>
      <w:r>
        <w:rPr>
          <w:i w:val="false"/>
          <w:iCs w:val="false"/>
          <w:color w:val="000000"/>
          <w:position w:val="0"/>
          <w:sz w:val="24"/>
          <w:vertAlign w:val="baseline"/>
        </w:rPr>
        <w:t xml:space="preserve"> of each progenitor </w:t>
      </w:r>
      <w:r>
        <w:rPr>
          <w:i/>
          <w:iCs/>
          <w:color w:val="000000"/>
          <w:position w:val="0"/>
          <w:sz w:val="24"/>
          <w:vertAlign w:val="baseline"/>
        </w:rPr>
        <w:t>i</w:t>
      </w:r>
      <w:r>
        <w:rPr>
          <w:i w:val="false"/>
          <w:iCs w:val="false"/>
          <w:color w:val="000000"/>
          <w:position w:val="0"/>
          <w:sz w:val="24"/>
          <w:vertAlign w:val="baseline"/>
        </w:rPr>
        <w:t xml:space="preserve"> </w:t>
      </w:r>
      <w:r>
        <w:rPr>
          <w:i w:val="false"/>
          <w:iCs w:val="false"/>
          <w:color w:val="000000"/>
          <w:position w:val="0"/>
          <w:sz w:val="24"/>
          <w:vertAlign w:val="baseline"/>
        </w:rPr>
        <w:t xml:space="preserve">at each layer </w:t>
      </w:r>
      <w:r>
        <w:rPr>
          <w:i/>
          <w:iCs/>
          <w:color w:val="000000"/>
          <w:position w:val="0"/>
          <w:sz w:val="24"/>
          <w:vertAlign w:val="baseline"/>
        </w:rPr>
        <w:t>j</w:t>
      </w:r>
      <w:r>
        <w:rPr>
          <w:i w:val="false"/>
          <w:iCs w:val="false"/>
          <w:color w:val="000000"/>
          <w:position w:val="0"/>
          <w:sz w:val="24"/>
          <w:vertAlign w:val="baseline"/>
        </w:rPr>
        <w:t xml:space="preserve"> </w:t>
      </w:r>
      <w:r>
        <w:rPr>
          <w:i w:val="false"/>
          <w:iCs w:val="false"/>
          <w:color w:val="000000"/>
          <w:position w:val="0"/>
          <w:sz w:val="24"/>
          <w:vertAlign w:val="baseline"/>
        </w:rPr>
        <w:t xml:space="preserve">is drawn from a </w:t>
      </w:r>
      <w:r>
        <w:rPr>
          <w:i w:val="false"/>
          <w:iCs w:val="false"/>
          <w:color w:val="000000"/>
          <w:position w:val="0"/>
          <w:sz w:val="24"/>
          <w:vertAlign w:val="baseline"/>
        </w:rPr>
        <w:t>binomial</w:t>
      </w:r>
      <w:r>
        <w:rPr>
          <w:i w:val="false"/>
          <w:iCs w:val="false"/>
          <w:color w:val="000000"/>
          <w:position w:val="0"/>
          <w:sz w:val="24"/>
          <w:vertAlign w:val="baseline"/>
        </w:rPr>
        <w:t xml:space="preserve"> distribution </w:t>
      </w:r>
      <w:r>
        <w:rPr>
          <w:i w:val="false"/>
          <w:iCs w:val="false"/>
          <w:color w:val="000000"/>
          <w:position w:val="0"/>
          <w:sz w:val="24"/>
          <w:vertAlign w:val="baseline"/>
        </w:rPr>
      </w:r>
      <m:oMath xmlns:m="http://schemas.openxmlformats.org/officeDocument/2006/math">
        <m:r>
          <w:rPr>
            <w:rFonts w:ascii="Cambria Math" w:hAnsi="Cambria Math"/>
          </w:rPr>
          <m:t xml:space="preserve">Binomial</m:t>
        </m:r>
        <m:d>
          <m:dPr>
            <m:begChr m:val="("/>
            <m:endChr m:val=")"/>
          </m:dPr>
          <m:e>
            <m:sSubSup>
              <m:e>
                <m:r>
                  <w:rPr>
                    <w:rFonts w:ascii="Cambria Math" w:hAnsi="Cambria Math"/>
                  </w:rPr>
                  <m:t xml:space="preserve">p</m:t>
                </m:r>
              </m:e>
              <m:sub>
                <m:sSub>
                  <m:e>
                    <m:r>
                      <w:rPr>
                        <w:rFonts w:ascii="Cambria Math" w:hAnsi="Cambria Math"/>
                      </w:rPr>
                      <m:t xml:space="preserve">t</m:t>
                    </m:r>
                  </m:e>
                  <m:sub>
                    <m:r>
                      <w:rPr>
                        <w:rFonts w:ascii="Cambria Math" w:hAnsi="Cambria Math"/>
                      </w:rPr>
                      <m:t xml:space="preserve">i</m:t>
                    </m:r>
                  </m:sub>
                </m:sSub>
              </m:sub>
              <m:sup>
                <m:d>
                  <m:dPr>
                    <m:begChr m:val="("/>
                    <m:endChr m:val=")"/>
                  </m:dPr>
                  <m:e>
                    <m:r>
                      <w:rPr>
                        <w:rFonts w:ascii="Cambria Math" w:hAnsi="Cambria Math"/>
                      </w:rPr>
                      <m:t xml:space="preserve">j</m:t>
                    </m:r>
                  </m:e>
                </m:d>
              </m:sup>
            </m:sSubSup>
            <m:r>
              <w:rPr>
                <w:rFonts w:ascii="Cambria Math" w:hAnsi="Cambria Math"/>
              </w:rPr>
              <m:t xml:space="preserve">;</m:t>
            </m:r>
            <m:sSub>
              <m:e>
                <m:r>
                  <w:rPr>
                    <w:rFonts w:ascii="Cambria Math" w:hAnsi="Cambria Math"/>
                  </w:rPr>
                  <m:t xml:space="preserve">N</m:t>
                </m:r>
              </m:e>
              <m:sub>
                <m:r>
                  <w:rPr>
                    <w:rFonts w:ascii="Cambria Math" w:hAnsi="Cambria Math"/>
                  </w:rPr>
                  <m:t xml:space="preserve">max</m:t>
                </m:r>
              </m:sub>
            </m:sSub>
          </m:e>
        </m:d>
      </m:oMath>
      <w:r>
        <w:rPr>
          <w:i w:val="false"/>
          <w:iCs w:val="false"/>
          <w:color w:val="000000"/>
          <w:position w:val="0"/>
          <w:sz w:val="24"/>
          <w:vertAlign w:val="baseline"/>
        </w:rPr>
        <w:t xml:space="preserve">where </w:t>
      </w:r>
      <w:r>
        <w:rPr>
          <w:i/>
          <w:iCs/>
          <w:color w:val="000000"/>
          <w:position w:val="0"/>
          <w:sz w:val="24"/>
          <w:vertAlign w:val="baseline"/>
        </w:rPr>
        <w:t>N</w:t>
      </w:r>
      <w:r>
        <w:rPr>
          <w:i/>
          <w:iCs/>
          <w:color w:val="000000"/>
          <w:vertAlign w:val="subscript"/>
        </w:rPr>
        <w:t>max</w:t>
      </w:r>
      <w:r>
        <w:rPr>
          <w:i/>
          <w:iCs/>
          <w:color w:val="000000"/>
          <w:position w:val="0"/>
          <w:sz w:val="24"/>
          <w:vertAlign w:val="baseline"/>
        </w:rPr>
        <w:t xml:space="preserve">=20 </w:t>
      </w:r>
      <w:r>
        <w:rPr>
          <w:i w:val="false"/>
          <w:iCs w:val="false"/>
          <w:color w:val="000000"/>
          <w:position w:val="0"/>
          <w:sz w:val="24"/>
          <w:vertAlign w:val="baseline"/>
        </w:rPr>
        <w:t xml:space="preserve">is the maximum number </w:t>
      </w:r>
      <w:r>
        <w:rPr>
          <w:i w:val="false"/>
          <w:iCs w:val="false"/>
          <w:color w:val="000000"/>
          <w:position w:val="0"/>
          <w:sz w:val="24"/>
          <w:vertAlign w:val="baseline"/>
        </w:rPr>
        <w:t>of cells (per progenitor) that can occupy each layer.</w:t>
      </w:r>
    </w:p>
    <w:p>
      <w:pPr>
        <w:pStyle w:val="INTesisNormal"/>
        <w:widowControl/>
        <w:bidi w:val="0"/>
        <w:spacing w:lineRule="auto" w:line="360"/>
        <w:ind w:left="283" w:right="0" w:hanging="0"/>
        <w:jc w:val="both"/>
        <w:rPr>
          <w:i w:val="false"/>
          <w:i w:val="false"/>
          <w:iCs w:val="false"/>
          <w:color w:val="000000"/>
          <w:position w:val="0"/>
          <w:sz w:val="24"/>
          <w:vertAlign w:val="baseline"/>
        </w:rPr>
      </w:pPr>
      <w:r>
        <w:rPr/>
      </w:r>
    </w:p>
    <w:p>
      <w:pPr>
        <w:pStyle w:val="INTesisNormal"/>
        <w:widowControl/>
        <w:bidi w:val="0"/>
        <w:spacing w:lineRule="auto" w:line="360"/>
        <w:ind w:right="0" w:hanging="0"/>
        <w:jc w:val="both"/>
        <w:rPr/>
      </w:pPr>
      <w:r>
        <w:rPr>
          <w:i w:val="false"/>
          <w:iCs w:val="false"/>
          <w:color w:val="000000"/>
          <w:position w:val="0"/>
          <w:sz w:val="24"/>
          <w:vertAlign w:val="baseline"/>
        </w:rPr>
        <w:t>T</w:t>
      </w:r>
      <w:r>
        <w:rPr>
          <w:i w:val="false"/>
          <w:iCs w:val="false"/>
          <w:color w:val="000000"/>
          <w:position w:val="0"/>
          <w:sz w:val="24"/>
          <w:vertAlign w:val="baseline"/>
        </w:rPr>
        <w:t xml:space="preserve">he likelihood of a given configuration </w:t>
      </w:r>
      <w:r>
        <w:rPr>
          <w:i w:val="false"/>
          <w:iCs w:val="false"/>
          <w:color w:val="000000"/>
          <w:position w:val="0"/>
          <w:sz w:val="24"/>
          <w:vertAlign w:val="baseline"/>
        </w:rPr>
      </w:r>
      <m:oMath xmlns:m="http://schemas.openxmlformats.org/officeDocument/2006/math">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S</m:t>
            </m:r>
          </m:e>
        </m:d>
      </m:oMath>
      <w:r>
        <w:rPr>
          <w:i w:val="false"/>
          <w:iCs w:val="false"/>
          <w:color w:val="000000"/>
          <w:position w:val="0"/>
          <w:sz w:val="24"/>
          <w:vertAlign w:val="baseline"/>
        </w:rPr>
        <w:t xml:space="preserve"> </w:t>
      </w:r>
      <w:r>
        <w:rPr>
          <w:i w:val="false"/>
          <w:iCs w:val="false"/>
          <w:color w:val="000000"/>
          <w:position w:val="0"/>
          <w:sz w:val="24"/>
          <w:vertAlign w:val="baseline"/>
        </w:rPr>
        <w:t>reads</w:t>
      </w:r>
    </w:p>
    <w:p>
      <w:pPr>
        <w:pStyle w:val="INTesisNormal"/>
        <w:widowControl/>
        <w:bidi w:val="0"/>
        <w:spacing w:lineRule="auto" w:line="360"/>
        <w:ind w:right="0" w:hanging="0"/>
        <w:jc w:val="both"/>
        <w:rPr/>
      </w:pPr>
      <w:r>
        <w:rPr>
          <w:i w:val="false"/>
          <w:iCs w:val="false"/>
          <w:color w:val="000000"/>
          <w:position w:val="0"/>
          <w:sz w:val="24"/>
          <w:vertAlign w:val="baseline"/>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r>
                  <w:rPr>
                    <w:rFonts w:ascii="Cambria Math" w:hAnsi="Cambria Math"/>
                  </w:rPr>
                  <m:t xml:space="preserve">:</m:t>
                </m:r>
                <m:r>
                  <w:rPr>
                    <w:rFonts w:ascii="Cambria Math" w:hAnsi="Cambria Math"/>
                  </w:rPr>
                  <m:t xml:space="preserve">K</m:t>
                </m:r>
              </m:sub>
            </m:sSub>
          </m:e>
        </m:d>
        <m:r>
          <w:rPr>
            <w:rFonts w:ascii="Cambria Math" w:hAnsi="Cambria Math"/>
          </w:rPr>
          <m:t xml:space="preserve">=</m:t>
        </m:r>
        <m:nary>
          <m:naryPr>
            <m:chr m:val="∏"/>
            <m:subHide m:val="1"/>
            <m:supHide m:val="1"/>
          </m:naryPr>
          <m:sub/>
          <m:sup/>
          <m:e>
            <m:sSubSup>
              <m:e>
                <m:r>
                  <w:rPr>
                    <w:rFonts w:ascii="Cambria Math" w:hAnsi="Cambria Math"/>
                  </w:rPr>
                  <m:t xml:space="preserve">f</m:t>
                </m:r>
              </m:e>
              <m:sub>
                <m:r>
                  <w:rPr>
                    <w:rFonts w:ascii="Cambria Math" w:hAnsi="Cambria Math"/>
                  </w:rPr>
                  <m:t xml:space="preserve">t</m:t>
                </m:r>
              </m:sub>
              <m:sup>
                <m:sSub>
                  <m:e>
                    <m:r>
                      <w:rPr>
                        <w:rFonts w:ascii="Cambria Math" w:hAnsi="Cambria Math"/>
                      </w:rPr>
                      <m:t xml:space="preserve">n</m:t>
                    </m:r>
                  </m:e>
                  <m:sub>
                    <m:r>
                      <w:rPr>
                        <w:rFonts w:ascii="Cambria Math" w:hAnsi="Cambria Math"/>
                      </w:rPr>
                      <m:t xml:space="preserve">t</m:t>
                    </m:r>
                  </m:sub>
                </m:sSub>
              </m:sup>
            </m:sSubSup>
          </m:e>
        </m:nary>
        <m:nary>
          <m:naryPr>
            <m:chr m:val="∏"/>
            <m:subHide m:val="1"/>
            <m:supHide m:val="1"/>
          </m:naryPr>
          <m:sub/>
          <m:sup/>
          <m:e>
            <m:sSubSup>
              <m:e>
                <m:r>
                  <w:rPr>
                    <w:rFonts w:ascii="Cambria Math" w:hAnsi="Cambria Math"/>
                  </w:rPr>
                  <m:t xml:space="preserve">p</m:t>
                </m:r>
              </m:e>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S</m:t>
                    </m:r>
                  </m:e>
                  <m:sub>
                    <m:r>
                      <w:rPr>
                        <w:rFonts w:ascii="Cambria Math" w:hAnsi="Cambria Math"/>
                      </w:rPr>
                      <m:t xml:space="preserve">ij</m:t>
                    </m:r>
                  </m:sub>
                </m:sSub>
              </m:sup>
            </m:sSubSup>
          </m:e>
        </m:nary>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p</m:t>
                </m:r>
              </m:e>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N</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ij</m:t>
                    </m:r>
                  </m:sub>
                </m:sSub>
              </m:sup>
            </m:sSubSup>
          </m:e>
        </m:d>
      </m:oMath>
      <w:r>
        <w:rPr>
          <w:i w:val="false"/>
          <w:iCs w:val="false"/>
          <w:color w:val="000000"/>
          <w:position w:val="0"/>
          <w:sz w:val="24"/>
          <w:vertAlign w:val="baseline"/>
        </w:rPr>
        <w:t>.</w:t>
      </w:r>
    </w:p>
    <w:p>
      <w:pPr>
        <w:pStyle w:val="INTesisNormal"/>
        <w:widowControl/>
        <w:bidi w:val="0"/>
        <w:spacing w:lineRule="auto" w:line="360"/>
        <w:ind w:right="0" w:hanging="0"/>
        <w:jc w:val="both"/>
        <w:rPr/>
      </w:pPr>
      <w:r>
        <w:rPr>
          <w:i w:val="false"/>
          <w:iCs w:val="false"/>
          <w:color w:val="000000"/>
          <w:position w:val="0"/>
          <w:sz w:val="24"/>
          <w:vertAlign w:val="baseline"/>
        </w:rPr>
        <w:t xml:space="preserve">To perform Bayesian inference, </w:t>
      </w:r>
      <w:r>
        <w:rPr>
          <w:i w:val="false"/>
          <w:iCs w:val="false"/>
          <w:color w:val="000000"/>
          <w:position w:val="0"/>
          <w:sz w:val="24"/>
          <w:vertAlign w:val="baseline"/>
        </w:rPr>
        <w:t>we have choosen a Dirichlet prior distribution</w:t>
      </w:r>
      <w:r>
        <w:rPr>
          <w:i w:val="false"/>
          <w:iCs w:val="false"/>
          <w:color w:val="000000"/>
          <w:position w:val="0"/>
          <w:sz w:val="24"/>
          <w:vertAlign w:val="baseline"/>
        </w:rPr>
        <w:t xml:space="preserve"> on </w:t>
      </w:r>
      <w:r>
        <w:rPr>
          <w:i w:val="false"/>
          <w:iCs w:val="false"/>
          <w:color w:val="000000"/>
          <w:position w:val="0"/>
          <w:sz w:val="24"/>
          <w:vertAlign w:val="baseline"/>
        </w:rPr>
        <w:t xml:space="preserve">the </w:t>
      </w:r>
      <w:r>
        <w:rPr>
          <w:i w:val="false"/>
          <w:iCs w:val="false"/>
          <w:color w:val="000000"/>
          <w:position w:val="0"/>
          <w:sz w:val="24"/>
          <w:vertAlign w:val="baseline"/>
        </w:rPr>
        <w:t xml:space="preserve">type frequencies </w:t>
      </w:r>
      <w:r>
        <w:rPr>
          <w:i/>
          <w:iCs/>
          <w:color w:val="000000"/>
          <w:position w:val="0"/>
          <w:sz w:val="24"/>
          <w:vertAlign w:val="baseline"/>
        </w:rPr>
        <w:t>f</w:t>
      </w:r>
      <w:r>
        <w:rPr>
          <w:i/>
          <w:iCs/>
          <w:color w:val="000000"/>
          <w:vertAlign w:val="subscript"/>
        </w:rPr>
        <w:t>1:K</w:t>
      </w:r>
      <w:r>
        <w:rPr>
          <w:i/>
          <w:iCs/>
          <w:color w:val="000000"/>
          <w:vertAlign w:val="subscript"/>
        </w:rPr>
        <w:t xml:space="preserve"> </w:t>
      </w:r>
      <w:r>
        <w:rPr>
          <w:i w:val="false"/>
          <w:iCs w:val="false"/>
          <w:color w:val="000000"/>
          <w:position w:val="0"/>
          <w:sz w:val="24"/>
          <w:vertAlign w:val="baseline"/>
        </w:rPr>
        <w:t xml:space="preserve">and </w:t>
      </w:r>
      <w:r>
        <w:rPr>
          <w:i w:val="false"/>
          <w:iCs w:val="false"/>
          <w:color w:val="000000"/>
          <w:position w:val="0"/>
          <w:sz w:val="24"/>
          <w:vertAlign w:val="baseline"/>
        </w:rPr>
        <w:t xml:space="preserve">Beta distributions as priors on the occupancy probabilities </w:t>
      </w:r>
      <w:r>
        <w:rPr>
          <w:i/>
          <w:iCs/>
          <w:color w:val="000000"/>
          <w:position w:val="0"/>
          <w:sz w:val="24"/>
          <w:vertAlign w:val="baseline"/>
        </w:rPr>
        <w:t>p</w:t>
      </w:r>
      <w:r>
        <w:rPr>
          <w:i/>
          <w:iCs/>
          <w:color w:val="000000"/>
          <w:vertAlign w:val="subscript"/>
        </w:rPr>
        <w:t>1:K</w:t>
      </w:r>
      <w:r>
        <w:rPr>
          <w:i w:val="false"/>
          <w:iCs w:val="false"/>
          <w:color w:val="000000"/>
          <w:position w:val="0"/>
          <w:sz w:val="24"/>
          <w:vertAlign w:val="baseline"/>
        </w:rPr>
        <w:t xml:space="preserve">. </w:t>
      </w:r>
      <w:r>
        <w:rPr>
          <w:i w:val="false"/>
          <w:iCs w:val="false"/>
          <w:color w:val="000000"/>
          <w:position w:val="0"/>
          <w:sz w:val="24"/>
          <w:vertAlign w:val="baseline"/>
        </w:rPr>
        <w:t xml:space="preserve">To draw samples of model parameters and progenitor types from the posterior distribution we have implemented a Gibbs sampler (custom code written in C++ available upon request) which combines data likelihood and prior distributions to explore the parameter space efficiently. Within the Montecarlo sampler we have also allowed bidirectional transitions (increase or decrease) in the number of progenitor types controlled by a Metropolis-Hastings acceptance rule based on likelihood ratios between different number of types. </w:t>
      </w:r>
    </w:p>
    <w:p>
      <w:pPr>
        <w:pStyle w:val="INTesisNormal"/>
        <w:rPr>
          <w:i w:val="false"/>
          <w:i w:val="false"/>
          <w:iCs w:val="false"/>
          <w:color w:val="000000"/>
          <w:position w:val="0"/>
          <w:sz w:val="24"/>
          <w:vertAlign w:val="baseline"/>
        </w:rPr>
      </w:pPr>
      <w:r>
        <w:rPr/>
      </w:r>
    </w:p>
    <w:p>
      <w:pPr>
        <w:pStyle w:val="INTesisNormal"/>
        <w:rPr>
          <w:i w:val="false"/>
          <w:i w:val="false"/>
          <w:iCs w:val="false"/>
          <w:color w:val="000000"/>
          <w:position w:val="0"/>
          <w:sz w:val="24"/>
          <w:vertAlign w:val="baseline"/>
        </w:rPr>
      </w:pPr>
      <w:r>
        <w:rPr/>
      </w:r>
    </w:p>
    <w:p>
      <w:pPr>
        <w:pStyle w:val="Normal"/>
        <w:numPr>
          <w:ilvl w:val="0"/>
          <w:numId w:val="0"/>
        </w:numPr>
        <w:suppressAutoHyphens w:val="true"/>
        <w:spacing w:lineRule="auto" w:line="480" w:before="240" w:after="120"/>
        <w:outlineLvl w:val="1"/>
        <w:rPr>
          <w:b/>
          <w:b/>
          <w:color w:val="984806"/>
        </w:rPr>
      </w:pPr>
      <w:r>
        <w:rPr>
          <w:rFonts w:eastAsia="Times New Roman" w:cs="Times New Roman" w:ascii="Times" w:hAnsi="Times"/>
          <w:lang w:val="en-GB" w:eastAsia="en-US"/>
        </w:rPr>
      </w:r>
    </w:p>
    <w:p>
      <w:pPr>
        <w:pStyle w:val="INTesisNormal"/>
        <w:rPr>
          <w:lang w:val="en-GB" w:eastAsia="en-US"/>
        </w:rPr>
      </w:pPr>
      <w:r>
        <w:rPr>
          <w:lang w:val="en-GB" w:eastAsia="en-US"/>
        </w:rPr>
        <w:t xml:space="preserve"> </w:t>
      </w:r>
    </w:p>
    <w:p>
      <w:pPr>
        <w:pStyle w:val="INTesisNormal"/>
        <w:rPr>
          <w:lang w:val="en-GB" w:eastAsia="en-US"/>
        </w:rPr>
      </w:pPr>
      <w:r>
        <w:rPr>
          <w:lang w:val="en-GB" w:eastAsia="en-US"/>
        </w:rPr>
      </w:r>
    </w:p>
    <w:p>
      <w:pPr>
        <w:pStyle w:val="INTesisNormal"/>
        <w:rPr>
          <w:lang w:val="en-GB" w:eastAsia="en-US"/>
        </w:rPr>
      </w:pPr>
      <w:r>
        <w:rPr>
          <w:lang w:val="en-GB" w:eastAsia="en-US"/>
        </w:rPr>
        <w:t>All modelling of progenitor behaviour was performed using Matlab (Mathworks).</w:t>
      </w:r>
    </w:p>
    <w:p>
      <w:pPr>
        <w:pStyle w:val="INTesisNormal"/>
        <w:rPr>
          <w:lang w:val="en-GB" w:eastAsia="en-US"/>
        </w:rPr>
      </w:pPr>
      <w:r>
        <w:rPr>
          <w:lang w:val="en-GB" w:eastAsia="en-US"/>
        </w:rPr>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US"/>
        </w:rPr>
      </w:pPr>
      <w:r>
        <w:rPr>
          <w:rFonts w:eastAsia="ヒラギノ角ゴ Pro W3" w:cs="Arial Unicode MS" w:ascii="Arial" w:hAnsi="Arial"/>
          <w:b/>
          <w:color w:val="984806"/>
          <w:lang w:val="en-US"/>
        </w:rPr>
        <w:t>QUANTIFICATION AND STATISTICAL ANALYSIS</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GB"/>
        </w:rPr>
      </w:pPr>
      <w:r>
        <w:rPr>
          <w:rFonts w:eastAsia="ヒラギノ角ゴ Pro W3" w:cs="Arial Unicode MS" w:ascii="Arial" w:hAnsi="Arial"/>
          <w:b/>
          <w:color w:val="984806"/>
          <w:lang w:val="en-GB"/>
        </w:rPr>
        <w:t>Quantification of cell distribution and clonal spatial configuration</w:t>
      </w:r>
    </w:p>
    <w:p>
      <w:pPr>
        <w:pStyle w:val="Normal"/>
        <w:keepNext/>
        <w:numPr>
          <w:ilvl w:val="0"/>
          <w:numId w:val="0"/>
        </w:numPr>
        <w:suppressAutoHyphens w:val="true"/>
        <w:spacing w:lineRule="auto" w:line="480" w:before="240" w:after="120"/>
        <w:outlineLvl w:val="1"/>
        <w:rPr/>
      </w:pPr>
      <w:r>
        <w:rPr>
          <w:rFonts w:eastAsia="ヒラギノ角ゴ Pro W3" w:cs="Times New Roman" w:ascii="Times" w:hAnsi="Times"/>
          <w:color w:val="000000"/>
          <w:lang w:val="en-GB"/>
        </w:rPr>
        <w:t xml:space="preserve">In all the experiments, brain sections were sequentially analysed in rostral-to-caudal order and Pyramidal cell clones throughout the entire neocortex were identified as sparse, spatially separated cell clusters. The boundaries between cortical layers were traced based on nuclear (DAPI) staining and the laminar position of each cell was recorded accordingly. Pyramidal cell clones were classified as translaminar, infragranular and supragranular clones according to the laminar position of the neurons belonging to each clone. Cortical areas were identified based on the reference atlas of adult mouse brain (Allen Brain Atlas; </w:t>
      </w:r>
      <w:hyperlink r:id="rId3">
        <w:r>
          <w:rPr>
            <w:rStyle w:val="InternetLink"/>
            <w:rFonts w:eastAsia="ヒラギノ角ゴ Pro W3" w:cs="Times New Roman" w:ascii="Times" w:hAnsi="Times"/>
            <w:lang w:val="en-GB"/>
          </w:rPr>
          <w:t>http://www.brain-map.org</w:t>
        </w:r>
      </w:hyperlink>
      <w:r>
        <w:rPr>
          <w:rFonts w:eastAsia="ヒラギノ角ゴ Pro W3" w:cs="Times New Roman" w:ascii="Times" w:hAnsi="Times"/>
          <w:color w:val="000000"/>
          <w:lang w:val="en-GB"/>
        </w:rPr>
        <w:t xml:space="preserve">).  In </w:t>
      </w:r>
      <w:r>
        <w:rPr>
          <w:rFonts w:ascii="Times" w:hAnsi="Times"/>
          <w:i/>
          <w:lang w:val="en-GB"/>
        </w:rPr>
        <w:t>Emx1</w:t>
      </w:r>
      <w:r>
        <w:rPr>
          <w:rFonts w:ascii="Times" w:hAnsi="Times"/>
          <w:i/>
          <w:vertAlign w:val="superscript"/>
          <w:lang w:val="en-GB"/>
        </w:rPr>
        <w:t>CreER</w:t>
      </w:r>
      <w:r>
        <w:rPr>
          <w:rFonts w:ascii="Times" w:hAnsi="Times"/>
          <w:lang w:val="en-GB"/>
        </w:rPr>
        <w:t xml:space="preserve"> ;</w:t>
      </w:r>
      <w:r>
        <w:rPr>
          <w:rFonts w:eastAsia="ヒラギノ角ゴ Pro W3" w:cs="Times New Roman" w:ascii="Times" w:hAnsi="Times"/>
          <w:color w:val="000000"/>
          <w:lang w:val="en-GB"/>
        </w:rPr>
        <w:t xml:space="preserve">MADM experiments, lineages derived form symmetric divisions (defined as lineages with three or more cells expressing each reporter) were excluded. In the </w:t>
      </w:r>
      <w:r>
        <w:rPr>
          <w:rFonts w:ascii="Times" w:hAnsi="Times"/>
          <w:i/>
          <w:lang w:val="en-GB"/>
        </w:rPr>
        <w:t>Emx1</w:t>
      </w:r>
      <w:r>
        <w:rPr>
          <w:rFonts w:ascii="Times" w:hAnsi="Times"/>
          <w:i/>
          <w:vertAlign w:val="superscript"/>
          <w:lang w:val="en-GB"/>
        </w:rPr>
        <w:t>CreER</w:t>
      </w:r>
      <w:r>
        <w:rPr>
          <w:rFonts w:ascii="Times" w:hAnsi="Times"/>
          <w:lang w:val="en-GB"/>
        </w:rPr>
        <w:t xml:space="preserve"> ; RCE experiments, lineages derives from symmetric divisions (defined as lineages containing more than twelve neurons) were excluded., Lineages containing one or two cells where also excluded in the </w:t>
      </w:r>
      <w:r>
        <w:rPr>
          <w:rFonts w:ascii="Times" w:hAnsi="Times"/>
          <w:i/>
          <w:lang w:val="en-GB"/>
        </w:rPr>
        <w:t>Emx1</w:t>
      </w:r>
      <w:r>
        <w:rPr>
          <w:rFonts w:ascii="Times" w:hAnsi="Times"/>
          <w:i/>
          <w:vertAlign w:val="superscript"/>
          <w:lang w:val="en-GB"/>
        </w:rPr>
        <w:t>CreER</w:t>
      </w:r>
      <w:r>
        <w:rPr>
          <w:rFonts w:ascii="Times" w:hAnsi="Times"/>
          <w:lang w:val="en-GB"/>
        </w:rPr>
        <w:t xml:space="preserve"> ;MADM and </w:t>
      </w:r>
      <w:r>
        <w:rPr>
          <w:rFonts w:ascii="Times" w:hAnsi="Times"/>
          <w:i/>
          <w:lang w:val="en-GB"/>
        </w:rPr>
        <w:t>Emx1</w:t>
      </w:r>
      <w:r>
        <w:rPr>
          <w:rFonts w:ascii="Times" w:hAnsi="Times"/>
          <w:i/>
          <w:vertAlign w:val="superscript"/>
          <w:lang w:val="en-GB"/>
        </w:rPr>
        <w:t>CreER</w:t>
      </w:r>
      <w:r>
        <w:rPr>
          <w:rFonts w:ascii="Times" w:hAnsi="Times"/>
          <w:lang w:val="en-GB"/>
        </w:rPr>
        <w:t xml:space="preserve"> ; RCE experiments. </w:t>
      </w:r>
    </w:p>
    <w:p>
      <w:pPr>
        <w:pStyle w:val="Normal"/>
        <w:keepNext/>
        <w:numPr>
          <w:ilvl w:val="0"/>
          <w:numId w:val="0"/>
        </w:numPr>
        <w:suppressAutoHyphens w:val="true"/>
        <w:spacing w:lineRule="auto" w:line="480" w:before="240" w:after="120"/>
        <w:outlineLvl w:val="1"/>
        <w:rPr>
          <w:rFonts w:ascii="Arial" w:hAnsi="Arial" w:eastAsia="ヒラギノ角ゴ Pro W3" w:cs="Arial"/>
          <w:b/>
          <w:b/>
          <w:color w:val="984806"/>
          <w:lang w:val="en-GB"/>
        </w:rPr>
      </w:pPr>
      <w:r>
        <w:rPr>
          <w:rFonts w:eastAsia="ヒラギノ角ゴ Pro W3" w:cs="Arial" w:ascii="Arial" w:hAnsi="Arial"/>
          <w:b/>
          <w:color w:val="984806"/>
          <w:lang w:val="en-GB"/>
        </w:rPr>
        <w:t>Molecular classification of Pyramidal neuron subtypes</w:t>
      </w:r>
    </w:p>
    <w:p>
      <w:pPr>
        <w:pStyle w:val="Normal"/>
        <w:keepNext/>
        <w:numPr>
          <w:ilvl w:val="0"/>
          <w:numId w:val="0"/>
        </w:numPr>
        <w:suppressAutoHyphens w:val="true"/>
        <w:spacing w:lineRule="auto" w:line="480" w:before="240" w:after="120"/>
        <w:outlineLvl w:val="1"/>
        <w:rPr>
          <w:rFonts w:ascii="Times" w:hAnsi="Times" w:eastAsia="ヒラギノ角ゴ Pro W3" w:cs="Arial"/>
          <w:lang w:val="en-GB"/>
        </w:rPr>
      </w:pPr>
      <w:r>
        <w:rPr>
          <w:rFonts w:eastAsia="ヒラギノ角ゴ Pro W3" w:cs="Arial" w:ascii="Times" w:hAnsi="Times"/>
          <w:lang w:val="en-GB"/>
        </w:rPr>
        <w:t>Brain sections were stained for markers of cortical projection neuron identity and classified based on the relative expression of the transcription factors Ctip2 and Satb2 in four main subtypes:  Cortico-cortical (CCPN), Sub-cerebral (SCPN), CorticoThalamic (CthPN) and XXX (HPN) Projection neurons. Images were captured using a confocal microscope and analysed using a custom algorithm written in Matlab (Mathworks). In brief, cell nuclei were segmented using the disk morphological function based on size and thresholds of fluorescence intensity over background. Cells were categorized as expressing high or low levels of the transcription factors Ctip2 and Satb2 and further subclassified as CCPN (Ctip2</w:t>
      </w:r>
      <w:r>
        <w:rPr>
          <w:rFonts w:eastAsia="ヒラギノ角ゴ Pro W3" w:cs="Arial" w:ascii="Times" w:hAnsi="Times"/>
          <w:vertAlign w:val="superscript"/>
          <w:lang w:val="en-GB"/>
        </w:rPr>
        <w:t>Low</w:t>
      </w:r>
      <w:r>
        <w:rPr>
          <w:rFonts w:eastAsia="ヒラギノ角ゴ Pro W3" w:cs="Arial" w:ascii="Times" w:hAnsi="Times"/>
          <w:lang w:val="en-GB"/>
        </w:rPr>
        <w:t xml:space="preserve"> / Satb2</w:t>
      </w:r>
      <w:r>
        <w:rPr>
          <w:rFonts w:eastAsia="ヒラギノ角ゴ Pro W3" w:cs="Arial" w:ascii="Times" w:hAnsi="Times"/>
          <w:vertAlign w:val="superscript"/>
          <w:lang w:val="en-GB"/>
        </w:rPr>
        <w:t>High</w:t>
      </w:r>
      <w:r>
        <w:rPr>
          <w:rFonts w:eastAsia="ヒラギノ角ゴ Pro W3" w:cs="Arial" w:ascii="Times" w:hAnsi="Times"/>
          <w:lang w:val="en-GB"/>
        </w:rPr>
        <w:t>), SCPN (Ctip2</w:t>
      </w:r>
      <w:r>
        <w:rPr>
          <w:rFonts w:eastAsia="ヒラギノ角ゴ Pro W3" w:cs="Arial" w:ascii="Times" w:hAnsi="Times"/>
          <w:vertAlign w:val="superscript"/>
          <w:lang w:val="en-GB"/>
        </w:rPr>
        <w:t>High</w:t>
      </w:r>
      <w:r>
        <w:rPr>
          <w:rFonts w:eastAsia="ヒラギノ角ゴ Pro W3" w:cs="Arial" w:ascii="Times" w:hAnsi="Times"/>
          <w:lang w:val="en-GB"/>
        </w:rPr>
        <w:t xml:space="preserve"> / Satb2</w:t>
      </w:r>
      <w:r>
        <w:rPr>
          <w:rFonts w:eastAsia="ヒラギノ角ゴ Pro W3" w:cs="Arial" w:ascii="Times" w:hAnsi="Times"/>
          <w:vertAlign w:val="superscript"/>
          <w:lang w:val="en-GB"/>
        </w:rPr>
        <w:t>Low</w:t>
      </w:r>
      <w:r>
        <w:rPr>
          <w:rFonts w:eastAsia="ヒラギノ角ゴ Pro W3" w:cs="Arial" w:ascii="Times" w:hAnsi="Times"/>
          <w:lang w:val="en-GB"/>
        </w:rPr>
        <w:t>) or HPN (Ctip2</w:t>
      </w:r>
      <w:r>
        <w:rPr>
          <w:rFonts w:eastAsia="ヒラギノ角ゴ Pro W3" w:cs="Arial" w:ascii="Times" w:hAnsi="Times"/>
          <w:vertAlign w:val="superscript"/>
          <w:lang w:val="en-GB"/>
        </w:rPr>
        <w:t>High</w:t>
      </w:r>
      <w:r>
        <w:rPr>
          <w:rFonts w:eastAsia="ヒラギノ角ゴ Pro W3" w:cs="Arial" w:ascii="Times" w:hAnsi="Times"/>
          <w:lang w:val="en-GB"/>
        </w:rPr>
        <w:t xml:space="preserve"> / Satb2</w:t>
      </w:r>
      <w:r>
        <w:rPr>
          <w:rFonts w:eastAsia="ヒラギノ角ゴ Pro W3" w:cs="Arial" w:ascii="Times" w:hAnsi="Times"/>
          <w:vertAlign w:val="superscript"/>
          <w:lang w:val="en-GB"/>
        </w:rPr>
        <w:t>High</w:t>
      </w:r>
      <w:r>
        <w:rPr>
          <w:rFonts w:eastAsia="ヒラギノ角ゴ Pro W3" w:cs="Arial" w:ascii="Times" w:hAnsi="Times"/>
          <w:lang w:val="en-GB"/>
        </w:rPr>
        <w:t>), based on the combination of marker expression. To distinguish between CThPN from CCPN in layer VI we used the following criteria: CCPN (Ctip2</w:t>
      </w:r>
      <w:r>
        <w:rPr>
          <w:rFonts w:eastAsia="ヒラギノ角ゴ Pro W3" w:cs="Arial" w:ascii="Times" w:hAnsi="Times"/>
          <w:vertAlign w:val="superscript"/>
          <w:lang w:val="en-GB"/>
        </w:rPr>
        <w:t>Low</w:t>
      </w:r>
      <w:r>
        <w:rPr>
          <w:rFonts w:eastAsia="ヒラギノ角ゴ Pro W3" w:cs="Arial" w:ascii="Times" w:hAnsi="Times"/>
          <w:lang w:val="en-GB"/>
        </w:rPr>
        <w:t xml:space="preserve"> / Satb2</w:t>
      </w:r>
      <w:r>
        <w:rPr>
          <w:rFonts w:eastAsia="ヒラギノ角ゴ Pro W3" w:cs="Arial" w:ascii="Times" w:hAnsi="Times"/>
          <w:vertAlign w:val="superscript"/>
          <w:lang w:val="en-GB"/>
        </w:rPr>
        <w:t>High</w:t>
      </w:r>
      <w:r>
        <w:rPr>
          <w:rFonts w:eastAsia="ヒラギノ角ゴ Pro W3" w:cs="Arial" w:ascii="Times" w:hAnsi="Times"/>
          <w:lang w:val="en-GB"/>
        </w:rPr>
        <w:t xml:space="preserve"> OR Ctip2</w:t>
      </w:r>
      <w:r>
        <w:rPr>
          <w:rFonts w:eastAsia="ヒラギノ角ゴ Pro W3" w:cs="Arial" w:ascii="Times" w:hAnsi="Times"/>
          <w:vertAlign w:val="superscript"/>
          <w:lang w:val="en-GB"/>
        </w:rPr>
        <w:t>Low</w:t>
      </w:r>
      <w:r>
        <w:rPr>
          <w:rFonts w:eastAsia="ヒラギノ角ゴ Pro W3" w:cs="Arial" w:ascii="Times" w:hAnsi="Times"/>
          <w:lang w:val="en-GB"/>
        </w:rPr>
        <w:t xml:space="preserve"> / Satb2</w:t>
      </w:r>
      <w:r>
        <w:rPr>
          <w:rFonts w:eastAsia="ヒラギノ角ゴ Pro W3" w:cs="Arial" w:ascii="Times" w:hAnsi="Times"/>
          <w:vertAlign w:val="superscript"/>
          <w:lang w:val="en-GB"/>
        </w:rPr>
        <w:t>Low</w:t>
      </w:r>
      <w:r>
        <w:rPr>
          <w:rFonts w:eastAsia="ヒラギノ角ゴ Pro W3" w:cs="Arial" w:ascii="Times" w:hAnsi="Times"/>
          <w:lang w:val="en-GB"/>
        </w:rPr>
        <w:t>) or CThPN (Ctip2</w:t>
      </w:r>
      <w:r>
        <w:rPr>
          <w:rFonts w:eastAsia="ヒラギノ角ゴ Pro W3" w:cs="Arial" w:ascii="Times" w:hAnsi="Times"/>
          <w:vertAlign w:val="superscript"/>
          <w:lang w:val="en-GB"/>
        </w:rPr>
        <w:t>High</w:t>
      </w:r>
      <w:r>
        <w:rPr>
          <w:rFonts w:eastAsia="ヒラギノ角ゴ Pro W3" w:cs="Arial" w:ascii="Times" w:hAnsi="Times"/>
          <w:lang w:val="en-GB"/>
        </w:rPr>
        <w:t xml:space="preserve"> / Satb2</w:t>
      </w:r>
      <w:r>
        <w:rPr>
          <w:rFonts w:eastAsia="ヒラギノ角ゴ Pro W3" w:cs="Arial" w:ascii="Times" w:hAnsi="Times"/>
          <w:vertAlign w:val="superscript"/>
          <w:lang w:val="en-GB"/>
        </w:rPr>
        <w:t>Low</w:t>
      </w:r>
      <w:r>
        <w:rPr>
          <w:rFonts w:eastAsia="ヒラギノ角ゴ Pro W3" w:cs="Arial" w:ascii="Times" w:hAnsi="Times"/>
          <w:lang w:val="en-GB"/>
        </w:rPr>
        <w:t xml:space="preserve">). This allowed for the subclassification of layer V and layer VI cells based on the same set of markers. We verified these criteria by staining brain section for the transcription factor Tle4 (Figure S6), a well-established specific marker of cortical CThPN identity (Molyneaux et al. 2015. Layer VI cells expressing high levels of both transcription factors where not classified, and lineages containing those cells where excluded for quantification. </w:t>
      </w:r>
    </w:p>
    <w:p>
      <w:pPr>
        <w:pStyle w:val="Normal"/>
        <w:keepNext/>
        <w:numPr>
          <w:ilvl w:val="0"/>
          <w:numId w:val="0"/>
        </w:numPr>
        <w:suppressAutoHyphens w:val="true"/>
        <w:spacing w:lineRule="auto" w:line="480" w:before="240" w:after="120"/>
        <w:outlineLvl w:val="1"/>
        <w:rPr>
          <w:rFonts w:ascii="Arial" w:hAnsi="Arial" w:eastAsia="ヒラギノ角ゴ Pro W3" w:cs="Arial"/>
          <w:b/>
          <w:b/>
          <w:color w:val="984806"/>
          <w:lang w:val="en-GB"/>
        </w:rPr>
      </w:pPr>
      <w:r>
        <w:rPr>
          <w:rFonts w:eastAsia="ヒラギノ角ゴ Pro W3" w:cs="Arial" w:ascii="Arial" w:hAnsi="Arial"/>
          <w:b/>
          <w:color w:val="984806"/>
          <w:lang w:val="en-GB"/>
        </w:rPr>
        <w:t>Quantification of relative laminar ratios of pyramidal neurons</w:t>
      </w:r>
    </w:p>
    <w:p>
      <w:pPr>
        <w:pStyle w:val="Normal"/>
        <w:suppressAutoHyphens w:val="true"/>
        <w:spacing w:lineRule="auto" w:line="480"/>
        <w:rPr>
          <w:rFonts w:ascii="Times" w:hAnsi="Times" w:eastAsia="ヒラギノ角ゴ Pro W3" w:cs="Arial"/>
          <w:color w:val="000000"/>
          <w:lang w:val="en-GB"/>
        </w:rPr>
      </w:pPr>
      <w:r>
        <w:rPr>
          <w:rFonts w:ascii="Times" w:hAnsi="Times"/>
          <w:lang w:val="en-GB" w:eastAsia="en-US"/>
        </w:rPr>
        <w:t xml:space="preserve">To quantify the actual densities of Pyramidal cells in different cortical layers, </w:t>
      </w:r>
      <w:r>
        <w:rPr>
          <w:rFonts w:ascii="Times" w:hAnsi="Times"/>
          <w:i/>
          <w:lang w:val="en-GB" w:eastAsia="en-US"/>
        </w:rPr>
        <w:t>Nex-cre</w:t>
      </w:r>
      <w:r>
        <w:rPr>
          <w:rFonts w:ascii="Times" w:hAnsi="Times"/>
          <w:lang w:val="en-GB" w:eastAsia="en-US"/>
        </w:rPr>
        <w:t xml:space="preserve"> mice were crossed with </w:t>
      </w:r>
      <w:r>
        <w:rPr>
          <w:rFonts w:ascii="Times" w:hAnsi="Times"/>
          <w:i/>
          <w:lang w:val="en-GB" w:eastAsia="en-US"/>
        </w:rPr>
        <w:t xml:space="preserve">Fucci2aR </w:t>
      </w:r>
      <w:r>
        <w:rPr>
          <w:rFonts w:ascii="Times" w:hAnsi="Times"/>
          <w:lang w:val="en-GB" w:eastAsia="en-US"/>
        </w:rPr>
        <w:t xml:space="preserve">(Lester Mort et al 2014), reporter mice. The density of labelled red nuclei in each cortical layer was quantified from 5 representative serial sections of the somatosensory and visual cortex. Z-stacks where then 3d reconstructed and quantified using Imaris 8.1.2 (Bitplane). </w:t>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US"/>
        </w:rPr>
      </w:pPr>
      <w:r>
        <w:rPr>
          <w:rFonts w:eastAsia="ヒラギノ角ゴ Pro W3" w:cs="Arial Unicode MS" w:ascii="Arial" w:hAnsi="Arial"/>
          <w:b/>
          <w:color w:val="984806"/>
          <w:lang w:val="en-US"/>
        </w:rPr>
        <w:t>Statistical tests</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New Roman" w:hAnsi="Times New Roman"/>
          <w:color w:val="000000"/>
          <w:lang w:val="en-US"/>
        </w:rPr>
        <w:t xml:space="preserve">Error bars in all graphs indicate standard deviation (std) unless otherwise stated in the legends. Comparisons of distributions over fractions of a total (as in Fig 6 E, F and Figure S5 C-E) were analyzed using Fisher’s exact test or Chi-square test. Average clonal size between lineages analyzed at P2 and P21 where analyzed using Mann Withney test.  All statistical tests applied in our analysis are specified in the figure legends.  </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r>
    </w:p>
    <w:p>
      <w:pPr>
        <w:pStyle w:val="Normal"/>
        <w:keepNext/>
        <w:numPr>
          <w:ilvl w:val="0"/>
          <w:numId w:val="0"/>
        </w:numPr>
        <w:suppressAutoHyphens w:val="true"/>
        <w:spacing w:lineRule="auto" w:line="480" w:before="240" w:after="120"/>
        <w:outlineLvl w:val="1"/>
        <w:rPr>
          <w:rFonts w:ascii="Arial" w:hAnsi="Arial" w:eastAsia="ヒラギノ角ゴ Pro W3" w:cs="Arial Unicode MS"/>
          <w:b/>
          <w:b/>
          <w:color w:val="984806"/>
          <w:lang w:val="en-US"/>
        </w:rPr>
      </w:pPr>
      <w:r>
        <w:rPr>
          <w:rFonts w:eastAsia="ヒラギノ角ゴ Pro W3" w:cs="Arial Unicode MS" w:ascii="Arial" w:hAnsi="Arial"/>
          <w:b/>
          <w:color w:val="984806"/>
          <w:lang w:val="en-US"/>
        </w:rPr>
        <w:t xml:space="preserve">DATA AND SOFTWARE AVAILABILITY </w:t>
      </w:r>
    </w:p>
    <w:p>
      <w:pPr>
        <w:pStyle w:val="Normal"/>
        <w:suppressAutoHyphens w:val="true"/>
        <w:spacing w:lineRule="auto" w:line="480"/>
        <w:rPr>
          <w:rFonts w:ascii="Times" w:hAnsi="Times" w:eastAsia="ヒラギノ角ゴ Pro W3" w:cs="Times"/>
          <w:color w:val="000000"/>
          <w:lang w:val="en-US"/>
        </w:rPr>
      </w:pPr>
      <w:r>
        <w:rPr>
          <w:rFonts w:eastAsia="ヒラギノ角ゴ Pro W3" w:cs="Times" w:ascii="Times" w:hAnsi="Times"/>
          <w:color w:val="000000"/>
          <w:lang w:val="en-US"/>
        </w:rPr>
        <w:t xml:space="preserve">Custom-written MatLab (Mathworks, USA) codes used for quantification are available on reasonable request. </w:t>
      </w:r>
    </w:p>
    <w:p>
      <w:pPr>
        <w:pStyle w:val="Normal"/>
        <w:suppressAutoHyphens w:val="true"/>
        <w:spacing w:lineRule="auto" w:line="480"/>
        <w:rPr>
          <w:rFonts w:ascii="Times" w:hAnsi="Times" w:eastAsia="ヒラギノ角ゴ Pro W3" w:cs="Times New Roman"/>
          <w:color w:val="000000"/>
          <w:lang w:val="en-GB"/>
        </w:rPr>
      </w:pPr>
      <w:r>
        <w:rPr>
          <w:rFonts w:eastAsia="ヒラギノ角ゴ Pro W3" w:cs="Times New Roman" w:ascii="Times" w:hAnsi="Times"/>
          <w:color w:val="000000"/>
          <w:lang w:val="en-GB"/>
        </w:rPr>
      </w:r>
    </w:p>
    <w:p>
      <w:pPr>
        <w:pStyle w:val="2ndParagraph"/>
        <w:rPr>
          <w:lang w:val="en-GB"/>
        </w:rPr>
      </w:pPr>
      <w:r>
        <w:rPr>
          <w:lang w:val="en-GB"/>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abriele" w:date="2018-09-05T16:19:00Z" w:initials="G">
    <w:p>
      <w:r>
        <w:rPr>
          <w:rFonts w:ascii="Liberation Serif" w:hAnsi="Liberation Serif" w:eastAsia="DejaVu Sans" w:cs="DejaVu Sans"/>
          <w:lang w:eastAsia="en-US" w:bidi="en-US"/>
        </w:rPr>
        <w:t>It is 1ng/Kg or 1 mg/Kg?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link w:val="Heading1Char"/>
    <w:qFormat/>
    <w:rsid w:val="00694eec"/>
    <w:pPr>
      <w:keepNext/>
      <w:suppressAutoHyphens w:val="true"/>
      <w:spacing w:lineRule="auto" w:line="480" w:before="240" w:after="240"/>
      <w:outlineLvl w:val="0"/>
    </w:pPr>
    <w:rPr>
      <w:rFonts w:ascii="Arial" w:hAnsi="Arial" w:eastAsia="ヒラギノ角ゴ Pro W3" w:cs="Arial Unicode MS"/>
      <w:b/>
      <w:color w:val="984806"/>
      <w:lang w:val="en-US"/>
    </w:rPr>
  </w:style>
  <w:style w:type="paragraph" w:styleId="Heading3">
    <w:name w:val="Heading 3"/>
    <w:basedOn w:val="Normal"/>
    <w:next w:val="Normal"/>
    <w:link w:val="Heading3Char"/>
    <w:uiPriority w:val="9"/>
    <w:semiHidden/>
    <w:unhideWhenUsed/>
    <w:qFormat/>
    <w:rsid w:val="004f6814"/>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94eec"/>
    <w:rPr>
      <w:rFonts w:ascii="Arial" w:hAnsi="Arial" w:eastAsia="ヒラギノ角ゴ Pro W3" w:cs="Arial Unicode MS"/>
      <w:b/>
      <w:color w:val="984806"/>
      <w:lang w:val="en-US"/>
    </w:rPr>
  </w:style>
  <w:style w:type="character" w:styleId="InternetLink">
    <w:name w:val="Internet Link"/>
    <w:basedOn w:val="DefaultParagraphFont"/>
    <w:uiPriority w:val="99"/>
    <w:unhideWhenUsed/>
    <w:rsid w:val="008c4a42"/>
    <w:rPr>
      <w:color w:val="0000FF" w:themeColor="hyperlink"/>
      <w:u w:val="single"/>
    </w:rPr>
  </w:style>
  <w:style w:type="character" w:styleId="PlaceholderText">
    <w:name w:val="Placeholder Text"/>
    <w:basedOn w:val="DefaultParagraphFont"/>
    <w:uiPriority w:val="99"/>
    <w:semiHidden/>
    <w:qFormat/>
    <w:rsid w:val="00056a11"/>
    <w:rPr>
      <w:color w:val="808080"/>
    </w:rPr>
  </w:style>
  <w:style w:type="character" w:styleId="BalloonTextChar" w:customStyle="1">
    <w:name w:val="Balloon Text Char"/>
    <w:basedOn w:val="DefaultParagraphFont"/>
    <w:link w:val="BalloonText"/>
    <w:uiPriority w:val="99"/>
    <w:semiHidden/>
    <w:qFormat/>
    <w:rsid w:val="00056a11"/>
    <w:rPr>
      <w:rFonts w:ascii="Lucida Grande" w:hAnsi="Lucida Grande" w:cs="Lucida Grande"/>
      <w:sz w:val="18"/>
      <w:szCs w:val="18"/>
    </w:rPr>
  </w:style>
  <w:style w:type="character" w:styleId="Heading3Char" w:customStyle="1">
    <w:name w:val="Heading 3 Char"/>
    <w:basedOn w:val="DefaultParagraphFont"/>
    <w:link w:val="Heading3"/>
    <w:uiPriority w:val="9"/>
    <w:semiHidden/>
    <w:qFormat/>
    <w:rsid w:val="004f6814"/>
    <w:rPr>
      <w:rFonts w:ascii="Calibri" w:hAnsi="Calibri" w:eastAsia="ＭＳ ゴシック" w:cs="" w:asciiTheme="majorHAnsi" w:cstheme="majorBidi" w:eastAsiaTheme="majorEastAsia" w:hAnsiTheme="majorHAnsi"/>
      <w:b/>
      <w:bCs/>
      <w:color w:val="4F81BD" w:themeColor="accent1"/>
    </w:rPr>
  </w:style>
  <w:style w:type="character" w:styleId="Annotationreference">
    <w:name w:val="annotation reference"/>
    <w:basedOn w:val="DefaultParagraphFont"/>
    <w:uiPriority w:val="99"/>
    <w:semiHidden/>
    <w:unhideWhenUsed/>
    <w:qFormat/>
    <w:rsid w:val="00333a37"/>
    <w:rPr>
      <w:sz w:val="18"/>
      <w:szCs w:val="18"/>
    </w:rPr>
  </w:style>
  <w:style w:type="character" w:styleId="CommentTextChar" w:customStyle="1">
    <w:name w:val="Comment Text Char"/>
    <w:basedOn w:val="DefaultParagraphFont"/>
    <w:link w:val="CommentText"/>
    <w:uiPriority w:val="99"/>
    <w:semiHidden/>
    <w:qFormat/>
    <w:rsid w:val="00333a37"/>
    <w:rPr/>
  </w:style>
  <w:style w:type="character" w:styleId="CommentSubjectChar" w:customStyle="1">
    <w:name w:val="Comment Subject Char"/>
    <w:basedOn w:val="CommentTextChar"/>
    <w:link w:val="CommentSubject"/>
    <w:uiPriority w:val="99"/>
    <w:semiHidden/>
    <w:qFormat/>
    <w:rsid w:val="00333a37"/>
    <w:rPr>
      <w:b/>
      <w:bCs/>
      <w:sz w:val="20"/>
      <w:szCs w:val="2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stParagraph" w:customStyle="1">
    <w:name w:val="1st Paragraph"/>
    <w:qFormat/>
    <w:rsid w:val="00694eec"/>
    <w:pPr>
      <w:widowControl/>
      <w:suppressAutoHyphens w:val="true"/>
      <w:bidi w:val="0"/>
      <w:spacing w:lineRule="auto" w:line="480"/>
      <w:jc w:val="left"/>
    </w:pPr>
    <w:rPr>
      <w:rFonts w:ascii="Times" w:hAnsi="Times" w:eastAsia="ヒラギノ角ゴ Pro W3" w:cs="Times New Roman"/>
      <w:color w:val="000000"/>
      <w:sz w:val="24"/>
      <w:szCs w:val="24"/>
      <w:lang w:val="en-US" w:eastAsia="en-US" w:bidi="ar-SA"/>
    </w:rPr>
  </w:style>
  <w:style w:type="paragraph" w:styleId="2ndParagraph" w:customStyle="1">
    <w:name w:val="2nd Paragraph"/>
    <w:qFormat/>
    <w:rsid w:val="00694eec"/>
    <w:pPr>
      <w:widowControl/>
      <w:suppressAutoHyphens w:val="true"/>
      <w:bidi w:val="0"/>
      <w:spacing w:lineRule="auto" w:line="480"/>
      <w:ind w:firstLine="567"/>
      <w:jc w:val="left"/>
    </w:pPr>
    <w:rPr>
      <w:rFonts w:ascii="Times" w:hAnsi="Times" w:eastAsia="ヒラギノ角ゴ Pro W3" w:cs="Times New Roman"/>
      <w:color w:val="000000"/>
      <w:sz w:val="24"/>
      <w:szCs w:val="24"/>
      <w:lang w:val="en-US" w:eastAsia="en-US" w:bidi="ar-SA"/>
    </w:rPr>
  </w:style>
  <w:style w:type="paragraph" w:styleId="INTesisNormal" w:customStyle="1">
    <w:name w:val="IN Tesis: Normal"/>
    <w:qFormat/>
    <w:rsid w:val="00f64ad3"/>
    <w:pPr>
      <w:widowControl/>
      <w:bidi w:val="0"/>
      <w:spacing w:lineRule="auto" w:line="360"/>
      <w:jc w:val="both"/>
    </w:pPr>
    <w:rPr>
      <w:rFonts w:ascii="Times" w:hAnsi="Times" w:eastAsia="Times New Roman" w:cs="Times New Roman"/>
      <w:color w:val="auto"/>
      <w:sz w:val="24"/>
      <w:szCs w:val="24"/>
      <w:lang w:eastAsia="es-ES" w:val="en-US" w:bidi="ar-SA"/>
    </w:rPr>
  </w:style>
  <w:style w:type="paragraph" w:styleId="BalloonText">
    <w:name w:val="Balloon Text"/>
    <w:basedOn w:val="Normal"/>
    <w:link w:val="BalloonTextChar"/>
    <w:uiPriority w:val="99"/>
    <w:semiHidden/>
    <w:unhideWhenUsed/>
    <w:qFormat/>
    <w:rsid w:val="00056a11"/>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333a37"/>
    <w:pPr/>
    <w:rPr/>
  </w:style>
  <w:style w:type="paragraph" w:styleId="Annotationsubject">
    <w:name w:val="annotation subject"/>
    <w:basedOn w:val="Annotationtext"/>
    <w:link w:val="CommentSubjectChar"/>
    <w:uiPriority w:val="99"/>
    <w:semiHidden/>
    <w:unhideWhenUsed/>
    <w:qFormat/>
    <w:rsid w:val="00333a37"/>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4f6814"/>
    <w:rPr>
      <w:lang w:val="en-GB"/>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scar.marin@kcl.ac.uk" TargetMode="External"/><Relationship Id="rId3" Type="http://schemas.openxmlformats.org/officeDocument/2006/relationships/hyperlink" Target="http://www.brain-map.org/"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13</Pages>
  <Words>2163</Words>
  <Characters>12825</Characters>
  <CharactersWithSpaces>14866</CharactersWithSpaces>
  <Paragraphs>137</Paragraphs>
  <Company>animoution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2018-10-09T16:56:00Z</dcterms:created>
  <dc:creator>Alfredo Llorca Molina</dc:creator>
  <dc:description/>
  <dc:language>en-GB</dc:language>
  <cp:lastModifiedBy/>
  <dcterms:modified xsi:type="dcterms:W3CDTF">2018-10-29T16:09:54Z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animoution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