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1876" w14:textId="77777777" w:rsidR="00984701" w:rsidRDefault="00984701" w:rsidP="00C537AF">
      <w:pPr>
        <w:pStyle w:val="Heading1"/>
        <w:bidi w:val="0"/>
        <w:spacing w:line="480" w:lineRule="auto"/>
      </w:pPr>
      <w:r>
        <w:t>Confidence in Detection and Discrimination: an fMRI Study</w:t>
      </w:r>
    </w:p>
    <w:p w14:paraId="3AA21878" w14:textId="77777777" w:rsidR="00984701" w:rsidRDefault="00984701" w:rsidP="00C537AF">
      <w:pPr>
        <w:pStyle w:val="Subtitle"/>
        <w:bidi w:val="0"/>
        <w:spacing w:line="480" w:lineRule="auto"/>
      </w:pPr>
      <w:r>
        <w:t xml:space="preserve">Matan Mazor, Karl J. </w:t>
      </w:r>
      <w:proofErr w:type="spellStart"/>
      <w:r>
        <w:t>Friston</w:t>
      </w:r>
      <w:proofErr w:type="spellEnd"/>
      <w:r>
        <w:t xml:space="preserve"> and Stephen M. Fleming</w:t>
      </w:r>
    </w:p>
    <w:p w14:paraId="779196DF" w14:textId="77777777" w:rsidR="00984701" w:rsidRDefault="00984701" w:rsidP="00C537AF">
      <w:pPr>
        <w:bidi w:val="0"/>
        <w:spacing w:line="480" w:lineRule="auto"/>
      </w:pPr>
    </w:p>
    <w:p w14:paraId="2755DCB4" w14:textId="77777777" w:rsidR="00984701" w:rsidRDefault="00984701" w:rsidP="00C537AF">
      <w:pPr>
        <w:pStyle w:val="Heading2"/>
        <w:bidi w:val="0"/>
        <w:spacing w:line="480" w:lineRule="auto"/>
      </w:pPr>
      <w:r>
        <w:t>Objective</w:t>
      </w:r>
    </w:p>
    <w:p w14:paraId="2400AA40" w14:textId="2305058E" w:rsidR="00F171D6" w:rsidRDefault="00771052" w:rsidP="00C537AF">
      <w:pPr>
        <w:bidi w:val="0"/>
        <w:spacing w:line="480" w:lineRule="auto"/>
      </w:pPr>
      <w:r>
        <w:t>T</w:t>
      </w:r>
      <w:r w:rsidR="00984701">
        <w:t>he current study aims to compare the brain processes that govern perceptual discrimination and detection</w:t>
      </w:r>
      <w:r w:rsidR="00631FF1">
        <w:t>,</w:t>
      </w:r>
      <w:r w:rsidR="00984701">
        <w:t xml:space="preserve"> and the </w:t>
      </w:r>
      <w:r w:rsidR="00631FF1">
        <w:t xml:space="preserve">neural mechanisms that </w:t>
      </w:r>
      <w:r w:rsidR="00E6595B">
        <w:t>allow for</w:t>
      </w:r>
      <w:r w:rsidR="00631FF1">
        <w:t xml:space="preserve"> </w:t>
      </w:r>
      <w:r w:rsidR="00984701">
        <w:t>metacognitive evaluations of these processes.</w:t>
      </w:r>
    </w:p>
    <w:p w14:paraId="48903051" w14:textId="282D8B66" w:rsidR="00765027" w:rsidRDefault="00984701" w:rsidP="00C537AF">
      <w:pPr>
        <w:bidi w:val="0"/>
        <w:spacing w:line="480" w:lineRule="auto"/>
      </w:pPr>
      <w:r>
        <w:t xml:space="preserve">A fundamental </w:t>
      </w:r>
      <w:r w:rsidR="00765027">
        <w:t xml:space="preserve">property that distinguishes detection from discrimination </w:t>
      </w:r>
      <w:r w:rsidR="00545B3B">
        <w:t xml:space="preserve">tasks </w:t>
      </w:r>
      <w:r w:rsidR="00765027">
        <w:t xml:space="preserve">is the asymmetry in the availability of evidence for 'yes' and for 'no' responses.  While </w:t>
      </w:r>
      <w:r>
        <w:t>di</w:t>
      </w:r>
      <w:r w:rsidR="00765027">
        <w:t xml:space="preserve">scrimination requires a comparison between the relative evidence for different options, in a detection setting evidence can only be available for the presence of a stimulus and not for its absence. </w:t>
      </w:r>
      <w:r w:rsidR="00A62BB6">
        <w:t xml:space="preserve">Conceptually, this means that confidence in the absence of a stimulus </w:t>
      </w:r>
      <w:r w:rsidR="00545B3B">
        <w:t xml:space="preserve">cannot rely on the magnitude of evidence for its absence and </w:t>
      </w:r>
      <w:r w:rsidR="00A62BB6">
        <w:t xml:space="preserve">may rely </w:t>
      </w:r>
      <w:r w:rsidR="00545B3B">
        <w:t xml:space="preserve">instead </w:t>
      </w:r>
      <w:r w:rsidR="00A62BB6">
        <w:t xml:space="preserve">on counterfactual reasoning regarding the likelihood of the stimulus to be detected had it been presented. </w:t>
      </w:r>
      <w:r w:rsidR="00631FF1">
        <w:t>Behaviorally</w:t>
      </w:r>
      <w:r w:rsidR="00765027">
        <w:t>, this difference is reflected in general lower confidence and in a weaker association between objective accuracy and subjective confidence for</w:t>
      </w:r>
      <w:r w:rsidR="00F30126">
        <w:t xml:space="preserve"> 'no' responses </w:t>
      </w:r>
      <w:r w:rsidR="00631FF1">
        <w:fldChar w:fldCharType="begin" w:fldLock="1"/>
      </w:r>
      <w:r w:rsidR="00631FF1">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"id" : "ITEM-2", "itemData" : { "DOI" : "10.1016/J.CONCOG.2010.06.003", "ISSN" : "1053-8100", "abstract" : "Conscious visual perception can fail in many circumstances. However, little is known about the causes and processes leading to failures of visual awareness. In this study, we introduce a new signal detection measure termed subjective discriminability of invisibility (SDI) that allows one to distinguish between subjective blindness due to reduction of sensory signals or to lack of attentional access to sensory signals. The SDI is computed based upon subjective confidence in reporting the absence of a target (i.e., miss and correct rejection trials). Using this new measure, we found that target misses were subjectively indistinguishable from physical absence when contrast reduction, backward masking and flash suppression were used, whereas confidence was appropriately modulated when dual task, attentional blink and spatial uncertainty methods were employed. These results show that failure of visual perception can be identified as either a result of perceptual or attentional blindness depending on the circumstances under which visual awareness was impaired.", "author" : [ { "dropping-particle" : "", "family" : "Kanai", "given" : "Ryota", "non-dropping-particle" : "", "parse-names" : false, "suffix" : "" }, { "dropping-particle" : "", "family" : "Walsh", "given" : "Vincent", "non-dropping-particle" : "", "parse-names" : false, "suffix" : "" }, { "dropping-particle" : "", "family" : "Tseng", "given" : "Chia-huei", "non-dropping-particle" : "", "parse-names" : false, "suffix" : "" } ], "container-title" : "Consciousness and Cognition", "id" : "ITEM-2", "issue" : "4", "issued" : { "date-parts" : [ [ "2010", "12", "1" ] ] }, "page" : "1045-1057", "publisher" : "Academic Press", "title" : "Subjective discriminability of invisibility: A framework for distinguishing perceptual and attentional failures of awareness", "type" : "article-journal", "volume" : "19" }, "uris" : [ "http://www.mendeley.com/documents/?uuid=416bc2b8-e0a3-3383-8fe0-23905bb4eea3" ] } ], "mendeley" : { "formattedCitation" : "(Kanai, Walsh, &amp; Tseng, 2010; Meuwese, van Loon, Lamme, &amp; Fahrenfort, 2014)", "plainTextFormattedCitation" : "(Kanai, Walsh, &amp; Tseng, 2010; Meuwese, van Loon, Lamme, &amp; Fahrenfort, 2014)", "previouslyFormattedCitation" : "(Kanai, Walsh, &amp; Tseng, 2010; Meuwese, van Loon, Lamme, &amp; Fahrenfort, 2014)" }, "properties" : {  }, "schema" : "https://github.com/citation-style-language/schema/raw/master/csl-citation.json" }</w:instrText>
      </w:r>
      <w:r w:rsidR="00631FF1">
        <w:fldChar w:fldCharType="separate"/>
      </w:r>
      <w:r w:rsidR="00631FF1" w:rsidRPr="00631FF1">
        <w:rPr>
          <w:noProof/>
        </w:rPr>
        <w:t>(Kanai, Walsh, &amp; Tseng, 2010; Meuwese, van Loon, Lamme, &amp; Fahrenfort, 2014)</w:t>
      </w:r>
      <w:r w:rsidR="00631FF1">
        <w:fldChar w:fldCharType="end"/>
      </w:r>
      <w:r w:rsidR="00F30126">
        <w:t xml:space="preserve"> </w:t>
      </w:r>
      <w:r w:rsidR="00545B3B">
        <w:t xml:space="preserve">in detection but </w:t>
      </w:r>
      <w:r w:rsidR="00F30126">
        <w:t>a</w:t>
      </w:r>
      <w:r w:rsidR="00E6595B">
        <w:t>lso in</w:t>
      </w:r>
      <w:r w:rsidR="00F30126">
        <w:t xml:space="preserve"> detection-like tasks </w:t>
      </w:r>
      <w:r w:rsidR="00F30126">
        <w:fldChar w:fldCharType="begin" w:fldLock="1"/>
      </w:r>
      <w:r w:rsidR="00872795">
        <w:instrText>ADDIN CSL_CITATION { "citationItems" : [ { "id" : "ITEM-1", "itemData" : { "DOI" : "10.1037/a0013865", "ISSN" : "1939-1285", "author" : [ { "dropping-particle" : "", "family" : "Higham", "given" : "Philip A.", "non-dropping-particle" : "", "parse-names" : false, "suffix" : "" }, { "dropping-particle" : "", "family" : "Perfect", "given" : "Timothy J.", "non-dropping-particle" : "", "parse-names" : false, "suffix" : "" }, { "dropping-particle" : "", "family" : "Bruno", "given" : "Davide", "non-dropping-particle" : "", "parse-names" : false, "suffix" : "" } ], "container-title" : "Journal of Experimental Psychology: Learning, Memory, and Cognition", "id" : "ITEM-1", "issue" : "1", "issued" : { "date-parts" : [ [ "2009" ] ] }, "page" : "57-80", "title" : "Investigating strength and frequency effects in recognition memory using type-2 signal detection theory.", "type" : "article-journal", "volume" : "35" }, "prefix" : "such as detection memory; ", "uris" : [ "http://www.mendeley.com/documents/?uuid=be372eb2-112d-3083-b595-6760364ae9d6" ] } ], "mendeley" : { "formattedCitation" : "(such as detection memory; Higham, Perfect, &amp; Bruno, 2009)", "manualFormatting" : "(such as recognition memory; Higham, Perfect, &amp; Bruno, 2009)", "plainTextFormattedCitation" : "(such as detection memory; Higham, Perfect, &amp; Bruno, 2009)", "previouslyFormattedCitation" : "(such as detection memory; Higham, Perfect, &amp; Bruno, 2009)" }, "properties" : {  }, "schema" : "https://github.com/citation-style-language/schema/raw/master/csl-citation.json" }</w:instrText>
      </w:r>
      <w:r w:rsidR="00F30126">
        <w:fldChar w:fldCharType="separate"/>
      </w:r>
      <w:r w:rsidR="00F30126" w:rsidRPr="00F30126">
        <w:rPr>
          <w:noProof/>
        </w:rPr>
        <w:t xml:space="preserve">(such as </w:t>
      </w:r>
      <w:r w:rsidR="00D62C94">
        <w:rPr>
          <w:noProof/>
        </w:rPr>
        <w:t xml:space="preserve">recognition </w:t>
      </w:r>
      <w:r w:rsidR="00F30126" w:rsidRPr="00F30126">
        <w:rPr>
          <w:noProof/>
        </w:rPr>
        <w:t>memory; Higham, Perfect, &amp; Bruno, 2009)</w:t>
      </w:r>
      <w:r w:rsidR="00F30126">
        <w:fldChar w:fldCharType="end"/>
      </w:r>
      <w:r w:rsidR="00F30126">
        <w:t xml:space="preserve">. </w:t>
      </w:r>
    </w:p>
    <w:p w14:paraId="5E9A6FD0" w14:textId="632A7285" w:rsidR="00765027" w:rsidRDefault="00E6595B" w:rsidP="00C537AF">
      <w:pPr>
        <w:bidi w:val="0"/>
        <w:spacing w:line="480" w:lineRule="auto"/>
      </w:pPr>
      <w:r>
        <w:t>It is still unknown what are the</w:t>
      </w:r>
      <w:r w:rsidR="00631FF1">
        <w:t xml:space="preserve"> brain mechanisms that give rise to these behavio</w:t>
      </w:r>
      <w:r>
        <w:t>ral differences</w:t>
      </w:r>
      <w:r w:rsidR="00631FF1">
        <w:t xml:space="preserve">. While </w:t>
      </w:r>
      <w:r w:rsidR="00F30126">
        <w:t xml:space="preserve">previous studies compared </w:t>
      </w:r>
      <w:r w:rsidR="00F4634B">
        <w:t xml:space="preserve">structural and functional correlates </w:t>
      </w:r>
      <w:r w:rsidR="00F30126">
        <w:t xml:space="preserve">for </w:t>
      </w:r>
      <w:r w:rsidR="00F4634B">
        <w:t>metacognitive sensitivity</w:t>
      </w:r>
      <w:r w:rsidR="00F30126">
        <w:t xml:space="preserve"> ratings across </w:t>
      </w:r>
      <w:r w:rsidR="00F4634B">
        <w:t xml:space="preserve">domains </w:t>
      </w:r>
      <w:r w:rsidR="00F4634B">
        <w:fldChar w:fldCharType="begin" w:fldLock="1"/>
      </w:r>
      <w:r w:rsidR="00A62BB6">
        <w:instrText>ADDIN CSL_CITATION { "citationItems" : [ { "id" : "ITEM-1",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"ITEM-1",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"(Mccurdy, Maniscalco, Metcalfe, &amp; De Lange, 2013; Morales, Lau, &amp; Fleming, 2018)", "plainTextFormattedCitation" : "(Mccurdy, Maniscalco, Metcalfe, &amp; De Lange, 2013; Morales, Lau, &amp; Fleming, 2018)", "previouslyFormattedCitation" : "(Mccurdy, Maniscalco, Metcalfe, &amp; De Lange, 2013; Morales, Lau, &amp; Fleming, 2018)" }, "properties" : {  }, "schema" : "https://github.com/citation-style-language/schema/raw/master/csl-citation.json" }</w:instrText>
      </w:r>
      <w:r w:rsidR="00F4634B">
        <w:fldChar w:fldCharType="separate"/>
      </w:r>
      <w:r w:rsidR="00F4634B" w:rsidRPr="00F4634B">
        <w:rPr>
          <w:noProof/>
        </w:rPr>
        <w:t>(Mccurdy, Maniscalco, Metcalfe, &amp; De Lange, 2013; Morales, Lau, &amp; Fleming, 2018)</w:t>
      </w:r>
      <w:r w:rsidR="00F4634B">
        <w:fldChar w:fldCharType="end"/>
      </w:r>
      <w:r w:rsidR="00A62BB6">
        <w:t>, great care was</w:t>
      </w:r>
      <w:r w:rsidR="00F4634B">
        <w:t xml:space="preserve"> taken to equate task requirements and avoid </w:t>
      </w:r>
      <w:r w:rsidR="00240F20">
        <w:t xml:space="preserve">the asymmetry inherent to </w:t>
      </w:r>
      <w:r w:rsidR="00F4634B">
        <w:t xml:space="preserve">true detection tasks. For example, instead of asking participants to perform 'old'/'new' recognition judgments, participants </w:t>
      </w:r>
      <w:r w:rsidR="00545B3B">
        <w:lastRenderedPageBreak/>
        <w:t>were</w:t>
      </w:r>
      <w:r w:rsidR="00F4634B">
        <w:t xml:space="preserve"> asked to answer which of two presented stimuli is old.</w:t>
      </w:r>
      <w:r w:rsidR="009F5E95">
        <w:t xml:space="preserve"> </w:t>
      </w:r>
      <w:r w:rsidR="00F4634B">
        <w:t xml:space="preserve"> </w:t>
      </w:r>
      <w:r>
        <w:t>Similarly, instead of asking participants whether they detected a signal or not, a 2 Interval Forced Choice (2IFC) approach is often preferred</w:t>
      </w:r>
      <w:r w:rsidR="00240F20">
        <w:t>, where participants are asked to report whether the signal was presented in the first or the second interval</w:t>
      </w:r>
      <w:r>
        <w:t xml:space="preserve">. </w:t>
      </w:r>
    </w:p>
    <w:p w14:paraId="65C056FA" w14:textId="2372A934" w:rsidR="00E6595B" w:rsidRDefault="00E6595B" w:rsidP="00C537AF">
      <w:pPr>
        <w:bidi w:val="0"/>
        <w:spacing w:line="480" w:lineRule="auto"/>
      </w:pPr>
      <w:r>
        <w:t>Here we wish to compare detection and discrimination within the same low-level perceptual task</w:t>
      </w:r>
      <w:r w:rsidR="00C779BB">
        <w:t>, while controlling for task performance</w:t>
      </w:r>
      <w:r>
        <w:t>. The objectives of this study are:</w:t>
      </w:r>
    </w:p>
    <w:p w14:paraId="1ED59B8D" w14:textId="3AE4B102" w:rsidR="00E6595B" w:rsidRDefault="00F171D6" w:rsidP="00C537AF">
      <w:pPr>
        <w:pStyle w:val="ListParagraph"/>
        <w:numPr>
          <w:ilvl w:val="0"/>
          <w:numId w:val="3"/>
        </w:numPr>
        <w:bidi w:val="0"/>
        <w:spacing w:line="480" w:lineRule="auto"/>
      </w:pPr>
      <w:r>
        <w:t xml:space="preserve">Replicate previous findings of inter-subject correlations </w:t>
      </w:r>
      <w:r w:rsidR="00545B3B">
        <w:t>of</w:t>
      </w:r>
      <w:r>
        <w:t xml:space="preserve"> structural and functional properties of the lateral </w:t>
      </w:r>
      <w:r w:rsidR="00EB474F">
        <w:t>prefrontal cortex (</w:t>
      </w:r>
      <w:proofErr w:type="spellStart"/>
      <w:r w:rsidR="00EB474F">
        <w:t>lPF</w:t>
      </w:r>
      <w:r>
        <w:t>C</w:t>
      </w:r>
      <w:proofErr w:type="spellEnd"/>
      <w:r w:rsidR="00EB474F">
        <w:t>)</w:t>
      </w:r>
      <w:r>
        <w:t xml:space="preserve"> </w:t>
      </w:r>
      <w:r w:rsidR="00545B3B">
        <w:t>with</w:t>
      </w:r>
      <w:r w:rsidR="00A62BB6">
        <w:t xml:space="preserve"> metacognitiv</w:t>
      </w:r>
      <w:r w:rsidR="00F457E4">
        <w:t xml:space="preserve">e sensitivity in discrimination </w:t>
      </w:r>
      <w:r w:rsidR="00F457E4">
        <w:fldChar w:fldCharType="begin" w:fldLock="1"/>
      </w:r>
      <w:r w:rsidR="005A4A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"ITEM-3", "itemData" : { "DOI" : "10.1016/J.NEURES.2010.07.2041", "ISSN" : "0168-0102", "abstract" : "Human memory systems contain self-monitoring mechanisms for evaluating their progress. People can change their learning strategy on the basis of confidence in their performance at that time. However, it has not been fully understood how the brain is engaged in reliable rating of confidence in past recognition memory performance. We measured the brain activity by fMRI while healthy subjects performed a visual short-term recognition memory test and then rated their confidence in their answers as high, middle, or low. As shown previously, their behavioral performance in the confidence rating widely varied; some showed a positive confidence\u2013recognition correlation (i.e., \u201crate reliably\u201d) while others did not. Among brain regions showing greater activity during rating their confidence relative to during a control, non-metamemory task (discriminating brightness of words), only a posterior-dorsal part of the right frontopolar cortex exhibited higher activity as the confidence level better correlated with actual recognition memory performance. These results suggest that activation in the right frontopolar cortex is key to a reliable, retrospective rating of confidence in short-term recognition memory performance.", "author" : [ { "dropping-particle" : "", "family" : "Yokoyama", "given" : "Osamu", "non-dropping-particle" : "", "parse-names" : false, "suffix" : "" }, { "dropping-particle" : "", "family" : "Miura", "given" : "Naoki", "non-dropping-particle" : "", "parse-names" : false, "suffix" : "" }, { "dropping-particle" : "", "family" : "Watanabe", "given" : "Jobu", "non-dropping-particle" : "", "parse-names" : false, "suffix" : "" }, { "dropping-particle" : "", "family" : "Takemoto", "given" : "Atsushi", "non-dropping-particle" : "", "parse-names" : false, "suffix" : "" }, { "dropping-particle" : "", "family" : "Uchida", "given" : "Shinya", "non-dropping-particle" : "", "parse-names" : false, "suffix" : "" }, { "dropping-particle" : "", "family" : "Sugiura", "given" : "Motoaki", "non-dropping-particle" : "", "parse-names" : false, "suffix" : "" }, { "dropping-particle" : "", "family" : "Horie", "given" : "Kaoru", "non-dropping-particle" : "", "parse-names" : false, "suffix" : "" }, { "dropping-particle" : "", "family" : "Sato", "given" : "Shigeru", "non-dropping-particle" : "", "parse-names" : false, "suffix" : "" }, { "dropping-particle" : "", "family" : "Kawashima", "given" : "Ryuta", "non-dropping-particle" : "", "parse-names" : false, "suffix" : "" }, { "dropping-particle" : "", "family" : "Nakamura", "given" : "Katsuki", "non-dropping-particle" : "", "parse-names" : false, "suffix" : "" } ], "container-title" : "Neuroscience Research", "id" : "ITEM-3", "issue" : "3", "issued" : { "date-parts" : [ [ "2010", "11", "1" ] ] }, "page" : "199-206", "publisher" : "Elsevier", "title" : "Right frontopolar cortex activity correlates with reliability of retrospective rating of confidence in short-term recognition memory performance", "type" : "article-journal", "volume" : "68" }, "uris" : [ "http://www.mendeley.com/documents/?uuid=f229171c-46bf-30ff-b22e-958b05ae4abe" ] } ], "mendeley" : { "formattedCitation" : "(S.M. Fleming, Weil, Nagy, Dolan, &amp; Rees, 2009; Mccurdy et al., 2013; Yokoyama et al., 2010)", "manualFormatting" : "(Fleming et al., 2010; McCurdy et al., 2013; Yokoyama et al., 2010)", "plainTextFormattedCitation" : "(S.M. Fleming, Weil, Nagy, Dolan, &amp; Rees, 2009; Mccurdy et al., 2013; Yokoyama et al., 2010)", "previouslyFormattedCitation" : "(S.M. Fleming, Weil, Nagy, Dolan, &amp; Rees, 2009; Mccurdy et al., 2013; Yokoyama et al., 2010)" }, "properties" : {  }, "schema" : "https://github.com/citation-style-language/schema/raw/master/csl-citation.json" }</w:instrText>
      </w:r>
      <w:r w:rsidR="00F457E4">
        <w:fldChar w:fldCharType="separate"/>
      </w:r>
      <w:r w:rsidR="00F457E4" w:rsidRPr="00F457E4">
        <w:rPr>
          <w:noProof/>
        </w:rPr>
        <w:t>(Fleming et al., 20</w:t>
      </w:r>
      <w:r w:rsidR="00F457E4">
        <w:rPr>
          <w:noProof/>
        </w:rPr>
        <w:t>10</w:t>
      </w:r>
      <w:r w:rsidR="00F457E4" w:rsidRPr="00F457E4">
        <w:rPr>
          <w:noProof/>
        </w:rPr>
        <w:t>; Mc</w:t>
      </w:r>
      <w:r w:rsidR="00F457E4">
        <w:rPr>
          <w:noProof/>
        </w:rPr>
        <w:t>C</w:t>
      </w:r>
      <w:r w:rsidR="00F457E4" w:rsidRPr="00F457E4">
        <w:rPr>
          <w:noProof/>
        </w:rPr>
        <w:t>urdy et al., 2013; Yokoyama et al., 2010)</w:t>
      </w:r>
      <w:r w:rsidR="00F457E4">
        <w:fldChar w:fldCharType="end"/>
      </w:r>
      <w:r w:rsidR="00F457E4">
        <w:t>.</w:t>
      </w:r>
    </w:p>
    <w:p w14:paraId="03BD24D4" w14:textId="77777777" w:rsidR="00B53FC1" w:rsidRDefault="00B53FC1" w:rsidP="00C537AF">
      <w:pPr>
        <w:pStyle w:val="ListParagraph"/>
        <w:numPr>
          <w:ilvl w:val="0"/>
          <w:numId w:val="3"/>
        </w:numPr>
        <w:bidi w:val="0"/>
        <w:spacing w:line="480" w:lineRule="auto"/>
      </w:pPr>
      <w:r>
        <w:t xml:space="preserve">Find inter-subject functional and structural correlates of metacognitive sensitivity in detection. Specifically, we will be interested to see if any dissociations can be found between brain structures that predict metacognitive sensitivity in detection and in discrimination. </w:t>
      </w:r>
    </w:p>
    <w:p w14:paraId="0A3A79C3" w14:textId="77777777" w:rsidR="00B53FC1" w:rsidRDefault="00B53FC1" w:rsidP="00C537AF">
      <w:pPr>
        <w:pStyle w:val="ListParagraph"/>
        <w:numPr>
          <w:ilvl w:val="0"/>
          <w:numId w:val="3"/>
        </w:numPr>
        <w:bidi w:val="0"/>
        <w:spacing w:line="480" w:lineRule="auto"/>
      </w:pPr>
      <w:r>
        <w:t xml:space="preserve">Replicate previous findings of </w:t>
      </w:r>
      <w:r w:rsidR="00811C3D">
        <w:t xml:space="preserve">general </w:t>
      </w:r>
      <w:r>
        <w:t xml:space="preserve">confidence signal in </w:t>
      </w:r>
      <w:r w:rsidR="00CD530A">
        <w:t xml:space="preserve">ventromedial prefrontal cortex </w:t>
      </w:r>
      <w:r w:rsidR="00811C3D">
        <w:fldChar w:fldCharType="begin" w:fldLock="1"/>
      </w:r>
      <w:r w:rsidR="00985120">
        <w:instrText>ADDIN CSL_CITATION { "citationItems" : [ { "id" : "ITEM-1", "itemData" : { "DOI" : "10.1038/nn.3279", "ISSN" : "1097-6256", "abstract" : "This study examines the neural coding of decision confidence when human subjects make value-based economic choices, and finds that signals of explicit confidence are encoded in the activity of ventromedial prefrontal cortex and its interaction with the rostrolateral prefrontal cortex.", "author" : [ { "dropping-particle" : "", "family" : "Martino", "given" : "Benedetto", "non-dropping-particle" : "De", "parse-names" : false, "suffix" : "" }, { "dropping-particle" : "", "family" : "Fleming", "given" : "Stephen M", "non-dropping-particle" : "", "parse-names" : false, "suffix" : "" }, { "dropping-particle" : "", "family" : "Garrett", "given" : "Neil", "non-dropping-particle" : "", "parse-names" : false, "suffix" : "" }, { "dropping-particle" : "", "family" : "Dolan", "given" : "Raymond J", "non-dropping-particle" : "", "parse-names" : false, "suffix" : "" } ], "container-title" : "Nature Neuroscience", "id" : "ITEM-1", "issue" : "1", "issued" : { "date-parts" : [ [ "2013", "1", "9" ] ] }, "page" : "105-110", "publisher" : "Nature Publishing Group", "title" : "Confidence in value-based choice", "type" : "article-journal", "volume" : "16" }, "uris" : [ "http://www.mendeley.com/documents/?uuid=286e0c86-d2e6-3917-8932-2a0f6e450f65"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"(De Martino, Fleming, Garrett, &amp; Dolan, 2013; Morales et al., 2018)", "plainTextFormattedCitation" : "(De Martino, Fleming, Garrett, &amp; Dolan, 2013; Morales et al., 2018)", "previouslyFormattedCitation" : "(De Martino, Fleming, Garrett, &amp; Dolan, 2013; Morales et al., 2018)" }, "properties" : {  }, "schema" : "https://github.com/citation-style-language/schema/raw/master/csl-citation.json" }</w:instrText>
      </w:r>
      <w:r w:rsidR="00811C3D">
        <w:fldChar w:fldCharType="separate"/>
      </w:r>
      <w:r w:rsidR="00811C3D" w:rsidRPr="00811C3D">
        <w:rPr>
          <w:noProof/>
        </w:rPr>
        <w:t>(De Martino, Fleming, Garrett, &amp; Dolan, 2013; Morales et al., 2018)</w:t>
      </w:r>
      <w:r w:rsidR="00811C3D">
        <w:fldChar w:fldCharType="end"/>
      </w:r>
      <w:r w:rsidR="00811C3D">
        <w:t>.</w:t>
      </w:r>
    </w:p>
    <w:p w14:paraId="005DEFC8" w14:textId="77777777" w:rsidR="00811C3D" w:rsidRDefault="00985120" w:rsidP="00C537AF">
      <w:pPr>
        <w:pStyle w:val="ListParagraph"/>
        <w:numPr>
          <w:ilvl w:val="0"/>
          <w:numId w:val="3"/>
        </w:numPr>
        <w:bidi w:val="0"/>
        <w:spacing w:line="480" w:lineRule="auto"/>
      </w:pPr>
      <w:r>
        <w:t>Test</w:t>
      </w:r>
      <w:r w:rsidR="00811C3D">
        <w:t xml:space="preserve"> for </w:t>
      </w:r>
      <w:r>
        <w:t xml:space="preserve">an </w:t>
      </w:r>
      <w:r w:rsidR="00811C3D">
        <w:t>interaction between confidence level and task (detection/discrimination) in BOLD response, specifically in the prefrontal cortex.</w:t>
      </w:r>
    </w:p>
    <w:p w14:paraId="2EC47924" w14:textId="77777777" w:rsidR="00811C3D" w:rsidRDefault="00985120" w:rsidP="00C537AF">
      <w:pPr>
        <w:pStyle w:val="ListParagraph"/>
        <w:numPr>
          <w:ilvl w:val="0"/>
          <w:numId w:val="3"/>
        </w:numPr>
        <w:bidi w:val="0"/>
        <w:spacing w:line="480" w:lineRule="auto"/>
      </w:pPr>
      <w:r>
        <w:t xml:space="preserve">Within detection, test for an interaction between confidence level and response (yes/no) in BOLD response, specifically in the prefrontal cortex and in regions that have previously been associated with </w:t>
      </w:r>
      <w:commentRangeStart w:id="0"/>
      <w:r>
        <w:t xml:space="preserve">counterfactual reasoning </w:t>
      </w:r>
      <w:commentRangeEnd w:id="0"/>
      <w:r w:rsidR="00F849BF">
        <w:rPr>
          <w:rStyle w:val="CommentReference"/>
        </w:rPr>
        <w:commentReference w:id="0"/>
      </w:r>
      <w:r>
        <w:fldChar w:fldCharType="begin" w:fldLock="1"/>
      </w:r>
      <w:r w:rsidR="00582853">
        <w:instrText>ADDIN CSL_CITATION { "citationItems" : [ { "id" : "ITEM-1", "itemData" : { "DOI" : "10.1371/journal.pbio.1001093", "ISSN" : "1545-7885", "abstract" : "Decision making and learning in a real-world context require organisms to track not only the choices they make and the outcomes that follow but also other untaken, or counterfactual, choices and their outcomes. Although the neural system responsible for tracking the value of choices actually taken is increasingly well understood, whether a neural system tracks counterfactual information is currently unclear. Using a three-alternative decision-making task, a Bayesian reinforcement-learning algorithm, and fMRI, we investigated the coding of counterfactual choices and prediction errors in the human brain. Rather than representing evidence favoring multiple counterfactual choices, lateral frontal polar cortex (lFPC), dorsomedial frontal cortex (DMFC), and posteromedial cortex (PMC) encode the reward-based evidence favoring the best counterfactual option at future decisions. In addition to encoding counterfactual reward expectations, the network carries a signal for learning about counterfactual options when feedback is available\u2014a counterfactual prediction error. Unlike other brain regions that have been associated with the processing of counterfactual outcomes, counterfactual prediction errors within the identified network cannot be related to regret theory. Furthermore, individual variation in counterfactual choice-related activity and prediction error-related activity, respectively, predicts variation in the propensity to switch to profitable choices in the future and the ability to learn from hypothetical feedback. Taken together, these data provide both neural and behavioral evidence to support the existence of a previously unidentified neural system responsible for tracking both counterfactual choice options and their outcomes.", "author" : [ { "dropping-particle" : "", "family" : "Boorman", "given" : "Erie D.", "non-dropping-particle" : "", "parse-names" : false, "suffix" : "" }, { "dropping-particle" : "", "family" : "Behrens", "given" : "Timothy E.", "non-dropping-particle" : "", "parse-names" : false, "suffix" : "" }, { "dropping-particle" : "", "family" : "Rushworth", "given" : "Matthew F.", "non-dropping-particle" : "", "parse-names" : false, "suffix" : "" } ], "container-title" : "PLoS Biology", "editor" : [ { "dropping-particle" : "", "family" : "Platt", "given" : "Michael L.", "non-dropping-particle" : "", "parse-names" : false, "suffix" : "" } ], "id" : "ITEM-1", "issue" : "6", "issued" : { "date-parts" : [ [ "2011", "6", "28" ] ] }, "page" : "e1001093", "publisher" : "Public Library of Science", "title" : "Counterfactual Choice and Learning in a Neural Network Centered on Human Lateral Frontopolar Cortex", "type" : "article-journal", "volume" : "9" }, "uris" : [ "http://www.mendeley.com/documents/?uuid=38c3726e-5a45-3056-a3de-00634bab0f6a" ] }, { "id" : "ITEM-2",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"ITEM-2",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"(Boorman, Behrens, &amp; Rushworth, 2011; Neubert, Mars, Thomas, Sallet, &amp; Rushworth, 2014)", "plainTextFormattedCitation" : "(Boorman, Behrens, &amp; Rushworth, 2011; Neubert, Mars, Thomas, Sallet, &amp; Rushworth, 2014)", "previouslyFormattedCitation" : "(Boorman, Behrens, &amp; Rushworth, 2011; Neubert, Mars, Thomas, Sallet, &amp; Rushworth, 2014)" }, "properties" : {  }, "schema" : "https://github.com/citation-style-language/schema/raw/master/csl-citation.json" }</w:instrText>
      </w:r>
      <w:r>
        <w:fldChar w:fldCharType="separate"/>
      </w:r>
      <w:r w:rsidRPr="00985120">
        <w:rPr>
          <w:noProof/>
        </w:rPr>
        <w:t>(Boorman, Behrens, &amp; Rushworth, 2011; Neubert, Mars, Thomas, Sallet, &amp; Rushworth, 2014)</w:t>
      </w:r>
      <w:r>
        <w:fldChar w:fldCharType="end"/>
      </w:r>
      <w:r>
        <w:t>.</w:t>
      </w:r>
    </w:p>
    <w:p w14:paraId="4268175F" w14:textId="0B5772DF" w:rsidR="00582853" w:rsidRPr="00984701" w:rsidRDefault="00582853" w:rsidP="00C537AF">
      <w:pPr>
        <w:pStyle w:val="ListParagraph"/>
        <w:numPr>
          <w:ilvl w:val="0"/>
          <w:numId w:val="3"/>
        </w:numPr>
        <w:bidi w:val="0"/>
        <w:spacing w:line="480" w:lineRule="auto"/>
      </w:pPr>
      <w:commentRangeStart w:id="1"/>
      <w:r>
        <w:lastRenderedPageBreak/>
        <w:t xml:space="preserve">Test for an interaction between task and within-subject fluctuations in metacognitive sensitivity. Specifically, test the hypothesis that the frontopolar cortex is more associated with fluctuations in metacognitive sensitivity in detection trials when the subject reported the target to be missing </w:t>
      </w:r>
      <w:r>
        <w:fldChar w:fldCharType="begin" w:fldLock="1"/>
      </w:r>
      <w:r w:rsidR="00EE575B">
        <w:instrText>ADDIN CSL_CITATION { "citationItems" : [ { "id" : "ITEM-1", "itemData" : { "DOI" : "10.1016/j.neuron.2017.12.040", "ISSN" : "1097-4199", "PMID" : "29395916", "abstract" : "Self-evaluation of one's own ignorance requires us to peer into our own mind retrospectively. Here, we found that only the bilateral frontopolar cortices (area 10) are recruited for metacognitive evaluation of non-experienced events in macaque monkeys performing metacognitive confidence judgment on memory under fMRI scanning and that targeted reversible inactivation of the localized spots in area 10 selectively impaired the confidence judgment of non-experienced events. In contrast, fMRI experiments revealed that area 10 was not recruited for metacognition of experienced events like the way that the dorsal prefrontal cortex (area 9) was and, correspondingly, the inactivation of area 10 did not impair confidence judgment of experienced events. Notably, this inactivation did not impair the ability to identify novel events by distinguishing from repetitive events. Our findings elucidate that the frontopolar cortex plays a causal role to confer not awareness of past experience in general but awareness of one's own ignorance.", "author" : [ { "dropping-particle" : "", "family" : "Miyamoto", "given" : "Kentaro", "non-dropping-particle" : "", "parse-names" : false, "suffix" : "" }, { "dropping-particle" : "", "family" : "Setsuie", "given" : "Rieko", "non-dropping-particle" : "", "parse-names" : false, "suffix" : "" }, { "dropping-particle" : "", "family" : "Osada", "given" : "Takahiro", "non-dropping-particle" : "", "parse-names" : false, "suffix" : "" }, { "dropping-particle" : "", "family" : "Miyashita", "given" : "Yasushi", "non-dropping-particle" : "", "parse-names" : false, "suffix" : "" } ], "container-title" : "Neuron", "id" : "ITEM-1", "issue" : "4", "issued" : { "date-parts" : [ [ "2018", "2", "21" ] ] }, "page" : "980-989.e6", "publisher" : "Elsevier", "title" : "Reversible Silencing of the Frontopolar Cortex Selectively Impairs Metacognitive Judgment on Non-experience in Primates.", "type" : "article-journal", "volume" : "97" }, "uris" : [ "http://www.mendeley.com/documents/?uuid=36fc932b-f921-307b-a670-8e3f5f7577e9" ] } ], "mendeley" : { "formattedCitation" : "(Miyamoto, Setsuie, Osada, &amp; Miyashita, 2018)", "plainTextFormattedCitation" : "(Miyamoto, Setsuie, Osada, &amp; Miyashita, 2018)", "previouslyFormattedCitation" : "(Miyamoto, Setsuie, Osada, &amp; Miyashita, 2018)" }, "properties" : {  }, "schema" : "https://github.com/citation-style-language/schema/raw/master/csl-citation.json" }</w:instrText>
      </w:r>
      <w:r>
        <w:fldChar w:fldCharType="separate"/>
      </w:r>
      <w:r w:rsidRPr="00582853">
        <w:rPr>
          <w:noProof/>
        </w:rPr>
        <w:t>(Miyamoto, Setsuie, Osada, &amp; Miyashita, 2018)</w:t>
      </w:r>
      <w:r>
        <w:fldChar w:fldCharType="end"/>
      </w:r>
      <w:commentRangeEnd w:id="1"/>
      <w:r w:rsidR="00F849BF">
        <w:rPr>
          <w:rStyle w:val="CommentReference"/>
        </w:rPr>
        <w:commentReference w:id="1"/>
      </w:r>
      <w:r>
        <w:t>.</w:t>
      </w:r>
    </w:p>
    <w:p w14:paraId="2E556FB4" w14:textId="77777777" w:rsidR="00984701" w:rsidRDefault="00984701" w:rsidP="00C537AF">
      <w:pPr>
        <w:pStyle w:val="Heading2"/>
        <w:bidi w:val="0"/>
        <w:spacing w:line="480" w:lineRule="auto"/>
      </w:pPr>
      <w:r>
        <w:t>Design</w:t>
      </w:r>
    </w:p>
    <w:p w14:paraId="1EAB1E37" w14:textId="6D9D5231" w:rsidR="00EB474F" w:rsidRDefault="00CB27CF" w:rsidP="00C537AF">
      <w:pPr>
        <w:bidi w:val="0"/>
        <w:spacing w:line="480" w:lineRule="auto"/>
      </w:pPr>
      <w:r>
        <w:t xml:space="preserve">We will test </w:t>
      </w:r>
      <w:r w:rsidR="00F849BF">
        <w:t>35</w:t>
      </w:r>
      <w:r>
        <w:t xml:space="preserve"> healthy subjects in a 3</w:t>
      </w:r>
      <w:r w:rsidR="00BF54ED">
        <w:t xml:space="preserve"> Tesla</w:t>
      </w:r>
      <w:r>
        <w:t xml:space="preserve"> MRI scanner in the Welcome Centre for Human Neuroimaging, Institute of Neurology, University College London. </w:t>
      </w:r>
    </w:p>
    <w:p w14:paraId="2D1390C2" w14:textId="32C824FE" w:rsidR="008A122B" w:rsidRDefault="008A122B" w:rsidP="00C537AF">
      <w:pPr>
        <w:bidi w:val="0"/>
        <w:spacing w:line="480" w:lineRule="auto"/>
      </w:pPr>
      <w:r>
        <w:t>P</w:t>
      </w:r>
      <w:r w:rsidR="00034001">
        <w:t>articipants will be acquainted with the task</w:t>
      </w:r>
      <w:r>
        <w:t xml:space="preserve"> in a preceding </w:t>
      </w:r>
      <w:proofErr w:type="spellStart"/>
      <w:r>
        <w:t>behavioural</w:t>
      </w:r>
      <w:proofErr w:type="spellEnd"/>
      <w:r>
        <w:t xml:space="preserve"> session</w:t>
      </w:r>
      <w:r w:rsidR="00034001">
        <w:t>. During this session, task difficulty will be adjusted independently for detection and for</w:t>
      </w:r>
      <w:r w:rsidR="00D9285D">
        <w:t xml:space="preserve"> discrimination, targeting 0.71 accuracy on both tasks.</w:t>
      </w:r>
      <w:r w:rsidR="00034001">
        <w:t xml:space="preserve">  </w:t>
      </w:r>
    </w:p>
    <w:p w14:paraId="25B2E4F2" w14:textId="433FFC04" w:rsidR="00BF54ED" w:rsidRDefault="00BF54ED" w:rsidP="00C537AF">
      <w:pPr>
        <w:bidi w:val="0"/>
        <w:spacing w:line="480" w:lineRule="auto"/>
      </w:pPr>
      <w:r>
        <w:t xml:space="preserve">Participants will undergo </w:t>
      </w:r>
      <w:r w:rsidR="00F849BF">
        <w:t>5</w:t>
      </w:r>
      <w:r w:rsidR="0041227A">
        <w:t xml:space="preserve"> </w:t>
      </w:r>
      <w:r w:rsidR="008A122B">
        <w:t xml:space="preserve">functional </w:t>
      </w:r>
      <w:r>
        <w:t xml:space="preserve">scanner runs, </w:t>
      </w:r>
      <w:r w:rsidR="0041227A">
        <w:t>each</w:t>
      </w:r>
      <w:r>
        <w:t xml:space="preserve"> </w:t>
      </w:r>
      <w:r w:rsidR="00F849BF">
        <w:t>comprising of one detection and one discrimination b</w:t>
      </w:r>
      <w:r w:rsidR="00034001">
        <w:t>l</w:t>
      </w:r>
      <w:r w:rsidR="00F849BF">
        <w:t xml:space="preserve">ocks </w:t>
      </w:r>
      <w:r>
        <w:t xml:space="preserve">of </w:t>
      </w:r>
      <w:r w:rsidR="00F849BF">
        <w:t>40</w:t>
      </w:r>
      <w:r>
        <w:t xml:space="preserve"> trials</w:t>
      </w:r>
      <w:r w:rsidR="00F849BF">
        <w:t xml:space="preserve"> each</w:t>
      </w:r>
      <w:r w:rsidR="008A122B">
        <w:t>, in random order</w:t>
      </w:r>
      <w:r w:rsidR="0041227A">
        <w:t xml:space="preserve">. </w:t>
      </w:r>
      <w:r>
        <w:t xml:space="preserve">After a temporally jittered rest period of 500-4000 milliseconds, </w:t>
      </w:r>
      <w:r w:rsidR="0041227A">
        <w:t xml:space="preserve">the trial will begin with a cue fixation cross (500 milliseconds), followed by a </w:t>
      </w:r>
      <w:r w:rsidR="00E60937">
        <w:t>presentation of the target for 33</w:t>
      </w:r>
      <w:r w:rsidR="006B6F6B">
        <w:t xml:space="preserve"> milliseconds</w:t>
      </w:r>
      <w:r w:rsidR="00E60937">
        <w:t>.</w:t>
      </w:r>
      <w:r w:rsidR="0041227A">
        <w:t xml:space="preserve"> In discrimination </w:t>
      </w:r>
      <w:r w:rsidR="00494E95">
        <w:t>trials</w:t>
      </w:r>
      <w:r w:rsidR="00E60937">
        <w:t xml:space="preserve">, the target will be a </w:t>
      </w:r>
      <w:r w:rsidR="00E60937" w:rsidRPr="00E60937">
        <w:t xml:space="preserve">circle </w:t>
      </w:r>
      <w:r w:rsidR="00E60937">
        <w:t xml:space="preserve">of </w:t>
      </w:r>
      <w:r w:rsidR="00E60937" w:rsidRPr="00E60937">
        <w:t>diameter 3° containing randomly generated white noise</w:t>
      </w:r>
      <w:r w:rsidR="00E60937">
        <w:t xml:space="preserve">, merged with </w:t>
      </w:r>
      <w:r w:rsidR="00E60937" w:rsidRPr="00E60937">
        <w:t>a sinusoidal grating (2 cycles per degree</w:t>
      </w:r>
      <w:r w:rsidR="00E60937">
        <w:t>; oriented 45</w:t>
      </w:r>
      <w:r w:rsidR="00E60937" w:rsidRPr="00E60937">
        <w:t>°</w:t>
      </w:r>
      <w:r w:rsidR="00E60937">
        <w:t xml:space="preserve"> or -45</w:t>
      </w:r>
      <w:r w:rsidR="00E60937" w:rsidRPr="00E60937">
        <w:t>°)</w:t>
      </w:r>
      <w:r w:rsidR="00E60937">
        <w:t>.</w:t>
      </w:r>
      <w:r w:rsidR="00E60937" w:rsidRPr="00E60937">
        <w:t xml:space="preserve"> </w:t>
      </w:r>
      <w:r w:rsidR="00E60937">
        <w:t xml:space="preserve">In </w:t>
      </w:r>
      <w:r w:rsidR="00494E95">
        <w:t xml:space="preserve">half of the </w:t>
      </w:r>
      <w:r w:rsidR="00E60937">
        <w:t>detection</w:t>
      </w:r>
      <w:r w:rsidR="00494E95">
        <w:t xml:space="preserve"> trials</w:t>
      </w:r>
      <w:r w:rsidR="00E60937">
        <w:t>, target</w:t>
      </w:r>
      <w:r w:rsidR="00E87693">
        <w:t>s</w:t>
      </w:r>
      <w:r w:rsidR="00E60937">
        <w:t xml:space="preserve"> will not contain a sinusoidal grating</w:t>
      </w:r>
      <w:r w:rsidR="00E87693">
        <w:t xml:space="preserve"> and will consist of random noise only</w:t>
      </w:r>
      <w:r w:rsidR="00E60937">
        <w:t xml:space="preserve">. </w:t>
      </w:r>
      <w:r w:rsidR="00E60937" w:rsidRPr="00E60937">
        <w:t>After the offset of the stimuli</w:t>
      </w:r>
      <w:r w:rsidR="0041227A">
        <w:t xml:space="preserve">, participants will </w:t>
      </w:r>
      <w:r w:rsidR="00E87693">
        <w:t xml:space="preserve">use </w:t>
      </w:r>
      <w:r w:rsidR="0041227A">
        <w:t>their right</w:t>
      </w:r>
      <w:r w:rsidR="00E87693">
        <w:t xml:space="preserve">-hand index and middle fingers to make a forced-choice perceptual decision about the orientation of the grating (discrimination </w:t>
      </w:r>
      <w:r w:rsidR="0041227A">
        <w:t>blocks</w:t>
      </w:r>
      <w:r w:rsidR="00E87693">
        <w:t xml:space="preserve">), or about the presence or absence of a grating (detection blocks). </w:t>
      </w:r>
      <w:r w:rsidR="00494E95">
        <w:t>Participants will then use their left-hand thumb to rate their confidence in their decision</w:t>
      </w:r>
      <w:r w:rsidR="00D62C94">
        <w:t xml:space="preserve"> on</w:t>
      </w:r>
      <w:r w:rsidR="0041227A">
        <w:t xml:space="preserve"> </w:t>
      </w:r>
      <w:r w:rsidR="00494E95">
        <w:t>a 6-point scale. The perceptual decision and the confidence rating phases</w:t>
      </w:r>
      <w:r w:rsidR="006B6F6B">
        <w:t xml:space="preserve"> will</w:t>
      </w:r>
      <w:r w:rsidR="0041227A">
        <w:t xml:space="preserve"> be </w:t>
      </w:r>
      <w:r w:rsidR="00494E95">
        <w:t>restricted</w:t>
      </w:r>
      <w:r w:rsidR="00D62C94">
        <w:t xml:space="preserve"> to </w:t>
      </w:r>
      <w:r w:rsidR="00494E95">
        <w:t>1500 and 2500 milliseconds, respectively.</w:t>
      </w:r>
      <w:r w:rsidR="00EE575B">
        <w:t xml:space="preserve"> No feedback will be delivered to subjects about their performance. </w:t>
      </w:r>
    </w:p>
    <w:p w14:paraId="08B3F3D5" w14:textId="1741B825" w:rsidR="00D9285D" w:rsidRDefault="00D9285D" w:rsidP="00D9285D">
      <w:pPr>
        <w:pStyle w:val="Heading4"/>
        <w:bidi w:val="0"/>
      </w:pPr>
      <w:r>
        <w:lastRenderedPageBreak/>
        <w:t>Confidence rating</w:t>
      </w:r>
    </w:p>
    <w:p w14:paraId="6DF9223D" w14:textId="5894F5CF" w:rsidR="00D9285D" w:rsidRDefault="00D9285D" w:rsidP="00D9285D">
      <w:pPr>
        <w:bidi w:val="0"/>
      </w:pPr>
      <w:r>
        <w:t xml:space="preserve">Subjects will rate their confidence on a 6-point scale by pressing two keys </w:t>
      </w:r>
      <w:r w:rsidR="000A4BD4">
        <w:t xml:space="preserve">to increase and decrease their confidence level </w:t>
      </w:r>
      <w:r>
        <w:t>with their left-hand thumb. Confidence levels</w:t>
      </w:r>
      <w:r w:rsidR="000A4BD4">
        <w:t xml:space="preserve"> will be mapped to different sizes and colors of a circle, presented at the center of the screen. The mapping between color and size to confidence will be counterbalanced between participants: for half of the participants, high confidence will be mapped to small, red circles, and for the other half, high confidence will be mapped to large, blue circles. This </w:t>
      </w:r>
      <w:bookmarkStart w:id="2" w:name="_GoBack"/>
      <w:bookmarkEnd w:id="2"/>
      <w:r w:rsidR="000A4BD4">
        <w:t xml:space="preserve">counterbalancing is used to isolate confidence-related activations from activations that originate from the perceptual properties of the confidence scale. </w:t>
      </w:r>
    </w:p>
    <w:p w14:paraId="561C52F3" w14:textId="77777777" w:rsidR="000A4BD4" w:rsidRPr="00D9285D" w:rsidRDefault="000A4BD4" w:rsidP="000A4BD4">
      <w:pPr>
        <w:bidi w:val="0"/>
      </w:pPr>
    </w:p>
    <w:p w14:paraId="5B05DDE5" w14:textId="77777777" w:rsidR="006B6F6B" w:rsidRDefault="006B6F6B" w:rsidP="00C537AF">
      <w:pPr>
        <w:keepNext/>
        <w:bidi w:val="0"/>
        <w:spacing w:line="480" w:lineRule="auto"/>
      </w:pPr>
      <w:r>
        <w:rPr>
          <w:noProof/>
          <w:lang w:val="en-GB" w:eastAsia="en-GB"/>
        </w:rPr>
        <w:drawing>
          <wp:inline distT="0" distB="0" distL="0" distR="0" wp14:anchorId="7AC93EEF" wp14:editId="0A9EC1A9">
            <wp:extent cx="4530387" cy="2966720"/>
            <wp:effectExtent l="0" t="0" r="381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0387" cy="2966720"/>
                    </a:xfrm>
                    <a:prstGeom prst="rect">
                      <a:avLst/>
                    </a:prstGeom>
                  </pic:spPr>
                </pic:pic>
              </a:graphicData>
            </a:graphic>
          </wp:inline>
        </w:drawing>
      </w:r>
    </w:p>
    <w:p w14:paraId="0B1E8D0F" w14:textId="7750241F" w:rsidR="006B6F6B" w:rsidRDefault="006B6F6B" w:rsidP="00C537AF">
      <w:pPr>
        <w:pStyle w:val="Caption"/>
        <w:bidi w:val="0"/>
        <w:spacing w:line="480" w:lineRule="auto"/>
      </w:pPr>
      <w:r>
        <w:t xml:space="preserve">Figure </w:t>
      </w:r>
      <w:r w:rsidR="001966D5">
        <w:fldChar w:fldCharType="begin"/>
      </w:r>
      <w:r w:rsidR="001966D5">
        <w:instrText xml:space="preserve"> SEQ Figure \* ARABIC </w:instrText>
      </w:r>
      <w:r w:rsidR="001966D5">
        <w:fldChar w:fldCharType="separate"/>
      </w:r>
      <w:r>
        <w:rPr>
          <w:noProof/>
        </w:rPr>
        <w:t>1</w:t>
      </w:r>
      <w:r w:rsidR="001966D5">
        <w:rPr>
          <w:noProof/>
        </w:rPr>
        <w:fldChar w:fldCharType="end"/>
      </w:r>
      <w:r>
        <w:rPr>
          <w:noProof/>
        </w:rPr>
        <w:t>: Experimental design for discrimination and for detection trials.</w:t>
      </w:r>
      <w:r w:rsidR="00951D0E">
        <w:t xml:space="preserve"> Perceptual decisions are reported using the right index and middle fingers, and confidence ratings are reported using the left thumb. Confidence rating will be given by varying the size and color of a circle, with 6 options from small and red </w:t>
      </w:r>
      <w:proofErr w:type="spellStart"/>
      <w:r w:rsidR="00951D0E">
        <w:t>to</w:t>
      </w:r>
      <w:proofErr w:type="spellEnd"/>
      <w:r w:rsidR="00951D0E">
        <w:t xml:space="preserve"> big and blue. For half of the subjects, high confidence will be mapped to the small, red circle. For the other half, high confidence will be mapped to the big, blue circle. </w:t>
      </w:r>
      <w:r w:rsidR="00931F52">
        <w:t>The initial size and color of the circle will be determined randomly at the beginning of the confidence rating phase, to make the number of button presses independent from the final confidence rating.</w:t>
      </w:r>
    </w:p>
    <w:p w14:paraId="2E163D62" w14:textId="77777777" w:rsidR="006B6F6B" w:rsidRDefault="006B6F6B" w:rsidP="00C537AF">
      <w:pPr>
        <w:bidi w:val="0"/>
        <w:spacing w:line="480" w:lineRule="auto"/>
      </w:pPr>
    </w:p>
    <w:p w14:paraId="263DB6A3" w14:textId="32D1F821" w:rsidR="00BF54ED" w:rsidRDefault="00E57C5B" w:rsidP="00C537AF">
      <w:pPr>
        <w:pStyle w:val="Heading2"/>
        <w:bidi w:val="0"/>
        <w:spacing w:line="480" w:lineRule="auto"/>
      </w:pPr>
      <w:r>
        <w:t>Scanning Parameters</w:t>
      </w:r>
    </w:p>
    <w:p w14:paraId="6C17586D" w14:textId="3183BAE1" w:rsidR="00F32E95" w:rsidRDefault="00931F52" w:rsidP="00C537AF">
      <w:pPr>
        <w:bidi w:val="0"/>
        <w:spacing w:line="480" w:lineRule="auto"/>
      </w:pPr>
      <w:r>
        <w:t xml:space="preserve">Scanning will take place at the </w:t>
      </w:r>
      <w:proofErr w:type="spellStart"/>
      <w:r>
        <w:t>Wellcome</w:t>
      </w:r>
      <w:proofErr w:type="spellEnd"/>
      <w:r>
        <w:t xml:space="preserve"> Centre for Human Neuroimaging, London. </w:t>
      </w:r>
      <w:r w:rsidR="00F32E95">
        <w:t xml:space="preserve">We will use a Siemens Prisma MRI scanner </w:t>
      </w:r>
      <w:r>
        <w:t xml:space="preserve">with a 32-channel head coil. </w:t>
      </w:r>
    </w:p>
    <w:p w14:paraId="4EE18904" w14:textId="190EE937" w:rsidR="00F32E95" w:rsidRDefault="00F32E95" w:rsidP="00C537AF">
      <w:pPr>
        <w:bidi w:val="0"/>
        <w:spacing w:line="480" w:lineRule="auto"/>
      </w:pPr>
      <w:r>
        <w:lastRenderedPageBreak/>
        <w:t xml:space="preserve">We will acquire structural </w:t>
      </w:r>
      <w:r w:rsidR="00110463">
        <w:t>images</w:t>
      </w:r>
      <w:r>
        <w:t xml:space="preserve"> using </w:t>
      </w:r>
      <w:r w:rsidR="00110463">
        <w:t>an</w:t>
      </w:r>
      <w:r>
        <w:t xml:space="preserve"> MP </w:t>
      </w:r>
      <w:r w:rsidR="00110463">
        <w:t>RAGE sequence.</w:t>
      </w:r>
    </w:p>
    <w:p w14:paraId="62A4EF0E" w14:textId="09BEFBF0" w:rsidR="00110463" w:rsidRPr="00E57C5B" w:rsidRDefault="00110463" w:rsidP="00C537AF">
      <w:pPr>
        <w:bidi w:val="0"/>
        <w:spacing w:line="480" w:lineRule="auto"/>
      </w:pPr>
      <w:r>
        <w:t xml:space="preserve">Functional scans will be acquired using </w:t>
      </w:r>
      <w:r w:rsidR="00931F52">
        <w:t>a</w:t>
      </w:r>
      <w:r>
        <w:t xml:space="preserve"> 2D EPI sequence, optimized for regions near the orbito-frontal cortex (3.0x3.0x3.0mm voxels, TR=3.36 seconds, TE = 30 </w:t>
      </w:r>
      <w:proofErr w:type="spellStart"/>
      <w:r>
        <w:t>ms</w:t>
      </w:r>
      <w:proofErr w:type="spellEnd"/>
      <w:r>
        <w:t xml:space="preserve">, 48 slices tilted by -30 degrees with respect to the T&gt;C axis, matrix size = 64x72, Z-shim=-1.4). </w:t>
      </w:r>
    </w:p>
    <w:p w14:paraId="2894637B" w14:textId="77777777" w:rsidR="00D62C94" w:rsidRDefault="00984701" w:rsidP="00C537AF">
      <w:pPr>
        <w:pStyle w:val="Heading2"/>
        <w:bidi w:val="0"/>
        <w:spacing w:line="480" w:lineRule="auto"/>
      </w:pPr>
      <w:r>
        <w:t>Analysis</w:t>
      </w:r>
    </w:p>
    <w:p w14:paraId="5FB93E79" w14:textId="77777777" w:rsidR="00D62C94" w:rsidRPr="00D62C94" w:rsidRDefault="00705092" w:rsidP="00C537AF">
      <w:pPr>
        <w:pStyle w:val="Heading3"/>
        <w:bidi w:val="0"/>
        <w:spacing w:line="480" w:lineRule="auto"/>
      </w:pPr>
      <w:r>
        <w:t>fMRI data p</w:t>
      </w:r>
      <w:r w:rsidR="00D62C94">
        <w:t>reprocessing</w:t>
      </w:r>
    </w:p>
    <w:p w14:paraId="609E8B29" w14:textId="77777777" w:rsidR="00705092" w:rsidRDefault="00EE575B" w:rsidP="00C537AF">
      <w:pPr>
        <w:bidi w:val="0"/>
        <w:spacing w:line="480" w:lineRule="auto"/>
      </w:pPr>
      <w:r>
        <w:t>Data preprocessing will follow the procedure described in</w:t>
      </w:r>
      <w:r w:rsidR="00705092">
        <w:t xml:space="preserve"> Morales and colleagues (2018): </w:t>
      </w:r>
    </w:p>
    <w:p w14:paraId="3D4D909E" w14:textId="3D48FAE7" w:rsidR="00705092" w:rsidRPr="00924956" w:rsidRDefault="00705092" w:rsidP="00C537AF">
      <w:pPr>
        <w:bidi w:val="0"/>
        <w:spacing w:line="480" w:lineRule="auto"/>
        <w:ind w:left="720"/>
        <w:rPr>
          <w:i/>
          <w:iCs/>
        </w:rPr>
      </w:pPr>
      <w:r w:rsidRPr="00924956">
        <w:rPr>
          <w:i/>
          <w:iCs/>
        </w:rPr>
        <w:t xml:space="preserve">Imaging analysis was performed using SPM12 (Statistical Parametric Mapping; www.fil.ion.ucl.ac.uk/spm). The first five volumes of each run were discarded to allow for T1 stabilization. Functional images were realigned and </w:t>
      </w:r>
      <w:proofErr w:type="spellStart"/>
      <w:r w:rsidRPr="00924956">
        <w:rPr>
          <w:i/>
          <w:iCs/>
        </w:rPr>
        <w:t>unwarped</w:t>
      </w:r>
      <w:proofErr w:type="spellEnd"/>
      <w:r w:rsidRPr="00924956">
        <w:rPr>
          <w:i/>
          <w:iCs/>
        </w:rPr>
        <w:t xml:space="preserve"> using local field maps (Andersson et al., 2001) and then slice-time corrected (</w:t>
      </w:r>
      <w:proofErr w:type="spellStart"/>
      <w:r w:rsidRPr="00924956">
        <w:rPr>
          <w:i/>
          <w:iCs/>
        </w:rPr>
        <w:t>Sladky</w:t>
      </w:r>
      <w:proofErr w:type="spellEnd"/>
      <w:r w:rsidRPr="00924956">
        <w:rPr>
          <w:i/>
          <w:iCs/>
        </w:rPr>
        <w:t xml:space="preserve"> et al., 2011). Each participant’s structural image was segmented into gray matter, white matter, CSF, bone, soft tissue, and air/background images using a nonlinear deformation field to map it onto template tissue probability maps (</w:t>
      </w:r>
      <w:proofErr w:type="spellStart"/>
      <w:r w:rsidRPr="00924956">
        <w:rPr>
          <w:i/>
          <w:iCs/>
        </w:rPr>
        <w:t>Ashburner</w:t>
      </w:r>
      <w:proofErr w:type="spellEnd"/>
      <w:r w:rsidRPr="00924956">
        <w:rPr>
          <w:i/>
          <w:iCs/>
        </w:rPr>
        <w:t xml:space="preserve"> and </w:t>
      </w:r>
      <w:proofErr w:type="spellStart"/>
      <w:r w:rsidRPr="00924956">
        <w:rPr>
          <w:i/>
          <w:iCs/>
        </w:rPr>
        <w:t>Friston</w:t>
      </w:r>
      <w:proofErr w:type="spellEnd"/>
      <w:r w:rsidRPr="00924956">
        <w:rPr>
          <w:i/>
          <w:iCs/>
        </w:rPr>
        <w:t>, 2005). This mapping was applied to both structural and functional images to create normalized images to Montreal Neurological Institute (MNI) space. Normalized images were spatially smoothed using a Gaussian kernel (</w:t>
      </w:r>
      <w:r w:rsidR="009A3027">
        <w:rPr>
          <w:i/>
          <w:iCs/>
        </w:rPr>
        <w:t>6</w:t>
      </w:r>
      <w:commentRangeStart w:id="3"/>
      <w:r w:rsidRPr="00924956">
        <w:rPr>
          <w:i/>
          <w:iCs/>
        </w:rPr>
        <w:t xml:space="preserve"> mm FWHM</w:t>
      </w:r>
      <w:commentRangeEnd w:id="3"/>
      <w:r w:rsidR="001F31F5">
        <w:rPr>
          <w:rStyle w:val="CommentReference"/>
        </w:rPr>
        <w:commentReference w:id="3"/>
      </w:r>
      <w:r w:rsidRPr="00924956">
        <w:rPr>
          <w:i/>
          <w:iCs/>
        </w:rPr>
        <w:t>). We set a within-run 1 mm rotation and 4 mm affine motion cutoff criterion</w:t>
      </w:r>
      <w:r w:rsidR="009A3027">
        <w:rPr>
          <w:i/>
          <w:iCs/>
        </w:rPr>
        <w:t>.</w:t>
      </w:r>
      <w:r w:rsidR="00E57C5B">
        <w:rPr>
          <w:i/>
          <w:iCs/>
        </w:rPr>
        <w:t xml:space="preserve"> </w:t>
      </w:r>
    </w:p>
    <w:p w14:paraId="40696E03" w14:textId="27AE46AE" w:rsidR="00872BC5" w:rsidRDefault="00872BC5" w:rsidP="00C537AF">
      <w:pPr>
        <w:pStyle w:val="Heading3"/>
        <w:bidi w:val="0"/>
        <w:spacing w:line="480" w:lineRule="auto"/>
      </w:pPr>
      <w:r>
        <w:t>Exclusion Criteria</w:t>
      </w:r>
    </w:p>
    <w:p w14:paraId="6AC6222E" w14:textId="71F610ED" w:rsidR="00872BC5" w:rsidRDefault="00872BC5" w:rsidP="00C537AF">
      <w:pPr>
        <w:pStyle w:val="Heading4"/>
        <w:bidi w:val="0"/>
        <w:spacing w:line="480" w:lineRule="auto"/>
      </w:pPr>
      <w:r>
        <w:t>Subject exclusion</w:t>
      </w:r>
    </w:p>
    <w:p w14:paraId="535E8D74" w14:textId="669E0032" w:rsidR="00872BC5" w:rsidRDefault="00872BC5" w:rsidP="00C537AF">
      <w:pPr>
        <w:bidi w:val="0"/>
        <w:spacing w:line="480" w:lineRule="auto"/>
      </w:pPr>
      <w:r>
        <w:t xml:space="preserve">Subjects will be excluded from </w:t>
      </w:r>
      <w:r w:rsidR="004B502F">
        <w:t xml:space="preserve">all </w:t>
      </w:r>
      <w:r>
        <w:t>analys</w:t>
      </w:r>
      <w:r w:rsidR="004B502F">
        <w:t>e</w:t>
      </w:r>
      <w:r>
        <w:t>s in the following cases:</w:t>
      </w:r>
    </w:p>
    <w:p w14:paraId="5E90C638" w14:textId="00FE9427" w:rsidR="004B502F" w:rsidRDefault="004B502F" w:rsidP="00C537AF">
      <w:pPr>
        <w:pStyle w:val="ListParagraph"/>
        <w:numPr>
          <w:ilvl w:val="0"/>
          <w:numId w:val="17"/>
        </w:numPr>
        <w:bidi w:val="0"/>
        <w:spacing w:line="480" w:lineRule="auto"/>
      </w:pPr>
      <w:r>
        <w:t>They missed more than 20% of the trials.</w:t>
      </w:r>
    </w:p>
    <w:p w14:paraId="41864441" w14:textId="4EA30421" w:rsidR="004B502F" w:rsidRDefault="004B502F" w:rsidP="00C537AF">
      <w:pPr>
        <w:pStyle w:val="ListParagraph"/>
        <w:numPr>
          <w:ilvl w:val="0"/>
          <w:numId w:val="17"/>
        </w:numPr>
        <w:bidi w:val="0"/>
        <w:spacing w:line="480" w:lineRule="auto"/>
      </w:pPr>
      <w:r>
        <w:t>Their mean accuracy in one of the tasks was lower than 60%.</w:t>
      </w:r>
    </w:p>
    <w:p w14:paraId="373DD6BF" w14:textId="7F7AA7A4" w:rsidR="004B502F" w:rsidRDefault="004B502F" w:rsidP="00C537AF">
      <w:pPr>
        <w:pStyle w:val="ListParagraph"/>
        <w:numPr>
          <w:ilvl w:val="0"/>
          <w:numId w:val="17"/>
        </w:numPr>
        <w:bidi w:val="0"/>
        <w:spacing w:line="480" w:lineRule="auto"/>
      </w:pPr>
      <w:r>
        <w:t>They exceeded the head motion cutoff criterion</w:t>
      </w:r>
      <w:r w:rsidR="00C537AF">
        <w:t xml:space="preserve"> in more than 1 experimental runs</w:t>
      </w:r>
      <w:r>
        <w:t>.</w:t>
      </w:r>
    </w:p>
    <w:p w14:paraId="6916B85C" w14:textId="145D32B5" w:rsidR="004B502F" w:rsidRDefault="004B502F" w:rsidP="00C537AF">
      <w:pPr>
        <w:pStyle w:val="ListParagraph"/>
        <w:numPr>
          <w:ilvl w:val="0"/>
          <w:numId w:val="17"/>
        </w:numPr>
        <w:bidi w:val="0"/>
        <w:spacing w:line="480" w:lineRule="auto"/>
      </w:pPr>
      <w:r>
        <w:lastRenderedPageBreak/>
        <w:t xml:space="preserve">They were heavily biased toward a </w:t>
      </w:r>
      <w:proofErr w:type="gramStart"/>
      <w:r>
        <w:t>particular response</w:t>
      </w:r>
      <w:proofErr w:type="gramEnd"/>
      <w:r>
        <w:t xml:space="preserve"> in one of the tasks, i.e., used the same response in more than 75% of the trials.</w:t>
      </w:r>
    </w:p>
    <w:p w14:paraId="566EF849" w14:textId="07B1881F" w:rsidR="004B502F" w:rsidRDefault="004B502F" w:rsidP="00C537AF">
      <w:pPr>
        <w:bidi w:val="0"/>
        <w:spacing w:line="480" w:lineRule="auto"/>
      </w:pPr>
      <w:r>
        <w:t xml:space="preserve">Subjects will be excluded from any </w:t>
      </w:r>
      <w:r w:rsidR="001966D5">
        <w:t>confidence-based analysis</w:t>
      </w:r>
      <w:r>
        <w:t xml:space="preserve"> in the following cases:</w:t>
      </w:r>
    </w:p>
    <w:p w14:paraId="186F4A6C" w14:textId="492BFEC1" w:rsidR="00872BC5" w:rsidRDefault="00872BC5" w:rsidP="00C537AF">
      <w:pPr>
        <w:pStyle w:val="ListParagraph"/>
        <w:numPr>
          <w:ilvl w:val="0"/>
          <w:numId w:val="17"/>
        </w:numPr>
        <w:bidi w:val="0"/>
        <w:spacing w:line="480" w:lineRule="auto"/>
      </w:pPr>
      <w:r>
        <w:t xml:space="preserve">They used </w:t>
      </w:r>
      <w:r w:rsidR="004B502F">
        <w:t>the same</w:t>
      </w:r>
      <w:r>
        <w:t xml:space="preserve"> confidence level for more than 80% of all trials.</w:t>
      </w:r>
    </w:p>
    <w:p w14:paraId="3DEE7A63" w14:textId="40BFD0D9" w:rsidR="00872BC5" w:rsidRDefault="004B502F" w:rsidP="00C537AF">
      <w:pPr>
        <w:pStyle w:val="ListParagraph"/>
        <w:numPr>
          <w:ilvl w:val="0"/>
          <w:numId w:val="17"/>
        </w:numPr>
        <w:bidi w:val="0"/>
        <w:spacing w:line="480" w:lineRule="auto"/>
      </w:pPr>
      <w:r>
        <w:t xml:space="preserve">For a </w:t>
      </w:r>
      <w:proofErr w:type="gramStart"/>
      <w:r>
        <w:t>particular response</w:t>
      </w:r>
      <w:proofErr w:type="gramEnd"/>
      <w:r>
        <w:t>, t</w:t>
      </w:r>
      <w:r w:rsidR="00872BC5">
        <w:t xml:space="preserve">hey used </w:t>
      </w:r>
      <w:r>
        <w:t>the same</w:t>
      </w:r>
      <w:r w:rsidR="00872BC5">
        <w:t xml:space="preserve"> confidence level for more than </w:t>
      </w:r>
      <w:r>
        <w:t>80% of the trials.</w:t>
      </w:r>
    </w:p>
    <w:p w14:paraId="19BBE888" w14:textId="55086341" w:rsidR="001966D5" w:rsidRDefault="001966D5" w:rsidP="00C537AF">
      <w:pPr>
        <w:pStyle w:val="Heading4"/>
        <w:bidi w:val="0"/>
        <w:spacing w:line="480" w:lineRule="auto"/>
      </w:pPr>
      <w:r>
        <w:t>Run exclusion</w:t>
      </w:r>
    </w:p>
    <w:p w14:paraId="3DD4A24F" w14:textId="53CBBB71" w:rsidR="001966D5" w:rsidRDefault="00C537AF" w:rsidP="00C537AF">
      <w:pPr>
        <w:bidi w:val="0"/>
        <w:spacing w:line="480" w:lineRule="auto"/>
      </w:pPr>
      <w:r>
        <w:t>Individual e</w:t>
      </w:r>
      <w:r w:rsidR="001966D5">
        <w:t>xperimental runs will not be analyses in the following cases:</w:t>
      </w:r>
    </w:p>
    <w:p w14:paraId="68EBD6C1" w14:textId="7DD48F4F" w:rsidR="001966D5" w:rsidRDefault="001966D5" w:rsidP="00C537AF">
      <w:pPr>
        <w:pStyle w:val="ListParagraph"/>
        <w:numPr>
          <w:ilvl w:val="0"/>
          <w:numId w:val="18"/>
        </w:numPr>
        <w:bidi w:val="0"/>
        <w:spacing w:line="480" w:lineRule="auto"/>
      </w:pPr>
      <w:r>
        <w:t>More than 20% of the trials in the run were missed.</w:t>
      </w:r>
    </w:p>
    <w:p w14:paraId="3A9AA419" w14:textId="4FD2A566" w:rsidR="001966D5" w:rsidRDefault="001966D5" w:rsidP="00C537AF">
      <w:pPr>
        <w:pStyle w:val="ListParagraph"/>
        <w:numPr>
          <w:ilvl w:val="0"/>
          <w:numId w:val="18"/>
        </w:numPr>
        <w:bidi w:val="0"/>
        <w:spacing w:line="480" w:lineRule="auto"/>
      </w:pPr>
      <w:r>
        <w:t>Mean accuracy in one of the tasks was lower than 60%.</w:t>
      </w:r>
    </w:p>
    <w:p w14:paraId="599621D5" w14:textId="49E2CE85" w:rsidR="001966D5" w:rsidRDefault="001966D5" w:rsidP="00C537AF">
      <w:pPr>
        <w:pStyle w:val="ListParagraph"/>
        <w:numPr>
          <w:ilvl w:val="0"/>
          <w:numId w:val="18"/>
        </w:numPr>
        <w:bidi w:val="0"/>
        <w:spacing w:line="480" w:lineRule="auto"/>
      </w:pPr>
      <w:r>
        <w:t>H</w:t>
      </w:r>
      <w:r w:rsidR="00C537AF">
        <w:t>e</w:t>
      </w:r>
      <w:r>
        <w:t>ad motion cutoff criterion was exceeded.</w:t>
      </w:r>
    </w:p>
    <w:p w14:paraId="6F9CBE8B" w14:textId="18B8EE1C" w:rsidR="001966D5" w:rsidRDefault="001966D5" w:rsidP="00C537AF">
      <w:pPr>
        <w:pStyle w:val="ListParagraph"/>
        <w:numPr>
          <w:ilvl w:val="0"/>
          <w:numId w:val="18"/>
        </w:numPr>
        <w:bidi w:val="0"/>
        <w:spacing w:line="480" w:lineRule="auto"/>
      </w:pPr>
      <w:r>
        <w:t>There was a heavy bias toward one response in one of the tasks, i.e., the participant used the same response in more than 75% of the trials.</w:t>
      </w:r>
    </w:p>
    <w:p w14:paraId="72A0C27A" w14:textId="77777777" w:rsidR="001966D5" w:rsidRDefault="001966D5" w:rsidP="00C537AF">
      <w:pPr>
        <w:bidi w:val="0"/>
        <w:spacing w:line="480" w:lineRule="auto"/>
      </w:pPr>
      <w:r>
        <w:t>Experimental runs will not be used for confidence analysis if:</w:t>
      </w:r>
    </w:p>
    <w:p w14:paraId="179A1E47" w14:textId="1AFCCE54" w:rsidR="001966D5" w:rsidRDefault="001966D5" w:rsidP="00C537AF">
      <w:pPr>
        <w:pStyle w:val="ListParagraph"/>
        <w:numPr>
          <w:ilvl w:val="0"/>
          <w:numId w:val="19"/>
        </w:numPr>
        <w:bidi w:val="0"/>
        <w:spacing w:line="480" w:lineRule="auto"/>
      </w:pPr>
      <w:r>
        <w:t>The same confidence level was used for more than 80% of all trials.</w:t>
      </w:r>
    </w:p>
    <w:p w14:paraId="148C642D" w14:textId="5D62933D" w:rsidR="001966D5" w:rsidRDefault="001966D5" w:rsidP="00C537AF">
      <w:pPr>
        <w:pStyle w:val="ListParagraph"/>
        <w:numPr>
          <w:ilvl w:val="0"/>
          <w:numId w:val="19"/>
        </w:numPr>
        <w:bidi w:val="0"/>
        <w:spacing w:line="480" w:lineRule="auto"/>
      </w:pPr>
      <w:r>
        <w:t xml:space="preserve">For a </w:t>
      </w:r>
      <w:proofErr w:type="gramStart"/>
      <w:r>
        <w:t>particular response</w:t>
      </w:r>
      <w:proofErr w:type="gramEnd"/>
      <w:r>
        <w:t>, the same confidence level was reported for more than 80% of the trials.</w:t>
      </w:r>
    </w:p>
    <w:p w14:paraId="46733B4E" w14:textId="77777777" w:rsidR="001966D5" w:rsidRPr="001966D5" w:rsidRDefault="001966D5" w:rsidP="00C537AF">
      <w:pPr>
        <w:bidi w:val="0"/>
        <w:spacing w:line="480" w:lineRule="auto"/>
      </w:pPr>
    </w:p>
    <w:p w14:paraId="67AA4289" w14:textId="033C6E8B" w:rsidR="00114EE6" w:rsidRDefault="00114EE6" w:rsidP="00C537AF">
      <w:pPr>
        <w:pStyle w:val="Heading3"/>
        <w:bidi w:val="0"/>
        <w:spacing w:line="480" w:lineRule="auto"/>
      </w:pPr>
      <w:r>
        <w:t>Regions of Interest</w:t>
      </w:r>
    </w:p>
    <w:p w14:paraId="43DAF5C3" w14:textId="58A53007" w:rsidR="00114EE6" w:rsidRDefault="00114EE6" w:rsidP="00C537AF">
      <w:pPr>
        <w:bidi w:val="0"/>
        <w:spacing w:line="480" w:lineRule="auto"/>
      </w:pPr>
      <w:r>
        <w:t xml:space="preserve">In addition to an exploratory whole-brain analysis </w:t>
      </w:r>
      <w:r w:rsidR="00764333">
        <w:t>(</w:t>
      </w:r>
      <w:r>
        <w:t>corrected for multiple comparisons at the cluster level</w:t>
      </w:r>
      <w:r w:rsidR="00764333">
        <w:t>)</w:t>
      </w:r>
      <w:r>
        <w:t xml:space="preserve">, our analysis will focus on the following </w:t>
      </w:r>
      <w:r>
        <w:rPr>
          <w:i/>
          <w:iCs/>
        </w:rPr>
        <w:t xml:space="preserve">a priori </w:t>
      </w:r>
      <w:r>
        <w:t>regions of interest</w:t>
      </w:r>
      <w:r w:rsidR="00DD39A4">
        <w:t xml:space="preserve">, largely following the ROIs used </w:t>
      </w:r>
      <w:r w:rsidR="00764333">
        <w:t>at</w:t>
      </w:r>
      <w:r w:rsidR="00DD39A4">
        <w:t xml:space="preserve"> </w:t>
      </w:r>
      <w:r w:rsidR="005A4A5C">
        <w:fldChar w:fldCharType="begin" w:fldLock="1"/>
      </w:r>
      <w:r w:rsidR="005A4A5C">
        <w:instrText>ADDIN CSL_CITATION { "citationItems" : [ { "id" : "ITEM-1", "itemData" : { "DOI" : "10.1038/s41593-018-0104-6", "ISSN" : "1097-6256", "abstract" : "Changing one\u2019s mind on the basis of new evidence is a hallmark of cognitive flexibility. To revise our confidence in a previous decision, we should use new evidence to update beliefs about choice accuracy. How this process unfolds in the human brain, however, remains unknown. Here we manipulated whether additional sensory evidence supports or negates a previous motion direction discrimination judgment while recording markers of neural activity in the human brain using fMRI. A signature of post-decision evidence (change in log-odds correct) was selectively observed in the activity of posterior medial frontal cortex. In contrast, distinct activity profiles in anterior prefrontal cortex mediated the impact of post-decision evidence on subjective confidence, independently of changes in decision value. Together our findings reveal candidate neural mediators of post-decisional changes of mind in the human brain and indicate possible targets for ameliorating deficits in cognitive flexibility.", "author" : [ { "dropping-particle" : "", "family" : "Fleming", "given" : "Stephen M.", "non-dropping-particle" : "", "parse-names" : false, "suffix" : "" }, { "dropping-particle" : "", "family" : "Putten", "given" : "Elisabeth J.", "non-dropping-particle" : "van der", "parse-names" : false, "suffix" : "" }, { "dropping-particle" : "", "family" : "Daw", "given" : "Nathaniel D.", "non-dropping-particle" : "", "parse-names" : false, "suffix" : "" } ], "container-title" : "Nature Neuroscience", "id" : "ITEM-1", "issue" : "4", "issued" : { "date-parts" : [ [ "2018", "4", "12" ] ] }, "page" : "617-624", "publisher" : "Nature Publishing Group", "title" : "Neural mediators of changes of mind about perceptual decisions", "type" : "article-journal", "volume" : "21" }, "uris" : [ "http://www.mendeley.com/documents/?uuid=ea2dffaf-0b80-3217-9d84-18b3015fa26c" ] } ], "mendeley" : { "formattedCitation" : "(Stephen M. Fleming, van der Putten, &amp; Daw, 2018)", "manualFormatting" : "Stephen M. Fleming, van der Putten, &amp; Daw, 2018", "plainTextFormattedCitation" : "(Stephen M. Fleming, van der Putten, &amp; Daw, 2018)", "previouslyFormattedCitation" : "(Stephen M. Fleming, van der Putten, &amp; Daw, 2018)" }, "properties" : {  }, "schema" : "https://github.com/citation-style-language/schema/raw/master/csl-citation.json" }</w:instrText>
      </w:r>
      <w:r w:rsidR="005A4A5C">
        <w:fldChar w:fldCharType="separate"/>
      </w:r>
      <w:r w:rsidR="005A4A5C" w:rsidRPr="005A4A5C">
        <w:rPr>
          <w:noProof/>
        </w:rPr>
        <w:t>Stephen M. Fleming, van der Putten, &amp; Daw, 2018</w:t>
      </w:r>
      <w:r w:rsidR="005A4A5C">
        <w:fldChar w:fldCharType="end"/>
      </w:r>
      <w:r>
        <w:t>:</w:t>
      </w:r>
    </w:p>
    <w:p w14:paraId="42DD95EC" w14:textId="743DB9B2" w:rsidR="00114EE6" w:rsidRDefault="005A4A5C" w:rsidP="00C537AF">
      <w:pPr>
        <w:pStyle w:val="ListParagraph"/>
        <w:numPr>
          <w:ilvl w:val="0"/>
          <w:numId w:val="16"/>
        </w:numPr>
        <w:bidi w:val="0"/>
        <w:spacing w:line="480" w:lineRule="auto"/>
      </w:pPr>
      <w:r>
        <w:rPr>
          <w:i/>
          <w:iCs/>
        </w:rPr>
        <w:lastRenderedPageBreak/>
        <w:t>F</w:t>
      </w:r>
      <w:r w:rsidR="00114EE6" w:rsidRPr="00C406DA">
        <w:rPr>
          <w:i/>
          <w:iCs/>
        </w:rPr>
        <w:t>rontopolar cortex</w:t>
      </w:r>
      <w:r w:rsidR="00114EE6">
        <w:t xml:space="preserve"> (</w:t>
      </w:r>
      <w:r w:rsidR="00C406DA">
        <w:t xml:space="preserve">FPC, </w:t>
      </w:r>
      <w:r w:rsidR="00114EE6">
        <w:t xml:space="preserve">defined anatomically). We will use a connectivity based parcellation </w:t>
      </w:r>
      <w:r w:rsidR="00114EE6">
        <w:fldChar w:fldCharType="begin" w:fldLock="1"/>
      </w:r>
      <w:r w:rsidR="00114EE6">
        <w:instrText>ADDIN CSL_CITATION { "citationItems" : [ { "id" : "ITEM-1",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"ITEM-1",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"(Neubert et al., 2014)", "plainTextFormattedCitation" : "(Neubert et al., 2014)", "previouslyFormattedCitation" : "(Neubert et al., 2014)" }, "properties" : {  }, "schema" : "https://github.com/citation-style-language/schema/raw/master/csl-citation.json" }</w:instrText>
      </w:r>
      <w:r w:rsidR="00114EE6">
        <w:fldChar w:fldCharType="separate"/>
      </w:r>
      <w:r w:rsidR="00114EE6" w:rsidRPr="00114EE6">
        <w:rPr>
          <w:noProof/>
        </w:rPr>
        <w:t>(Neubert et al., 2014)</w:t>
      </w:r>
      <w:r w:rsidR="00114EE6">
        <w:fldChar w:fldCharType="end"/>
      </w:r>
      <w:r w:rsidR="00114EE6">
        <w:t xml:space="preserve"> to define a general FPC region of interest as the </w:t>
      </w:r>
      <w:r w:rsidR="003E2375">
        <w:t>total area spanned by</w:t>
      </w:r>
      <w:r w:rsidR="00114EE6">
        <w:t xml:space="preserve"> areas </w:t>
      </w:r>
      <w:proofErr w:type="spellStart"/>
      <w:r w:rsidR="00114EE6">
        <w:t>FPl</w:t>
      </w:r>
      <w:proofErr w:type="spellEnd"/>
      <w:r w:rsidR="00114EE6">
        <w:t>,</w:t>
      </w:r>
      <w:r w:rsidR="00102D86">
        <w:t xml:space="preserve"> </w:t>
      </w:r>
      <w:r w:rsidR="00114EE6">
        <w:t xml:space="preserve"> </w:t>
      </w:r>
      <w:proofErr w:type="spellStart"/>
      <w:r w:rsidR="00114EE6">
        <w:t>FPm</w:t>
      </w:r>
      <w:proofErr w:type="spellEnd"/>
      <w:r w:rsidR="00114EE6">
        <w:t xml:space="preserve"> and BA46.</w:t>
      </w:r>
      <w:r w:rsidR="003E2573">
        <w:t xml:space="preserve"> The right hemisphere mask will be mirrored to create a bilateral mask. </w:t>
      </w:r>
    </w:p>
    <w:p w14:paraId="25D33FDF" w14:textId="51BCEAD1" w:rsidR="00C406DA" w:rsidRDefault="005A4A5C" w:rsidP="00C537AF">
      <w:pPr>
        <w:pStyle w:val="ListParagraph"/>
        <w:numPr>
          <w:ilvl w:val="0"/>
          <w:numId w:val="16"/>
        </w:numPr>
        <w:bidi w:val="0"/>
        <w:spacing w:line="480" w:lineRule="auto"/>
        <w:rPr>
          <w:i/>
          <w:iCs/>
        </w:rPr>
      </w:pPr>
      <w:r>
        <w:rPr>
          <w:i/>
          <w:iCs/>
        </w:rPr>
        <w:t>V</w:t>
      </w:r>
      <w:r w:rsidR="00C406DA" w:rsidRPr="00C406DA">
        <w:rPr>
          <w:i/>
          <w:iCs/>
        </w:rPr>
        <w:t>entromedial prefrontal cortex</w:t>
      </w:r>
      <w:r w:rsidR="00C406DA">
        <w:rPr>
          <w:i/>
          <w:iCs/>
        </w:rPr>
        <w:t xml:space="preserve"> </w:t>
      </w:r>
      <w:r w:rsidR="00C406DA">
        <w:t>(</w:t>
      </w:r>
      <w:proofErr w:type="spellStart"/>
      <w:r w:rsidR="00C406DA">
        <w:t>vmPFC</w:t>
      </w:r>
      <w:proofErr w:type="spellEnd"/>
      <w:r w:rsidR="003E2573">
        <w:t xml:space="preserve">). The </w:t>
      </w:r>
      <w:proofErr w:type="spellStart"/>
      <w:r w:rsidR="003E2573">
        <w:t>vmPFC</w:t>
      </w:r>
      <w:proofErr w:type="spellEnd"/>
      <w:r w:rsidR="003E2573">
        <w:t xml:space="preserve"> ROI will be defined as a </w:t>
      </w:r>
      <w:commentRangeStart w:id="4"/>
      <w:r w:rsidR="003E2573">
        <w:t xml:space="preserve">8-mm sphere </w:t>
      </w:r>
      <w:commentRangeEnd w:id="4"/>
      <w:r w:rsidR="003E2573">
        <w:rPr>
          <w:rStyle w:val="CommentReference"/>
        </w:rPr>
        <w:commentReference w:id="4"/>
      </w:r>
      <w:r w:rsidR="003E2573">
        <w:t>around MNI coordinate</w:t>
      </w:r>
      <w:r>
        <w:t>s</w:t>
      </w:r>
      <w:r w:rsidR="003E2573">
        <w:t xml:space="preserve"> [0,46,-7], </w:t>
      </w:r>
      <w:r>
        <w:t>obtained</w:t>
      </w:r>
      <w:r w:rsidR="003E2573">
        <w:t xml:space="preserve"> from a meta-analysis of subjective-value related activations </w:t>
      </w:r>
      <w:r w:rsidR="003E2573">
        <w:rPr>
          <w:i/>
          <w:iCs/>
        </w:rPr>
        <w:fldChar w:fldCharType="begin" w:fldLock="1"/>
      </w:r>
      <w:r w:rsidR="003E2573">
        <w:rPr>
          <w:i/>
          <w:iCs/>
        </w:rPr>
        <w:instrText>ADDIN CSL_CITATION { "citationItems" : [ { "id" : "ITEM-1", "itemData" : { "DOI" : "10.1016/j.neuroimage.2013.02.063",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"ITEM-1", "issued" : { "date-parts" : [ [ "2013", "8", "1" ] ] }, "page" : "412-427", "title" : "The valuation system: A coordinate-based meta-analysis of BOLD fMRI experiments examining neural correlates of subjective value", "type" : "article-journal", "volume" : "76" }, "uris" : [ "http://www.mendeley.com/documents/?uuid=712b2d9e-2056-3d69-92c0-53501a9135d0" ] } ], "mendeley" : { "formattedCitation" : "(Bartra, McGuire, &amp; Kable, 2013)", "plainTextFormattedCitation" : "(Bartra, McGuire, &amp; Kable, 2013)", "previouslyFormattedCitation" : "(Bartra, McGuire, &amp; Kable, 2013)" }, "properties" : {  }, "schema" : "https://github.com/citation-style-language/schema/raw/master/csl-citation.json" }</w:instrText>
      </w:r>
      <w:r w:rsidR="003E2573">
        <w:rPr>
          <w:i/>
          <w:iCs/>
        </w:rPr>
        <w:fldChar w:fldCharType="separate"/>
      </w:r>
      <w:r w:rsidR="003E2573" w:rsidRPr="003E2573">
        <w:rPr>
          <w:iCs/>
          <w:noProof/>
        </w:rPr>
        <w:t>(Bartra, McGuire, &amp; Kable, 2013)</w:t>
      </w:r>
      <w:r w:rsidR="003E2573">
        <w:rPr>
          <w:i/>
          <w:iCs/>
        </w:rPr>
        <w:fldChar w:fldCharType="end"/>
      </w:r>
      <w:r w:rsidR="007D4A99">
        <w:rPr>
          <w:i/>
          <w:iCs/>
        </w:rPr>
        <w:t xml:space="preserve"> </w:t>
      </w:r>
      <w:r w:rsidR="007D4A99">
        <w:t>and aligned to the cortical midline surface.</w:t>
      </w:r>
    </w:p>
    <w:p w14:paraId="691F0821" w14:textId="43F2B248" w:rsidR="00DD39A4" w:rsidRPr="00DD39A4" w:rsidRDefault="005A4A5C" w:rsidP="00C537AF">
      <w:pPr>
        <w:pStyle w:val="ListParagraph"/>
        <w:numPr>
          <w:ilvl w:val="0"/>
          <w:numId w:val="16"/>
        </w:numPr>
        <w:bidi w:val="0"/>
        <w:spacing w:line="480" w:lineRule="auto"/>
        <w:rPr>
          <w:i/>
          <w:iCs/>
        </w:rPr>
      </w:pPr>
      <w:r>
        <w:rPr>
          <w:i/>
          <w:iCs/>
        </w:rPr>
        <w:t>B</w:t>
      </w:r>
      <w:r w:rsidR="00AF41A8">
        <w:rPr>
          <w:i/>
          <w:iCs/>
        </w:rPr>
        <w:t>ilateral striatum.</w:t>
      </w:r>
      <w:r w:rsidR="00AF41A8">
        <w:t xml:space="preserve"> The striatum ROIs will be </w:t>
      </w:r>
      <w:r w:rsidR="007D2446">
        <w:t>specified anatomically from the Oxford-</w:t>
      </w:r>
      <w:proofErr w:type="spellStart"/>
      <w:r w:rsidR="007D2446">
        <w:t>Imanova</w:t>
      </w:r>
      <w:proofErr w:type="spellEnd"/>
      <w:r w:rsidR="007D2446">
        <w:t xml:space="preserve"> Striatal </w:t>
      </w:r>
      <w:proofErr w:type="spellStart"/>
      <w:r w:rsidR="007D2446">
        <w:t>Strctural</w:t>
      </w:r>
      <w:proofErr w:type="spellEnd"/>
      <w:r w:rsidR="007D2446">
        <w:t xml:space="preserve"> Atlas included with FSL</w:t>
      </w:r>
      <w:r>
        <w:t xml:space="preserve"> (http://fsl.fmrib.ox.ac.uk)</w:t>
      </w:r>
      <w:r w:rsidR="007D2446">
        <w:t>.</w:t>
      </w:r>
    </w:p>
    <w:p w14:paraId="11B9FB9E" w14:textId="49C7E340" w:rsidR="00AF41A8" w:rsidRDefault="005A4A5C" w:rsidP="00C537AF">
      <w:pPr>
        <w:pStyle w:val="ListParagraph"/>
        <w:numPr>
          <w:ilvl w:val="0"/>
          <w:numId w:val="16"/>
        </w:numPr>
        <w:bidi w:val="0"/>
        <w:spacing w:line="480" w:lineRule="auto"/>
        <w:rPr>
          <w:i/>
          <w:iCs/>
        </w:rPr>
      </w:pPr>
      <w:r>
        <w:rPr>
          <w:i/>
          <w:iCs/>
        </w:rPr>
        <w:t>Posterior medial frontal cortex (</w:t>
      </w:r>
      <w:proofErr w:type="spellStart"/>
      <w:r>
        <w:rPr>
          <w:i/>
          <w:iCs/>
        </w:rPr>
        <w:t>pMFC</w:t>
      </w:r>
      <w:proofErr w:type="spellEnd"/>
      <w:r>
        <w:rPr>
          <w:i/>
          <w:iCs/>
        </w:rPr>
        <w:t xml:space="preserve">). </w:t>
      </w:r>
      <w:r>
        <w:t xml:space="preserve">The </w:t>
      </w:r>
      <w:proofErr w:type="spellStart"/>
      <w:r>
        <w:t>pMFC</w:t>
      </w:r>
      <w:proofErr w:type="spellEnd"/>
      <w:r>
        <w:t xml:space="preserve"> ROI will be defined as a 8-mm sphere around MNI coordinates [0, 17, 46], obtained from a functional MRI study on decision confidence </w:t>
      </w:r>
      <w:r>
        <w:fldChar w:fldCharType="begin" w:fldLock="1"/>
      </w:r>
      <w:r>
        <w:instrText>ADDIN CSL_CITATION { "citationItems" : [ { "id" : "ITEM-1", "itemData" : { "DOI" : "10.1523/JNEUROSCI.6489-11.2012", "ISSN" : "1529-2401", "PMID" : "22553018", "abstract" : "Neuroscience has made considerable progress in understanding the neural substrates supporting cognitive performance in a number of domains, including memory, perception, and decision making. In contrast, how the human brain generates metacognitive awareness of task performance remains unclear. Here, we address this question by asking participants to perform perceptual decisions while providing concurrent metacognitive reports during fMRI scanning. We show that activity in right rostrolateral prefrontal cortex (rlPFC) satisfies three constraints for a role in metacognitive aspects of decision-making. Right rlPFC showed greater activity during self-report compared to a matched control condition, activity in this region correlated with reported confidence, and the strength of the relationship between activity and confidence predicted metacognitive ability across individuals. In addition, functional connectivity between right rlPFC and both contralateral PFC and visual cortex increased during metacognitive reports. We discuss these findings in a theoretical framework where rlPFC re-represents object-level decision uncertainty to facilitate metacognitive report.", "author" : [ { "dropping-particle" : "", "family" : "Fleming", "given" : "Stephen M", "non-dropping-particle" : "", "parse-names" : false, "suffix" : "" }, { "dropping-particle" : "", "family" : "Huijgen", "given" : "Josefien", "non-dropping-particle" : "", "parse-names" : false, "suffix" : "" }, { "dropping-particle" : "", "family" : "Dolan", "given" : "Raymond J", "non-dropping-particle" : "", "parse-names" : false, "suffix" : "" } ], "container-title" : "The Journal of neuroscience : the official journal of the Society for Neuroscience", "id" : "ITEM-1", "issue" : "18", "issued" : { "date-parts" : [ [ "2012", "5", "2" ] ] }, "page" : "6117-25", "publisher" : "Society for Neuroscience", "title" : "Prefrontal contributions to metacognition in perceptual decision making.", "type" : "article-journal", "volume" : "32" }, "uris" : [ "http://www.mendeley.com/documents/?uuid=53fc4058-4e6e-3e36-820a-4aea1f5868ff" ] } ], "mendeley" : { "formattedCitation" : "(Stephen M Fleming, Huijgen, &amp; Dolan, 2012)", "plainTextFormattedCitation" : "(Stephen M Fleming, Huijgen, &amp; Dolan, 2012)", "previouslyFormattedCitation" : "(Stephen M Fleming, Huijgen, &amp; Dolan, 2012)" }, "properties" : {  }, "schema" : "https://github.com/citation-style-language/schema/raw/master/csl-citation.json" }</w:instrText>
      </w:r>
      <w:r>
        <w:fldChar w:fldCharType="separate"/>
      </w:r>
      <w:r w:rsidRPr="005A4A5C">
        <w:rPr>
          <w:noProof/>
        </w:rPr>
        <w:t>(Stephen M Fleming, Huijgen, &amp; Dolan, 2012)</w:t>
      </w:r>
      <w:r>
        <w:fldChar w:fldCharType="end"/>
      </w:r>
      <w:r>
        <w:rPr>
          <w:i/>
          <w:iCs/>
        </w:rPr>
        <w:t>.</w:t>
      </w:r>
    </w:p>
    <w:p w14:paraId="6F668C6A" w14:textId="3CF707E0" w:rsidR="005A4A5C" w:rsidRDefault="005A4A5C" w:rsidP="00C537AF">
      <w:pPr>
        <w:pStyle w:val="ListParagraph"/>
        <w:numPr>
          <w:ilvl w:val="0"/>
          <w:numId w:val="16"/>
        </w:numPr>
        <w:bidi w:val="0"/>
        <w:spacing w:line="480" w:lineRule="auto"/>
        <w:rPr>
          <w:i/>
          <w:iCs/>
        </w:rPr>
      </w:pPr>
      <w:r>
        <w:rPr>
          <w:i/>
          <w:iCs/>
        </w:rPr>
        <w:t xml:space="preserve">Precuneus. </w:t>
      </w:r>
      <w:r>
        <w:t xml:space="preserve">The precuneus ROI will be </w:t>
      </w:r>
      <w:r w:rsidR="00E9115C">
        <w:t xml:space="preserve">defined as a 8-mm sphere around MNI coordinates [0,-57,18], based on a Voxel Based Morphometry studies of metacognitive efficiency </w:t>
      </w:r>
      <w:r w:rsidR="00E9115C">
        <w:fldChar w:fldCharType="begin" w:fldLock="1"/>
      </w:r>
      <w:r w:rsidR="00E911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"mendeley" : { "formattedCitation" : "(S.M. Fleming et al., 2009; Mccurdy et al., 2013)", "manualFormatting" : "(Fleming et al., 2010; Mccurdy et al., 2013)", "plainTextFormattedCitation" : "(S.M. Fleming et al., 2009; Mccurdy et al., 2013)", "previouslyFormattedCitation" : "(S.M. Fleming et al., 2009; Mccurdy et al., 2013)" }, "properties" : {  }, "schema" : "https://github.com/citation-style-language/schema/raw/master/csl-citation.json" }</w:instrText>
      </w:r>
      <w:r w:rsidR="00E9115C">
        <w:fldChar w:fldCharType="separate"/>
      </w:r>
      <w:r w:rsidR="00E9115C" w:rsidRPr="00E9115C">
        <w:rPr>
          <w:noProof/>
        </w:rPr>
        <w:t>(Fleming et al., 20</w:t>
      </w:r>
      <w:r w:rsidR="00E9115C">
        <w:rPr>
          <w:noProof/>
        </w:rPr>
        <w:t>10</w:t>
      </w:r>
      <w:r w:rsidR="00E9115C" w:rsidRPr="00E9115C">
        <w:rPr>
          <w:noProof/>
        </w:rPr>
        <w:t>; Mccurdy et al., 2013)</w:t>
      </w:r>
      <w:r w:rsidR="00E9115C">
        <w:fldChar w:fldCharType="end"/>
      </w:r>
      <w:r w:rsidR="00E9115C">
        <w:rPr>
          <w:i/>
          <w:iCs/>
        </w:rPr>
        <w:t xml:space="preserve"> </w:t>
      </w:r>
      <w:r w:rsidR="00E9115C">
        <w:t>and aligned to the cortical midline surface.</w:t>
      </w:r>
    </w:p>
    <w:p w14:paraId="76C8381D" w14:textId="0298C062" w:rsidR="00836AFE" w:rsidRDefault="00836AFE" w:rsidP="00C537AF">
      <w:pPr>
        <w:bidi w:val="0"/>
        <w:spacing w:line="480" w:lineRule="auto"/>
      </w:pPr>
      <w:r>
        <w:t xml:space="preserve">For the FPC ROI, a small-volume correction will be applied to individual voxels within the ROI for all contrasts and analyses, univariate and multivariate. </w:t>
      </w:r>
    </w:p>
    <w:p w14:paraId="6BF5F430" w14:textId="140F9512" w:rsidR="00764333" w:rsidRPr="00764333" w:rsidRDefault="00836AFE" w:rsidP="00C537AF">
      <w:pPr>
        <w:bidi w:val="0"/>
        <w:spacing w:line="480" w:lineRule="auto"/>
      </w:pPr>
      <w:r>
        <w:t xml:space="preserve">For all other ROIs, a GLM model will be fitted to the mean time course of voxels within the region for the univariate analysis. For the multivariate analysis, only the sphere </w:t>
      </w:r>
      <w:r w:rsidR="00931F52">
        <w:t>around</w:t>
      </w:r>
      <w:r>
        <w:t xml:space="preserve"> the </w:t>
      </w:r>
      <w:proofErr w:type="spellStart"/>
      <w:r>
        <w:t>centre</w:t>
      </w:r>
      <w:proofErr w:type="spellEnd"/>
      <w:r>
        <w:t xml:space="preserve"> voxel will be considered</w:t>
      </w:r>
      <w:r w:rsidR="00872BC5">
        <w:t xml:space="preserve"> as an a-priori ROI</w:t>
      </w:r>
      <w:r>
        <w:t xml:space="preserve">. </w:t>
      </w:r>
    </w:p>
    <w:p w14:paraId="63B1C660" w14:textId="338A9CB3" w:rsidR="00705092" w:rsidRDefault="00705092" w:rsidP="00C537AF">
      <w:pPr>
        <w:pStyle w:val="Heading3"/>
        <w:bidi w:val="0"/>
        <w:spacing w:line="480" w:lineRule="auto"/>
      </w:pPr>
      <w:r>
        <w:lastRenderedPageBreak/>
        <w:t>Univariate Analysis</w:t>
      </w:r>
    </w:p>
    <w:p w14:paraId="0137461E" w14:textId="77777777" w:rsidR="00931F52" w:rsidRDefault="00931F52" w:rsidP="00C537AF">
      <w:pPr>
        <w:pStyle w:val="Heading4"/>
        <w:bidi w:val="0"/>
        <w:spacing w:line="480" w:lineRule="auto"/>
      </w:pPr>
      <w:r>
        <w:t>Design Matrix</w:t>
      </w:r>
    </w:p>
    <w:p w14:paraId="722142B4" w14:textId="6FB3B8AA" w:rsidR="00931F52" w:rsidRDefault="00924956" w:rsidP="00C537AF">
      <w:pPr>
        <w:bidi w:val="0"/>
        <w:spacing w:line="480" w:lineRule="auto"/>
      </w:pPr>
      <w:r>
        <w:t xml:space="preserve">The design matrix for the univariate GLM analysis will consist of </w:t>
      </w:r>
      <w:r w:rsidR="00931F52">
        <w:t xml:space="preserve">16 regressors of interest. There will be 8 regressors for every combination of </w:t>
      </w:r>
      <w:r w:rsidR="00931F52" w:rsidRPr="00931F52">
        <w:rPr>
          <w:i/>
          <w:iCs/>
        </w:rPr>
        <w:t>task x condition x response</w:t>
      </w:r>
      <w:r w:rsidR="00931F52">
        <w:t xml:space="preserve">: For example, there will be a regressor for detection trials where a signal was present ('Yes') and the subject reported seeing a signal ('Yes'; Y_Y). A boxcar regressor with nonzero entries at the </w:t>
      </w:r>
      <w:proofErr w:type="gramStart"/>
      <w:r w:rsidR="00931F52">
        <w:t>4000 millisecond</w:t>
      </w:r>
      <w:proofErr w:type="gramEnd"/>
      <w:r w:rsidR="00931F52">
        <w:t xml:space="preserve"> response interval for the relevant trials will be convolved with the canonical hemodynamic response function (HRF). </w:t>
      </w:r>
    </w:p>
    <w:p w14:paraId="585764A6" w14:textId="261DEE9C" w:rsidR="00931F52" w:rsidRDefault="00931F52" w:rsidP="00C537AF">
      <w:pPr>
        <w:bidi w:val="0"/>
        <w:spacing w:line="480" w:lineRule="auto"/>
      </w:pPr>
      <w:r>
        <w:t>Each of these primary regressors will be accompanied by a parametric modulator, indicating the reported confidence for each trial. Together, this makes a total of 16 regressors:</w:t>
      </w:r>
    </w:p>
    <w:tbl>
      <w:tblPr>
        <w:tblStyle w:val="TableGrid"/>
        <w:tblW w:w="0" w:type="auto"/>
        <w:tblLook w:val="04A0" w:firstRow="1" w:lastRow="0" w:firstColumn="1" w:lastColumn="0" w:noHBand="0" w:noVBand="1"/>
      </w:tblPr>
      <w:tblGrid>
        <w:gridCol w:w="440"/>
        <w:gridCol w:w="1672"/>
        <w:gridCol w:w="1701"/>
        <w:gridCol w:w="1797"/>
        <w:gridCol w:w="1797"/>
      </w:tblGrid>
      <w:tr w:rsidR="00931F52" w14:paraId="32AB1F0D" w14:textId="77777777" w:rsidTr="00931F52">
        <w:tc>
          <w:tcPr>
            <w:tcW w:w="440" w:type="dxa"/>
            <w:tcBorders>
              <w:top w:val="nil"/>
              <w:left w:val="nil"/>
              <w:bottom w:val="single" w:sz="4" w:space="0" w:color="auto"/>
              <w:right w:val="nil"/>
            </w:tcBorders>
            <w:vAlign w:val="center"/>
          </w:tcPr>
          <w:p w14:paraId="555B65D0" w14:textId="77777777" w:rsidR="00931F52" w:rsidRDefault="00931F52" w:rsidP="00C537AF">
            <w:pPr>
              <w:bidi w:val="0"/>
              <w:spacing w:line="480" w:lineRule="auto"/>
              <w:jc w:val="center"/>
              <w:rPr>
                <w:i/>
                <w:iCs/>
              </w:rPr>
            </w:pPr>
          </w:p>
        </w:tc>
        <w:tc>
          <w:tcPr>
            <w:tcW w:w="1672" w:type="dxa"/>
            <w:tcBorders>
              <w:top w:val="nil"/>
              <w:left w:val="nil"/>
              <w:bottom w:val="single" w:sz="4" w:space="0" w:color="auto"/>
              <w:right w:val="nil"/>
            </w:tcBorders>
            <w:vAlign w:val="center"/>
          </w:tcPr>
          <w:p w14:paraId="2E5DB774" w14:textId="77777777" w:rsidR="00931F52" w:rsidRPr="00931F52" w:rsidRDefault="00931F52" w:rsidP="00C537AF">
            <w:pPr>
              <w:bidi w:val="0"/>
              <w:spacing w:line="480" w:lineRule="auto"/>
              <w:jc w:val="center"/>
              <w:rPr>
                <w:i/>
                <w:iCs/>
              </w:rPr>
            </w:pPr>
          </w:p>
        </w:tc>
        <w:tc>
          <w:tcPr>
            <w:tcW w:w="1701" w:type="dxa"/>
            <w:tcBorders>
              <w:top w:val="nil"/>
              <w:left w:val="nil"/>
              <w:bottom w:val="single" w:sz="4" w:space="0" w:color="auto"/>
              <w:right w:val="nil"/>
            </w:tcBorders>
            <w:vAlign w:val="center"/>
          </w:tcPr>
          <w:p w14:paraId="5C539D47" w14:textId="7EDFBB9F" w:rsidR="00931F52" w:rsidRPr="00931F52" w:rsidRDefault="00931F52" w:rsidP="00C537AF">
            <w:pPr>
              <w:bidi w:val="0"/>
              <w:spacing w:line="480" w:lineRule="auto"/>
              <w:jc w:val="center"/>
              <w:rPr>
                <w:b/>
                <w:bCs/>
              </w:rPr>
            </w:pPr>
            <w:r w:rsidRPr="00931F52">
              <w:rPr>
                <w:b/>
                <w:bCs/>
              </w:rPr>
              <w:t>Task</w:t>
            </w:r>
          </w:p>
        </w:tc>
        <w:tc>
          <w:tcPr>
            <w:tcW w:w="1797" w:type="dxa"/>
            <w:tcBorders>
              <w:top w:val="nil"/>
              <w:left w:val="nil"/>
              <w:bottom w:val="single" w:sz="4" w:space="0" w:color="auto"/>
              <w:right w:val="nil"/>
            </w:tcBorders>
            <w:vAlign w:val="center"/>
          </w:tcPr>
          <w:p w14:paraId="0EC59938" w14:textId="48AFB0C9" w:rsidR="00931F52" w:rsidRPr="00931F52" w:rsidRDefault="00931F52" w:rsidP="00C537AF">
            <w:pPr>
              <w:bidi w:val="0"/>
              <w:spacing w:line="480" w:lineRule="auto"/>
              <w:jc w:val="center"/>
              <w:rPr>
                <w:b/>
                <w:bCs/>
              </w:rPr>
            </w:pPr>
            <w:r w:rsidRPr="00931F52">
              <w:rPr>
                <w:b/>
                <w:bCs/>
              </w:rPr>
              <w:t>Stimulus</w:t>
            </w:r>
          </w:p>
        </w:tc>
        <w:tc>
          <w:tcPr>
            <w:tcW w:w="1797" w:type="dxa"/>
            <w:tcBorders>
              <w:top w:val="nil"/>
              <w:left w:val="nil"/>
              <w:bottom w:val="single" w:sz="4" w:space="0" w:color="auto"/>
              <w:right w:val="nil"/>
            </w:tcBorders>
            <w:vAlign w:val="center"/>
          </w:tcPr>
          <w:p w14:paraId="4D93A673" w14:textId="3F87C196" w:rsidR="00931F52" w:rsidRPr="00931F52" w:rsidRDefault="00931F52" w:rsidP="00C537AF">
            <w:pPr>
              <w:bidi w:val="0"/>
              <w:spacing w:line="480" w:lineRule="auto"/>
              <w:jc w:val="center"/>
              <w:rPr>
                <w:b/>
                <w:bCs/>
              </w:rPr>
            </w:pPr>
            <w:r w:rsidRPr="00931F52">
              <w:rPr>
                <w:b/>
                <w:bCs/>
              </w:rPr>
              <w:t>Response</w:t>
            </w:r>
          </w:p>
        </w:tc>
      </w:tr>
      <w:tr w:rsidR="00931F52" w14:paraId="0E556C52" w14:textId="77777777" w:rsidTr="00931F52">
        <w:tc>
          <w:tcPr>
            <w:tcW w:w="440" w:type="dxa"/>
            <w:tcBorders>
              <w:top w:val="single" w:sz="4" w:space="0" w:color="auto"/>
            </w:tcBorders>
            <w:shd w:val="clear" w:color="auto" w:fill="DEEAF6" w:themeFill="accent5" w:themeFillTint="33"/>
            <w:vAlign w:val="center"/>
          </w:tcPr>
          <w:p w14:paraId="58615AF8" w14:textId="6C8DA04B" w:rsidR="00931F52" w:rsidRPr="00931F52" w:rsidRDefault="00931F52" w:rsidP="00C537AF">
            <w:pPr>
              <w:bidi w:val="0"/>
              <w:spacing w:line="480" w:lineRule="auto"/>
              <w:rPr>
                <w:i/>
                <w:iCs/>
              </w:rPr>
            </w:pPr>
            <w:r>
              <w:rPr>
                <w:i/>
                <w:iCs/>
              </w:rPr>
              <w:t>1</w:t>
            </w:r>
          </w:p>
        </w:tc>
        <w:tc>
          <w:tcPr>
            <w:tcW w:w="1672" w:type="dxa"/>
            <w:tcBorders>
              <w:top w:val="single" w:sz="4" w:space="0" w:color="auto"/>
            </w:tcBorders>
            <w:shd w:val="clear" w:color="auto" w:fill="DEEAF6" w:themeFill="accent5" w:themeFillTint="33"/>
            <w:vAlign w:val="center"/>
          </w:tcPr>
          <w:p w14:paraId="27678416" w14:textId="0B51B38A" w:rsidR="00931F52" w:rsidRPr="00931F52" w:rsidRDefault="00931F52" w:rsidP="00C537AF">
            <w:pPr>
              <w:bidi w:val="0"/>
              <w:spacing w:line="480" w:lineRule="auto"/>
              <w:jc w:val="center"/>
              <w:rPr>
                <w:i/>
                <w:iCs/>
              </w:rPr>
            </w:pPr>
            <w:r w:rsidRPr="00931F52">
              <w:rPr>
                <w:i/>
                <w:iCs/>
              </w:rPr>
              <w:t>CW_CW</w:t>
            </w:r>
          </w:p>
        </w:tc>
        <w:tc>
          <w:tcPr>
            <w:tcW w:w="1701" w:type="dxa"/>
            <w:vMerge w:val="restart"/>
            <w:tcBorders>
              <w:top w:val="single" w:sz="4" w:space="0" w:color="auto"/>
            </w:tcBorders>
            <w:shd w:val="clear" w:color="auto" w:fill="DEEAF6" w:themeFill="accent5" w:themeFillTint="33"/>
            <w:vAlign w:val="center"/>
          </w:tcPr>
          <w:p w14:paraId="4942FCE9" w14:textId="68C77FEB" w:rsidR="00931F52" w:rsidRDefault="00931F52" w:rsidP="00C537AF">
            <w:pPr>
              <w:bidi w:val="0"/>
              <w:spacing w:line="480" w:lineRule="auto"/>
              <w:jc w:val="center"/>
            </w:pPr>
            <w:r>
              <w:t>Discrimination</w:t>
            </w:r>
          </w:p>
        </w:tc>
        <w:tc>
          <w:tcPr>
            <w:tcW w:w="1797" w:type="dxa"/>
            <w:vMerge w:val="restart"/>
            <w:tcBorders>
              <w:top w:val="single" w:sz="4" w:space="0" w:color="auto"/>
            </w:tcBorders>
            <w:shd w:val="clear" w:color="auto" w:fill="DEEAF6" w:themeFill="accent5" w:themeFillTint="33"/>
            <w:vAlign w:val="center"/>
          </w:tcPr>
          <w:p w14:paraId="41EB2198" w14:textId="2B04AEE5" w:rsidR="00931F52" w:rsidRDefault="00931F52" w:rsidP="00C537AF">
            <w:pPr>
              <w:bidi w:val="0"/>
              <w:spacing w:line="480" w:lineRule="auto"/>
              <w:jc w:val="center"/>
            </w:pPr>
            <w:r>
              <w:t>Clockwise</w:t>
            </w:r>
          </w:p>
        </w:tc>
        <w:tc>
          <w:tcPr>
            <w:tcW w:w="1797" w:type="dxa"/>
            <w:vMerge w:val="restart"/>
            <w:tcBorders>
              <w:top w:val="single" w:sz="4" w:space="0" w:color="auto"/>
            </w:tcBorders>
            <w:shd w:val="clear" w:color="auto" w:fill="DEEAF6" w:themeFill="accent5" w:themeFillTint="33"/>
            <w:vAlign w:val="center"/>
          </w:tcPr>
          <w:p w14:paraId="374605DF" w14:textId="6BFF6A78" w:rsidR="00931F52" w:rsidRDefault="00931F52" w:rsidP="00C537AF">
            <w:pPr>
              <w:bidi w:val="0"/>
              <w:spacing w:line="480" w:lineRule="auto"/>
              <w:jc w:val="center"/>
            </w:pPr>
            <w:r>
              <w:t>Clockwise</w:t>
            </w:r>
          </w:p>
        </w:tc>
      </w:tr>
      <w:tr w:rsidR="00931F52" w14:paraId="6ABFC24B" w14:textId="77777777" w:rsidTr="00931F52">
        <w:tc>
          <w:tcPr>
            <w:tcW w:w="440" w:type="dxa"/>
            <w:shd w:val="clear" w:color="auto" w:fill="DEEAF6" w:themeFill="accent5" w:themeFillTint="33"/>
            <w:vAlign w:val="center"/>
          </w:tcPr>
          <w:p w14:paraId="56DF9342" w14:textId="561A69C3" w:rsidR="00931F52" w:rsidRPr="00931F52" w:rsidRDefault="00931F52" w:rsidP="00C537AF">
            <w:pPr>
              <w:bidi w:val="0"/>
              <w:spacing w:line="480" w:lineRule="auto"/>
              <w:rPr>
                <w:i/>
                <w:iCs/>
              </w:rPr>
            </w:pPr>
            <w:r>
              <w:rPr>
                <w:i/>
                <w:iCs/>
              </w:rPr>
              <w:t>2</w:t>
            </w:r>
          </w:p>
        </w:tc>
        <w:tc>
          <w:tcPr>
            <w:tcW w:w="1672" w:type="dxa"/>
            <w:shd w:val="clear" w:color="auto" w:fill="DEEAF6" w:themeFill="accent5" w:themeFillTint="33"/>
            <w:vAlign w:val="center"/>
          </w:tcPr>
          <w:p w14:paraId="7E29367D" w14:textId="494B13C2" w:rsidR="00931F52" w:rsidRPr="00931F52" w:rsidRDefault="00931F52" w:rsidP="00C537AF">
            <w:pPr>
              <w:bidi w:val="0"/>
              <w:spacing w:line="480" w:lineRule="auto"/>
              <w:jc w:val="center"/>
              <w:rPr>
                <w:i/>
                <w:iCs/>
              </w:rPr>
            </w:pPr>
            <w:proofErr w:type="spellStart"/>
            <w:r>
              <w:rPr>
                <w:i/>
                <w:iCs/>
              </w:rPr>
              <w:t>CW_CCW_conf</w:t>
            </w:r>
            <w:proofErr w:type="spellEnd"/>
          </w:p>
        </w:tc>
        <w:tc>
          <w:tcPr>
            <w:tcW w:w="1701" w:type="dxa"/>
            <w:vMerge/>
            <w:shd w:val="clear" w:color="auto" w:fill="DEEAF6" w:themeFill="accent5" w:themeFillTint="33"/>
            <w:vAlign w:val="center"/>
          </w:tcPr>
          <w:p w14:paraId="0E1C5C2A" w14:textId="4761C7B6" w:rsidR="00931F52" w:rsidRDefault="00931F52" w:rsidP="00C537AF">
            <w:pPr>
              <w:bidi w:val="0"/>
              <w:spacing w:line="480" w:lineRule="auto"/>
              <w:jc w:val="center"/>
            </w:pPr>
          </w:p>
        </w:tc>
        <w:tc>
          <w:tcPr>
            <w:tcW w:w="1797" w:type="dxa"/>
            <w:vMerge/>
            <w:shd w:val="clear" w:color="auto" w:fill="DEEAF6" w:themeFill="accent5" w:themeFillTint="33"/>
            <w:vAlign w:val="center"/>
          </w:tcPr>
          <w:p w14:paraId="3728AAE9" w14:textId="3322569E" w:rsidR="00931F52" w:rsidRDefault="00931F52" w:rsidP="00C537AF">
            <w:pPr>
              <w:bidi w:val="0"/>
              <w:spacing w:line="480" w:lineRule="auto"/>
              <w:jc w:val="center"/>
            </w:pPr>
          </w:p>
        </w:tc>
        <w:tc>
          <w:tcPr>
            <w:tcW w:w="1797" w:type="dxa"/>
            <w:vMerge/>
            <w:shd w:val="clear" w:color="auto" w:fill="DEEAF6" w:themeFill="accent5" w:themeFillTint="33"/>
            <w:vAlign w:val="center"/>
          </w:tcPr>
          <w:p w14:paraId="28B1410C" w14:textId="77777777" w:rsidR="00931F52" w:rsidRDefault="00931F52" w:rsidP="00C537AF">
            <w:pPr>
              <w:bidi w:val="0"/>
              <w:spacing w:line="480" w:lineRule="auto"/>
              <w:jc w:val="center"/>
            </w:pPr>
          </w:p>
        </w:tc>
      </w:tr>
      <w:tr w:rsidR="00931F52" w14:paraId="612020BC" w14:textId="77777777" w:rsidTr="00931F52">
        <w:tc>
          <w:tcPr>
            <w:tcW w:w="440" w:type="dxa"/>
            <w:shd w:val="clear" w:color="auto" w:fill="FBE4D5" w:themeFill="accent2" w:themeFillTint="33"/>
            <w:vAlign w:val="center"/>
          </w:tcPr>
          <w:p w14:paraId="44185CE6" w14:textId="1677C135" w:rsidR="00931F52" w:rsidRPr="00931F52" w:rsidRDefault="00931F52" w:rsidP="00C537AF">
            <w:pPr>
              <w:bidi w:val="0"/>
              <w:spacing w:line="480" w:lineRule="auto"/>
              <w:rPr>
                <w:i/>
                <w:iCs/>
              </w:rPr>
            </w:pPr>
            <w:r>
              <w:rPr>
                <w:i/>
                <w:iCs/>
              </w:rPr>
              <w:t>3</w:t>
            </w:r>
          </w:p>
        </w:tc>
        <w:tc>
          <w:tcPr>
            <w:tcW w:w="1672" w:type="dxa"/>
            <w:shd w:val="clear" w:color="auto" w:fill="FBE4D5" w:themeFill="accent2" w:themeFillTint="33"/>
            <w:vAlign w:val="center"/>
          </w:tcPr>
          <w:p w14:paraId="598DB473" w14:textId="58EA1AB2" w:rsidR="00931F52" w:rsidRPr="00931F52" w:rsidRDefault="00931F52" w:rsidP="00C537AF">
            <w:pPr>
              <w:bidi w:val="0"/>
              <w:spacing w:line="480" w:lineRule="auto"/>
              <w:jc w:val="center"/>
              <w:rPr>
                <w:i/>
                <w:iCs/>
              </w:rPr>
            </w:pPr>
            <w:r>
              <w:rPr>
                <w:i/>
                <w:iCs/>
              </w:rPr>
              <w:t>CW_CCW</w:t>
            </w:r>
          </w:p>
        </w:tc>
        <w:tc>
          <w:tcPr>
            <w:tcW w:w="1701" w:type="dxa"/>
            <w:vMerge w:val="restart"/>
            <w:shd w:val="clear" w:color="auto" w:fill="FBE4D5" w:themeFill="accent2" w:themeFillTint="33"/>
            <w:vAlign w:val="center"/>
          </w:tcPr>
          <w:p w14:paraId="2C508DA0" w14:textId="3716565A" w:rsidR="00931F52" w:rsidRDefault="00931F52" w:rsidP="00C537AF">
            <w:pPr>
              <w:bidi w:val="0"/>
              <w:spacing w:line="480" w:lineRule="auto"/>
              <w:jc w:val="center"/>
            </w:pPr>
            <w:r>
              <w:t>Discrimination</w:t>
            </w:r>
          </w:p>
        </w:tc>
        <w:tc>
          <w:tcPr>
            <w:tcW w:w="1797" w:type="dxa"/>
            <w:vMerge w:val="restart"/>
            <w:shd w:val="clear" w:color="auto" w:fill="FBE4D5" w:themeFill="accent2" w:themeFillTint="33"/>
            <w:vAlign w:val="center"/>
          </w:tcPr>
          <w:p w14:paraId="39B3FABE" w14:textId="5A8A693B" w:rsidR="00931F52" w:rsidRDefault="00931F52" w:rsidP="00C537AF">
            <w:pPr>
              <w:bidi w:val="0"/>
              <w:spacing w:line="480" w:lineRule="auto"/>
              <w:jc w:val="center"/>
            </w:pPr>
            <w:r>
              <w:t>Clockwise</w:t>
            </w:r>
          </w:p>
        </w:tc>
        <w:tc>
          <w:tcPr>
            <w:tcW w:w="1797" w:type="dxa"/>
            <w:vMerge w:val="restart"/>
            <w:shd w:val="clear" w:color="auto" w:fill="FBE4D5" w:themeFill="accent2" w:themeFillTint="33"/>
            <w:vAlign w:val="center"/>
          </w:tcPr>
          <w:p w14:paraId="66A4C1B4" w14:textId="3C66F86B" w:rsidR="00931F52" w:rsidRDefault="00931F52" w:rsidP="00C537AF">
            <w:pPr>
              <w:bidi w:val="0"/>
              <w:spacing w:line="480" w:lineRule="auto"/>
              <w:jc w:val="center"/>
            </w:pPr>
            <w:r>
              <w:t>Counterclockwise</w:t>
            </w:r>
          </w:p>
        </w:tc>
      </w:tr>
      <w:tr w:rsidR="00931F52" w14:paraId="5839B1FD" w14:textId="77777777" w:rsidTr="00931F52">
        <w:tc>
          <w:tcPr>
            <w:tcW w:w="440" w:type="dxa"/>
            <w:shd w:val="clear" w:color="auto" w:fill="FBE4D5" w:themeFill="accent2" w:themeFillTint="33"/>
            <w:vAlign w:val="center"/>
          </w:tcPr>
          <w:p w14:paraId="1AA0635F" w14:textId="56B98855" w:rsidR="00931F52" w:rsidRPr="00931F52" w:rsidRDefault="00931F52" w:rsidP="00C537AF">
            <w:pPr>
              <w:bidi w:val="0"/>
              <w:spacing w:line="480" w:lineRule="auto"/>
              <w:rPr>
                <w:i/>
                <w:iCs/>
              </w:rPr>
            </w:pPr>
            <w:r>
              <w:rPr>
                <w:i/>
                <w:iCs/>
              </w:rPr>
              <w:t>4</w:t>
            </w:r>
          </w:p>
        </w:tc>
        <w:tc>
          <w:tcPr>
            <w:tcW w:w="1672" w:type="dxa"/>
            <w:shd w:val="clear" w:color="auto" w:fill="FBE4D5" w:themeFill="accent2" w:themeFillTint="33"/>
            <w:vAlign w:val="center"/>
          </w:tcPr>
          <w:p w14:paraId="2894B1D4" w14:textId="54BC4BEC" w:rsidR="00931F52" w:rsidRPr="00931F52" w:rsidRDefault="00931F52" w:rsidP="00C537AF">
            <w:pPr>
              <w:bidi w:val="0"/>
              <w:spacing w:line="480" w:lineRule="auto"/>
              <w:jc w:val="center"/>
              <w:rPr>
                <w:i/>
                <w:iCs/>
              </w:rPr>
            </w:pPr>
            <w:proofErr w:type="spellStart"/>
            <w:r>
              <w:rPr>
                <w:i/>
                <w:iCs/>
              </w:rPr>
              <w:t>CW_CCW_conf</w:t>
            </w:r>
            <w:proofErr w:type="spellEnd"/>
          </w:p>
        </w:tc>
        <w:tc>
          <w:tcPr>
            <w:tcW w:w="1701" w:type="dxa"/>
            <w:vMerge/>
            <w:vAlign w:val="center"/>
          </w:tcPr>
          <w:p w14:paraId="6B76CA36" w14:textId="77777777" w:rsidR="00931F52" w:rsidRDefault="00931F52" w:rsidP="00C537AF">
            <w:pPr>
              <w:bidi w:val="0"/>
              <w:spacing w:line="480" w:lineRule="auto"/>
              <w:jc w:val="center"/>
            </w:pPr>
          </w:p>
        </w:tc>
        <w:tc>
          <w:tcPr>
            <w:tcW w:w="1797" w:type="dxa"/>
            <w:vMerge/>
            <w:vAlign w:val="center"/>
          </w:tcPr>
          <w:p w14:paraId="4CC5A069" w14:textId="77777777" w:rsidR="00931F52" w:rsidRDefault="00931F52" w:rsidP="00C537AF">
            <w:pPr>
              <w:bidi w:val="0"/>
              <w:spacing w:line="480" w:lineRule="auto"/>
              <w:jc w:val="center"/>
            </w:pPr>
          </w:p>
        </w:tc>
        <w:tc>
          <w:tcPr>
            <w:tcW w:w="1797" w:type="dxa"/>
            <w:vMerge/>
            <w:vAlign w:val="center"/>
          </w:tcPr>
          <w:p w14:paraId="1E2D3147" w14:textId="77777777" w:rsidR="00931F52" w:rsidRDefault="00931F52" w:rsidP="00C537AF">
            <w:pPr>
              <w:bidi w:val="0"/>
              <w:spacing w:line="480" w:lineRule="auto"/>
              <w:jc w:val="center"/>
            </w:pPr>
          </w:p>
        </w:tc>
      </w:tr>
      <w:tr w:rsidR="00931F52" w14:paraId="7E14D2CC" w14:textId="77777777" w:rsidTr="00931F52">
        <w:tc>
          <w:tcPr>
            <w:tcW w:w="440" w:type="dxa"/>
            <w:shd w:val="clear" w:color="auto" w:fill="FBE4D5" w:themeFill="accent2" w:themeFillTint="33"/>
            <w:vAlign w:val="center"/>
          </w:tcPr>
          <w:p w14:paraId="23C4AF34" w14:textId="4D5236C6" w:rsidR="00931F52" w:rsidRPr="00931F52" w:rsidRDefault="00931F52" w:rsidP="00C537AF">
            <w:pPr>
              <w:bidi w:val="0"/>
              <w:spacing w:line="480" w:lineRule="auto"/>
              <w:rPr>
                <w:i/>
                <w:iCs/>
              </w:rPr>
            </w:pPr>
            <w:r>
              <w:rPr>
                <w:i/>
                <w:iCs/>
              </w:rPr>
              <w:t>5</w:t>
            </w:r>
          </w:p>
        </w:tc>
        <w:tc>
          <w:tcPr>
            <w:tcW w:w="1672" w:type="dxa"/>
            <w:shd w:val="clear" w:color="auto" w:fill="FBE4D5" w:themeFill="accent2" w:themeFillTint="33"/>
            <w:vAlign w:val="center"/>
          </w:tcPr>
          <w:p w14:paraId="386E23B5" w14:textId="139633C0" w:rsidR="00931F52" w:rsidRPr="00931F52" w:rsidRDefault="00931F52" w:rsidP="00C537AF">
            <w:pPr>
              <w:bidi w:val="0"/>
              <w:spacing w:line="480" w:lineRule="auto"/>
              <w:jc w:val="center"/>
              <w:rPr>
                <w:i/>
                <w:iCs/>
              </w:rPr>
            </w:pPr>
            <w:r w:rsidRPr="00931F52">
              <w:rPr>
                <w:i/>
                <w:iCs/>
              </w:rPr>
              <w:t>CW_CW</w:t>
            </w:r>
          </w:p>
        </w:tc>
        <w:tc>
          <w:tcPr>
            <w:tcW w:w="1701" w:type="dxa"/>
            <w:vMerge w:val="restart"/>
            <w:shd w:val="clear" w:color="auto" w:fill="FBE4D5" w:themeFill="accent2" w:themeFillTint="33"/>
            <w:vAlign w:val="center"/>
          </w:tcPr>
          <w:p w14:paraId="745CA6B3" w14:textId="044BFBCF" w:rsidR="00931F52" w:rsidRDefault="00931F52" w:rsidP="00C537AF">
            <w:pPr>
              <w:bidi w:val="0"/>
              <w:spacing w:line="480" w:lineRule="auto"/>
              <w:jc w:val="center"/>
            </w:pPr>
            <w:r>
              <w:t>Discrimination</w:t>
            </w:r>
          </w:p>
        </w:tc>
        <w:tc>
          <w:tcPr>
            <w:tcW w:w="1797" w:type="dxa"/>
            <w:vMerge w:val="restart"/>
            <w:shd w:val="clear" w:color="auto" w:fill="FBE4D5" w:themeFill="accent2" w:themeFillTint="33"/>
            <w:vAlign w:val="center"/>
          </w:tcPr>
          <w:p w14:paraId="3ECFAF4F" w14:textId="173616E7" w:rsidR="00931F52" w:rsidRDefault="00931F52" w:rsidP="00C537AF">
            <w:pPr>
              <w:bidi w:val="0"/>
              <w:spacing w:line="480" w:lineRule="auto"/>
              <w:jc w:val="center"/>
            </w:pPr>
            <w:r>
              <w:t>Counterclockwise</w:t>
            </w:r>
          </w:p>
        </w:tc>
        <w:tc>
          <w:tcPr>
            <w:tcW w:w="1797" w:type="dxa"/>
            <w:vMerge w:val="restart"/>
            <w:shd w:val="clear" w:color="auto" w:fill="FBE4D5" w:themeFill="accent2" w:themeFillTint="33"/>
            <w:vAlign w:val="center"/>
          </w:tcPr>
          <w:p w14:paraId="06948335" w14:textId="34B724DD" w:rsidR="00931F52" w:rsidRDefault="00931F52" w:rsidP="00C537AF">
            <w:pPr>
              <w:bidi w:val="0"/>
              <w:spacing w:line="480" w:lineRule="auto"/>
              <w:jc w:val="center"/>
            </w:pPr>
            <w:r>
              <w:t>Clockwise</w:t>
            </w:r>
          </w:p>
        </w:tc>
      </w:tr>
      <w:tr w:rsidR="00931F52" w14:paraId="2A72152B" w14:textId="77777777" w:rsidTr="00931F52">
        <w:tc>
          <w:tcPr>
            <w:tcW w:w="440" w:type="dxa"/>
            <w:shd w:val="clear" w:color="auto" w:fill="FBE4D5" w:themeFill="accent2" w:themeFillTint="33"/>
            <w:vAlign w:val="center"/>
          </w:tcPr>
          <w:p w14:paraId="584E4FE8" w14:textId="7BF5C087" w:rsidR="00931F52" w:rsidRPr="00931F52" w:rsidRDefault="00931F52" w:rsidP="00C537AF">
            <w:pPr>
              <w:bidi w:val="0"/>
              <w:spacing w:line="480" w:lineRule="auto"/>
              <w:rPr>
                <w:i/>
                <w:iCs/>
              </w:rPr>
            </w:pPr>
            <w:r>
              <w:rPr>
                <w:i/>
                <w:iCs/>
              </w:rPr>
              <w:t>6</w:t>
            </w:r>
          </w:p>
        </w:tc>
        <w:tc>
          <w:tcPr>
            <w:tcW w:w="1672" w:type="dxa"/>
            <w:shd w:val="clear" w:color="auto" w:fill="FBE4D5" w:themeFill="accent2" w:themeFillTint="33"/>
            <w:vAlign w:val="center"/>
          </w:tcPr>
          <w:p w14:paraId="7FE7D38B" w14:textId="43ABF105" w:rsidR="00931F52" w:rsidRPr="00931F52" w:rsidRDefault="00931F52" w:rsidP="00C537AF">
            <w:pPr>
              <w:bidi w:val="0"/>
              <w:spacing w:line="480" w:lineRule="auto"/>
              <w:jc w:val="center"/>
              <w:rPr>
                <w:i/>
                <w:iCs/>
              </w:rPr>
            </w:pPr>
            <w:proofErr w:type="spellStart"/>
            <w:r>
              <w:rPr>
                <w:i/>
                <w:iCs/>
              </w:rPr>
              <w:t>CW_CW_conf</w:t>
            </w:r>
            <w:proofErr w:type="spellEnd"/>
          </w:p>
        </w:tc>
        <w:tc>
          <w:tcPr>
            <w:tcW w:w="1701" w:type="dxa"/>
            <w:vMerge/>
            <w:shd w:val="clear" w:color="auto" w:fill="FBE4D5" w:themeFill="accent2" w:themeFillTint="33"/>
            <w:vAlign w:val="center"/>
          </w:tcPr>
          <w:p w14:paraId="7BAB6A03"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527FE22F"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10632ED0" w14:textId="77777777" w:rsidR="00931F52" w:rsidRDefault="00931F52" w:rsidP="00C537AF">
            <w:pPr>
              <w:bidi w:val="0"/>
              <w:spacing w:line="480" w:lineRule="auto"/>
              <w:jc w:val="center"/>
            </w:pPr>
          </w:p>
        </w:tc>
      </w:tr>
      <w:tr w:rsidR="00931F52" w14:paraId="574A927F" w14:textId="77777777" w:rsidTr="00931F52">
        <w:tc>
          <w:tcPr>
            <w:tcW w:w="440" w:type="dxa"/>
            <w:shd w:val="clear" w:color="auto" w:fill="D9E2F3" w:themeFill="accent1" w:themeFillTint="33"/>
            <w:vAlign w:val="center"/>
          </w:tcPr>
          <w:p w14:paraId="2316EA25" w14:textId="65540C04" w:rsidR="00931F52" w:rsidRPr="00931F52" w:rsidRDefault="00931F52" w:rsidP="00C537AF">
            <w:pPr>
              <w:bidi w:val="0"/>
              <w:spacing w:line="480" w:lineRule="auto"/>
              <w:rPr>
                <w:i/>
                <w:iCs/>
              </w:rPr>
            </w:pPr>
            <w:r>
              <w:rPr>
                <w:i/>
                <w:iCs/>
              </w:rPr>
              <w:t>7</w:t>
            </w:r>
          </w:p>
        </w:tc>
        <w:tc>
          <w:tcPr>
            <w:tcW w:w="1672" w:type="dxa"/>
            <w:shd w:val="clear" w:color="auto" w:fill="D9E2F3" w:themeFill="accent1" w:themeFillTint="33"/>
            <w:vAlign w:val="center"/>
          </w:tcPr>
          <w:p w14:paraId="75A2D814" w14:textId="6E90963D" w:rsidR="00931F52" w:rsidRPr="00931F52" w:rsidRDefault="00931F52" w:rsidP="00C537AF">
            <w:pPr>
              <w:bidi w:val="0"/>
              <w:spacing w:line="480" w:lineRule="auto"/>
              <w:jc w:val="center"/>
              <w:rPr>
                <w:i/>
                <w:iCs/>
              </w:rPr>
            </w:pPr>
            <w:r>
              <w:rPr>
                <w:i/>
                <w:iCs/>
              </w:rPr>
              <w:t>CCW_CCW</w:t>
            </w:r>
          </w:p>
        </w:tc>
        <w:tc>
          <w:tcPr>
            <w:tcW w:w="1701" w:type="dxa"/>
            <w:vMerge w:val="restart"/>
            <w:shd w:val="clear" w:color="auto" w:fill="D9E2F3" w:themeFill="accent1" w:themeFillTint="33"/>
            <w:vAlign w:val="center"/>
          </w:tcPr>
          <w:p w14:paraId="03485FB8" w14:textId="2C6FC039" w:rsidR="00931F52" w:rsidRDefault="00931F52" w:rsidP="00C537AF">
            <w:pPr>
              <w:bidi w:val="0"/>
              <w:spacing w:line="480" w:lineRule="auto"/>
              <w:jc w:val="center"/>
            </w:pPr>
            <w:r>
              <w:t>Discrimination</w:t>
            </w:r>
          </w:p>
        </w:tc>
        <w:tc>
          <w:tcPr>
            <w:tcW w:w="1797" w:type="dxa"/>
            <w:vMerge w:val="restart"/>
            <w:shd w:val="clear" w:color="auto" w:fill="D9E2F3" w:themeFill="accent1" w:themeFillTint="33"/>
            <w:vAlign w:val="center"/>
          </w:tcPr>
          <w:p w14:paraId="360DCB74" w14:textId="1453D149" w:rsidR="00931F52" w:rsidRDefault="00931F52" w:rsidP="00C537AF">
            <w:pPr>
              <w:bidi w:val="0"/>
              <w:spacing w:line="480" w:lineRule="auto"/>
              <w:jc w:val="center"/>
            </w:pPr>
            <w:r>
              <w:t>Counterclockwise</w:t>
            </w:r>
          </w:p>
        </w:tc>
        <w:tc>
          <w:tcPr>
            <w:tcW w:w="1797" w:type="dxa"/>
            <w:vMerge w:val="restart"/>
            <w:shd w:val="clear" w:color="auto" w:fill="D9E2F3" w:themeFill="accent1" w:themeFillTint="33"/>
            <w:vAlign w:val="center"/>
          </w:tcPr>
          <w:p w14:paraId="6735238F" w14:textId="3F1DEFFF" w:rsidR="00931F52" w:rsidRDefault="00931F52" w:rsidP="00C537AF">
            <w:pPr>
              <w:bidi w:val="0"/>
              <w:spacing w:line="480" w:lineRule="auto"/>
              <w:jc w:val="center"/>
            </w:pPr>
            <w:r>
              <w:t>Counterclockwise</w:t>
            </w:r>
          </w:p>
        </w:tc>
      </w:tr>
      <w:tr w:rsidR="00931F52" w14:paraId="332B0455" w14:textId="77777777" w:rsidTr="00931F52">
        <w:tc>
          <w:tcPr>
            <w:tcW w:w="440" w:type="dxa"/>
            <w:shd w:val="clear" w:color="auto" w:fill="D9E2F3" w:themeFill="accent1" w:themeFillTint="33"/>
            <w:vAlign w:val="center"/>
          </w:tcPr>
          <w:p w14:paraId="3498FF79" w14:textId="7E61DC5A" w:rsidR="00931F52" w:rsidRPr="00931F52" w:rsidRDefault="00931F52" w:rsidP="00C537AF">
            <w:pPr>
              <w:bidi w:val="0"/>
              <w:spacing w:line="480" w:lineRule="auto"/>
              <w:rPr>
                <w:i/>
                <w:iCs/>
              </w:rPr>
            </w:pPr>
            <w:r>
              <w:rPr>
                <w:i/>
                <w:iCs/>
              </w:rPr>
              <w:t>8</w:t>
            </w:r>
          </w:p>
        </w:tc>
        <w:tc>
          <w:tcPr>
            <w:tcW w:w="1672" w:type="dxa"/>
            <w:shd w:val="clear" w:color="auto" w:fill="D9E2F3" w:themeFill="accent1" w:themeFillTint="33"/>
            <w:vAlign w:val="center"/>
          </w:tcPr>
          <w:p w14:paraId="62E2EB71" w14:textId="3BE08F42" w:rsidR="00931F52" w:rsidRPr="00931F52" w:rsidRDefault="00931F52" w:rsidP="00C537AF">
            <w:pPr>
              <w:bidi w:val="0"/>
              <w:spacing w:line="480" w:lineRule="auto"/>
              <w:jc w:val="center"/>
              <w:rPr>
                <w:i/>
                <w:iCs/>
              </w:rPr>
            </w:pPr>
            <w:proofErr w:type="spellStart"/>
            <w:r>
              <w:rPr>
                <w:i/>
                <w:iCs/>
              </w:rPr>
              <w:t>CCW_CCW_conf</w:t>
            </w:r>
            <w:proofErr w:type="spellEnd"/>
          </w:p>
        </w:tc>
        <w:tc>
          <w:tcPr>
            <w:tcW w:w="1701" w:type="dxa"/>
            <w:vMerge/>
            <w:shd w:val="clear" w:color="auto" w:fill="D9E2F3" w:themeFill="accent1" w:themeFillTint="33"/>
            <w:vAlign w:val="center"/>
          </w:tcPr>
          <w:p w14:paraId="366F2C63"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04F9D400"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71FCABE8" w14:textId="77777777" w:rsidR="00931F52" w:rsidRDefault="00931F52" w:rsidP="00C537AF">
            <w:pPr>
              <w:bidi w:val="0"/>
              <w:spacing w:line="480" w:lineRule="auto"/>
              <w:jc w:val="center"/>
            </w:pPr>
          </w:p>
        </w:tc>
      </w:tr>
      <w:tr w:rsidR="00931F52" w14:paraId="2EF3E601" w14:textId="77777777" w:rsidTr="00931F52">
        <w:tc>
          <w:tcPr>
            <w:tcW w:w="440" w:type="dxa"/>
            <w:shd w:val="clear" w:color="auto" w:fill="D9E2F3" w:themeFill="accent1" w:themeFillTint="33"/>
            <w:vAlign w:val="center"/>
          </w:tcPr>
          <w:p w14:paraId="2FA96D78" w14:textId="0B4F7710" w:rsidR="00931F52" w:rsidRDefault="00931F52" w:rsidP="00C537AF">
            <w:pPr>
              <w:bidi w:val="0"/>
              <w:spacing w:line="480" w:lineRule="auto"/>
              <w:rPr>
                <w:i/>
                <w:iCs/>
              </w:rPr>
            </w:pPr>
            <w:r>
              <w:rPr>
                <w:i/>
                <w:iCs/>
              </w:rPr>
              <w:t>9</w:t>
            </w:r>
          </w:p>
        </w:tc>
        <w:tc>
          <w:tcPr>
            <w:tcW w:w="1672" w:type="dxa"/>
            <w:shd w:val="clear" w:color="auto" w:fill="D9E2F3" w:themeFill="accent1" w:themeFillTint="33"/>
            <w:vAlign w:val="center"/>
          </w:tcPr>
          <w:p w14:paraId="11D95329" w14:textId="45972E6B" w:rsidR="00931F52" w:rsidRDefault="00931F52" w:rsidP="00C537AF">
            <w:pPr>
              <w:bidi w:val="0"/>
              <w:spacing w:line="480" w:lineRule="auto"/>
              <w:jc w:val="center"/>
              <w:rPr>
                <w:i/>
                <w:iCs/>
              </w:rPr>
            </w:pPr>
            <w:r>
              <w:rPr>
                <w:i/>
                <w:iCs/>
              </w:rPr>
              <w:t>Y_Y</w:t>
            </w:r>
          </w:p>
        </w:tc>
        <w:tc>
          <w:tcPr>
            <w:tcW w:w="1701" w:type="dxa"/>
            <w:vMerge w:val="restart"/>
            <w:shd w:val="clear" w:color="auto" w:fill="D9E2F3" w:themeFill="accent1" w:themeFillTint="33"/>
            <w:vAlign w:val="center"/>
          </w:tcPr>
          <w:p w14:paraId="59581912" w14:textId="33D41482" w:rsidR="00931F52" w:rsidRDefault="00931F52" w:rsidP="00C537AF">
            <w:pPr>
              <w:bidi w:val="0"/>
              <w:spacing w:line="480" w:lineRule="auto"/>
              <w:jc w:val="center"/>
            </w:pPr>
            <w:r>
              <w:t>Detection</w:t>
            </w:r>
          </w:p>
        </w:tc>
        <w:tc>
          <w:tcPr>
            <w:tcW w:w="1797" w:type="dxa"/>
            <w:vMerge w:val="restart"/>
            <w:shd w:val="clear" w:color="auto" w:fill="D9E2F3" w:themeFill="accent1" w:themeFillTint="33"/>
            <w:vAlign w:val="center"/>
          </w:tcPr>
          <w:p w14:paraId="23C6A4D4" w14:textId="4A5B7862" w:rsidR="00931F52" w:rsidRDefault="00931F52" w:rsidP="00C537AF">
            <w:pPr>
              <w:bidi w:val="0"/>
              <w:spacing w:line="480" w:lineRule="auto"/>
              <w:jc w:val="center"/>
            </w:pPr>
            <w:r>
              <w:t>Signal</w:t>
            </w:r>
          </w:p>
        </w:tc>
        <w:tc>
          <w:tcPr>
            <w:tcW w:w="1797" w:type="dxa"/>
            <w:vMerge w:val="restart"/>
            <w:shd w:val="clear" w:color="auto" w:fill="D9E2F3" w:themeFill="accent1" w:themeFillTint="33"/>
            <w:vAlign w:val="center"/>
          </w:tcPr>
          <w:p w14:paraId="16AE11F7" w14:textId="02FC74A5" w:rsidR="00931F52" w:rsidRDefault="00931F52" w:rsidP="00C537AF">
            <w:pPr>
              <w:bidi w:val="0"/>
              <w:spacing w:line="480" w:lineRule="auto"/>
              <w:jc w:val="center"/>
            </w:pPr>
            <w:r>
              <w:t>Yes</w:t>
            </w:r>
          </w:p>
        </w:tc>
      </w:tr>
      <w:tr w:rsidR="00931F52" w14:paraId="24BF25A3" w14:textId="77777777" w:rsidTr="00931F52">
        <w:tc>
          <w:tcPr>
            <w:tcW w:w="440" w:type="dxa"/>
            <w:shd w:val="clear" w:color="auto" w:fill="D9E2F3" w:themeFill="accent1" w:themeFillTint="33"/>
            <w:vAlign w:val="center"/>
          </w:tcPr>
          <w:p w14:paraId="4B63A94F" w14:textId="11B9F795" w:rsidR="00931F52" w:rsidRDefault="00931F52" w:rsidP="00C537AF">
            <w:pPr>
              <w:bidi w:val="0"/>
              <w:spacing w:line="480" w:lineRule="auto"/>
              <w:rPr>
                <w:i/>
                <w:iCs/>
              </w:rPr>
            </w:pPr>
            <w:r>
              <w:rPr>
                <w:i/>
                <w:iCs/>
              </w:rPr>
              <w:t>10</w:t>
            </w:r>
          </w:p>
        </w:tc>
        <w:tc>
          <w:tcPr>
            <w:tcW w:w="1672" w:type="dxa"/>
            <w:shd w:val="clear" w:color="auto" w:fill="D9E2F3" w:themeFill="accent1" w:themeFillTint="33"/>
            <w:vAlign w:val="center"/>
          </w:tcPr>
          <w:p w14:paraId="49631ADC" w14:textId="74E5EAF8" w:rsidR="00931F52" w:rsidRDefault="00931F52" w:rsidP="00C537AF">
            <w:pPr>
              <w:bidi w:val="0"/>
              <w:spacing w:line="480" w:lineRule="auto"/>
              <w:jc w:val="center"/>
              <w:rPr>
                <w:i/>
                <w:iCs/>
              </w:rPr>
            </w:pPr>
            <w:proofErr w:type="spellStart"/>
            <w:r>
              <w:rPr>
                <w:i/>
                <w:iCs/>
              </w:rPr>
              <w:t>Y_Y_conf</w:t>
            </w:r>
            <w:proofErr w:type="spellEnd"/>
          </w:p>
        </w:tc>
        <w:tc>
          <w:tcPr>
            <w:tcW w:w="1701" w:type="dxa"/>
            <w:vMerge/>
            <w:shd w:val="clear" w:color="auto" w:fill="D9E2F3" w:themeFill="accent1" w:themeFillTint="33"/>
            <w:vAlign w:val="center"/>
          </w:tcPr>
          <w:p w14:paraId="7A0A379F"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7504B676"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50D8B5B1" w14:textId="77777777" w:rsidR="00931F52" w:rsidRDefault="00931F52" w:rsidP="00C537AF">
            <w:pPr>
              <w:bidi w:val="0"/>
              <w:spacing w:line="480" w:lineRule="auto"/>
              <w:jc w:val="center"/>
            </w:pPr>
          </w:p>
        </w:tc>
      </w:tr>
      <w:tr w:rsidR="00931F52" w14:paraId="46B30029" w14:textId="77777777" w:rsidTr="00931F52">
        <w:tc>
          <w:tcPr>
            <w:tcW w:w="440" w:type="dxa"/>
            <w:shd w:val="clear" w:color="auto" w:fill="FBE4D5" w:themeFill="accent2" w:themeFillTint="33"/>
            <w:vAlign w:val="center"/>
          </w:tcPr>
          <w:p w14:paraId="3CE3D33F" w14:textId="6D25DA44" w:rsidR="00931F52" w:rsidRDefault="00931F52" w:rsidP="00C537AF">
            <w:pPr>
              <w:bidi w:val="0"/>
              <w:spacing w:line="480" w:lineRule="auto"/>
              <w:rPr>
                <w:i/>
                <w:iCs/>
              </w:rPr>
            </w:pPr>
            <w:r>
              <w:rPr>
                <w:i/>
                <w:iCs/>
              </w:rPr>
              <w:t>11</w:t>
            </w:r>
          </w:p>
        </w:tc>
        <w:tc>
          <w:tcPr>
            <w:tcW w:w="1672" w:type="dxa"/>
            <w:shd w:val="clear" w:color="auto" w:fill="FBE4D5" w:themeFill="accent2" w:themeFillTint="33"/>
            <w:vAlign w:val="center"/>
          </w:tcPr>
          <w:p w14:paraId="0B2BFCD2" w14:textId="269AAD80" w:rsidR="00931F52" w:rsidRDefault="00931F52" w:rsidP="00C537AF">
            <w:pPr>
              <w:bidi w:val="0"/>
              <w:spacing w:line="480" w:lineRule="auto"/>
              <w:jc w:val="center"/>
              <w:rPr>
                <w:i/>
                <w:iCs/>
              </w:rPr>
            </w:pPr>
            <w:r>
              <w:rPr>
                <w:i/>
                <w:iCs/>
              </w:rPr>
              <w:t>Y_N</w:t>
            </w:r>
          </w:p>
        </w:tc>
        <w:tc>
          <w:tcPr>
            <w:tcW w:w="1701" w:type="dxa"/>
            <w:vMerge w:val="restart"/>
            <w:shd w:val="clear" w:color="auto" w:fill="FBE4D5" w:themeFill="accent2" w:themeFillTint="33"/>
            <w:vAlign w:val="center"/>
          </w:tcPr>
          <w:p w14:paraId="318EAB1A" w14:textId="27AE564E" w:rsidR="00931F52" w:rsidRDefault="00931F52" w:rsidP="00C537AF">
            <w:pPr>
              <w:bidi w:val="0"/>
              <w:spacing w:line="480" w:lineRule="auto"/>
              <w:jc w:val="center"/>
            </w:pPr>
            <w:r>
              <w:t>Detection</w:t>
            </w:r>
          </w:p>
        </w:tc>
        <w:tc>
          <w:tcPr>
            <w:tcW w:w="1797" w:type="dxa"/>
            <w:vMerge w:val="restart"/>
            <w:shd w:val="clear" w:color="auto" w:fill="FBE4D5" w:themeFill="accent2" w:themeFillTint="33"/>
            <w:vAlign w:val="center"/>
          </w:tcPr>
          <w:p w14:paraId="4946E1BB" w14:textId="769E768C" w:rsidR="00931F52" w:rsidRDefault="00931F52" w:rsidP="00C537AF">
            <w:pPr>
              <w:bidi w:val="0"/>
              <w:spacing w:line="480" w:lineRule="auto"/>
              <w:jc w:val="center"/>
            </w:pPr>
            <w:r>
              <w:t>Signal</w:t>
            </w:r>
          </w:p>
        </w:tc>
        <w:tc>
          <w:tcPr>
            <w:tcW w:w="1797" w:type="dxa"/>
            <w:vMerge w:val="restart"/>
            <w:shd w:val="clear" w:color="auto" w:fill="FBE4D5" w:themeFill="accent2" w:themeFillTint="33"/>
            <w:vAlign w:val="center"/>
          </w:tcPr>
          <w:p w14:paraId="3F4EA23E" w14:textId="2B182DCD" w:rsidR="00931F52" w:rsidRDefault="00931F52" w:rsidP="00C537AF">
            <w:pPr>
              <w:bidi w:val="0"/>
              <w:spacing w:line="480" w:lineRule="auto"/>
              <w:jc w:val="center"/>
            </w:pPr>
            <w:r>
              <w:t>No</w:t>
            </w:r>
          </w:p>
        </w:tc>
      </w:tr>
      <w:tr w:rsidR="00931F52" w14:paraId="4F8A3EE0" w14:textId="77777777" w:rsidTr="00931F52">
        <w:tc>
          <w:tcPr>
            <w:tcW w:w="440" w:type="dxa"/>
            <w:shd w:val="clear" w:color="auto" w:fill="FBE4D5" w:themeFill="accent2" w:themeFillTint="33"/>
            <w:vAlign w:val="center"/>
          </w:tcPr>
          <w:p w14:paraId="4E0857B8" w14:textId="238683C4" w:rsidR="00931F52" w:rsidRDefault="00931F52" w:rsidP="00C537AF">
            <w:pPr>
              <w:bidi w:val="0"/>
              <w:spacing w:line="480" w:lineRule="auto"/>
              <w:rPr>
                <w:i/>
                <w:iCs/>
              </w:rPr>
            </w:pPr>
            <w:r>
              <w:rPr>
                <w:i/>
                <w:iCs/>
              </w:rPr>
              <w:t>12</w:t>
            </w:r>
          </w:p>
        </w:tc>
        <w:tc>
          <w:tcPr>
            <w:tcW w:w="1672" w:type="dxa"/>
            <w:shd w:val="clear" w:color="auto" w:fill="FBE4D5" w:themeFill="accent2" w:themeFillTint="33"/>
            <w:vAlign w:val="center"/>
          </w:tcPr>
          <w:p w14:paraId="311A0D3B" w14:textId="03C9195E" w:rsidR="00931F52" w:rsidRDefault="00931F52" w:rsidP="00C537AF">
            <w:pPr>
              <w:bidi w:val="0"/>
              <w:spacing w:line="480" w:lineRule="auto"/>
              <w:jc w:val="center"/>
              <w:rPr>
                <w:i/>
                <w:iCs/>
              </w:rPr>
            </w:pPr>
            <w:proofErr w:type="spellStart"/>
            <w:r>
              <w:rPr>
                <w:i/>
                <w:iCs/>
              </w:rPr>
              <w:t>Y_N_conf</w:t>
            </w:r>
            <w:proofErr w:type="spellEnd"/>
          </w:p>
        </w:tc>
        <w:tc>
          <w:tcPr>
            <w:tcW w:w="1701" w:type="dxa"/>
            <w:vMerge/>
            <w:shd w:val="clear" w:color="auto" w:fill="FBE4D5" w:themeFill="accent2" w:themeFillTint="33"/>
            <w:vAlign w:val="center"/>
          </w:tcPr>
          <w:p w14:paraId="4F7A4CAD" w14:textId="4E13B4B7" w:rsidR="00931F52" w:rsidRDefault="00931F52" w:rsidP="00C537AF">
            <w:pPr>
              <w:bidi w:val="0"/>
              <w:spacing w:line="480" w:lineRule="auto"/>
              <w:jc w:val="center"/>
            </w:pPr>
          </w:p>
        </w:tc>
        <w:tc>
          <w:tcPr>
            <w:tcW w:w="1797" w:type="dxa"/>
            <w:vMerge/>
            <w:shd w:val="clear" w:color="auto" w:fill="FBE4D5" w:themeFill="accent2" w:themeFillTint="33"/>
            <w:vAlign w:val="center"/>
          </w:tcPr>
          <w:p w14:paraId="21DC6430"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1EFC4906" w14:textId="77777777" w:rsidR="00931F52" w:rsidRDefault="00931F52" w:rsidP="00C537AF">
            <w:pPr>
              <w:bidi w:val="0"/>
              <w:spacing w:line="480" w:lineRule="auto"/>
              <w:jc w:val="center"/>
            </w:pPr>
          </w:p>
        </w:tc>
      </w:tr>
      <w:tr w:rsidR="00931F52" w14:paraId="278981C5" w14:textId="77777777" w:rsidTr="00931F52">
        <w:tc>
          <w:tcPr>
            <w:tcW w:w="440" w:type="dxa"/>
            <w:shd w:val="clear" w:color="auto" w:fill="FBE4D5" w:themeFill="accent2" w:themeFillTint="33"/>
            <w:vAlign w:val="center"/>
          </w:tcPr>
          <w:p w14:paraId="64F79ACF" w14:textId="7600CCAB" w:rsidR="00931F52" w:rsidRDefault="00931F52" w:rsidP="00C537AF">
            <w:pPr>
              <w:bidi w:val="0"/>
              <w:spacing w:line="480" w:lineRule="auto"/>
              <w:rPr>
                <w:i/>
                <w:iCs/>
              </w:rPr>
            </w:pPr>
            <w:r>
              <w:rPr>
                <w:i/>
                <w:iCs/>
              </w:rPr>
              <w:t>13</w:t>
            </w:r>
          </w:p>
        </w:tc>
        <w:tc>
          <w:tcPr>
            <w:tcW w:w="1672" w:type="dxa"/>
            <w:shd w:val="clear" w:color="auto" w:fill="FBE4D5" w:themeFill="accent2" w:themeFillTint="33"/>
            <w:vAlign w:val="center"/>
          </w:tcPr>
          <w:p w14:paraId="09FAE665" w14:textId="6B7A3803" w:rsidR="00931F52" w:rsidRDefault="00931F52" w:rsidP="00C537AF">
            <w:pPr>
              <w:bidi w:val="0"/>
              <w:spacing w:line="480" w:lineRule="auto"/>
              <w:jc w:val="center"/>
              <w:rPr>
                <w:i/>
                <w:iCs/>
              </w:rPr>
            </w:pPr>
            <w:r>
              <w:rPr>
                <w:i/>
                <w:iCs/>
              </w:rPr>
              <w:t>N_Y</w:t>
            </w:r>
          </w:p>
        </w:tc>
        <w:tc>
          <w:tcPr>
            <w:tcW w:w="1701" w:type="dxa"/>
            <w:vMerge w:val="restart"/>
            <w:shd w:val="clear" w:color="auto" w:fill="FBE4D5" w:themeFill="accent2" w:themeFillTint="33"/>
            <w:vAlign w:val="center"/>
          </w:tcPr>
          <w:p w14:paraId="79657972" w14:textId="77777777" w:rsidR="00931F52" w:rsidRDefault="00931F52" w:rsidP="00C537AF">
            <w:pPr>
              <w:bidi w:val="0"/>
              <w:spacing w:line="480" w:lineRule="auto"/>
              <w:jc w:val="center"/>
            </w:pPr>
            <w:r>
              <w:t>Detection</w:t>
            </w:r>
          </w:p>
        </w:tc>
        <w:tc>
          <w:tcPr>
            <w:tcW w:w="1797" w:type="dxa"/>
            <w:vMerge w:val="restart"/>
            <w:shd w:val="clear" w:color="auto" w:fill="FBE4D5" w:themeFill="accent2" w:themeFillTint="33"/>
            <w:vAlign w:val="center"/>
          </w:tcPr>
          <w:p w14:paraId="44F0F290" w14:textId="6170075F" w:rsidR="00931F52" w:rsidRDefault="00931F52" w:rsidP="00C537AF">
            <w:pPr>
              <w:bidi w:val="0"/>
              <w:spacing w:line="480" w:lineRule="auto"/>
              <w:jc w:val="center"/>
            </w:pPr>
            <w:r>
              <w:t>Noise</w:t>
            </w:r>
          </w:p>
        </w:tc>
        <w:tc>
          <w:tcPr>
            <w:tcW w:w="1797" w:type="dxa"/>
            <w:vMerge w:val="restart"/>
            <w:shd w:val="clear" w:color="auto" w:fill="FBE4D5" w:themeFill="accent2" w:themeFillTint="33"/>
            <w:vAlign w:val="center"/>
          </w:tcPr>
          <w:p w14:paraId="6A966ABB" w14:textId="77777777" w:rsidR="00931F52" w:rsidRDefault="00931F52" w:rsidP="00C537AF">
            <w:pPr>
              <w:bidi w:val="0"/>
              <w:spacing w:line="480" w:lineRule="auto"/>
              <w:jc w:val="center"/>
            </w:pPr>
            <w:r>
              <w:t>Yes</w:t>
            </w:r>
          </w:p>
        </w:tc>
      </w:tr>
      <w:tr w:rsidR="00931F52" w14:paraId="0728F68A" w14:textId="77777777" w:rsidTr="00931F52">
        <w:tc>
          <w:tcPr>
            <w:tcW w:w="440" w:type="dxa"/>
            <w:shd w:val="clear" w:color="auto" w:fill="FBE4D5" w:themeFill="accent2" w:themeFillTint="33"/>
            <w:vAlign w:val="center"/>
          </w:tcPr>
          <w:p w14:paraId="61442361" w14:textId="22492E7E" w:rsidR="00931F52" w:rsidRDefault="00931F52" w:rsidP="00C537AF">
            <w:pPr>
              <w:bidi w:val="0"/>
              <w:spacing w:line="480" w:lineRule="auto"/>
              <w:rPr>
                <w:i/>
                <w:iCs/>
              </w:rPr>
            </w:pPr>
            <w:r>
              <w:rPr>
                <w:i/>
                <w:iCs/>
              </w:rPr>
              <w:lastRenderedPageBreak/>
              <w:t>14</w:t>
            </w:r>
          </w:p>
        </w:tc>
        <w:tc>
          <w:tcPr>
            <w:tcW w:w="1672" w:type="dxa"/>
            <w:shd w:val="clear" w:color="auto" w:fill="FBE4D5" w:themeFill="accent2" w:themeFillTint="33"/>
            <w:vAlign w:val="center"/>
          </w:tcPr>
          <w:p w14:paraId="0E0E1EA7" w14:textId="1784DC11" w:rsidR="00931F52" w:rsidRDefault="00931F52" w:rsidP="00C537AF">
            <w:pPr>
              <w:bidi w:val="0"/>
              <w:spacing w:line="480" w:lineRule="auto"/>
              <w:jc w:val="center"/>
              <w:rPr>
                <w:i/>
                <w:iCs/>
              </w:rPr>
            </w:pPr>
            <w:proofErr w:type="spellStart"/>
            <w:r>
              <w:rPr>
                <w:i/>
                <w:iCs/>
              </w:rPr>
              <w:t>N_Y_conf</w:t>
            </w:r>
            <w:proofErr w:type="spellEnd"/>
          </w:p>
        </w:tc>
        <w:tc>
          <w:tcPr>
            <w:tcW w:w="1701" w:type="dxa"/>
            <w:vMerge/>
            <w:shd w:val="clear" w:color="auto" w:fill="FBE4D5" w:themeFill="accent2" w:themeFillTint="33"/>
            <w:vAlign w:val="center"/>
          </w:tcPr>
          <w:p w14:paraId="4EBA9B0C"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67DB05E8"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587E7A5C" w14:textId="77777777" w:rsidR="00931F52" w:rsidRDefault="00931F52" w:rsidP="00C537AF">
            <w:pPr>
              <w:bidi w:val="0"/>
              <w:spacing w:line="480" w:lineRule="auto"/>
              <w:jc w:val="center"/>
            </w:pPr>
          </w:p>
        </w:tc>
      </w:tr>
      <w:tr w:rsidR="00931F52" w14:paraId="5E276DA6" w14:textId="77777777" w:rsidTr="00931F52">
        <w:tc>
          <w:tcPr>
            <w:tcW w:w="440" w:type="dxa"/>
            <w:shd w:val="clear" w:color="auto" w:fill="D9E2F3" w:themeFill="accent1" w:themeFillTint="33"/>
            <w:vAlign w:val="center"/>
          </w:tcPr>
          <w:p w14:paraId="21D7B908" w14:textId="0A34D3E7" w:rsidR="00931F52" w:rsidRDefault="00931F52" w:rsidP="00C537AF">
            <w:pPr>
              <w:bidi w:val="0"/>
              <w:spacing w:line="480" w:lineRule="auto"/>
              <w:rPr>
                <w:i/>
                <w:iCs/>
              </w:rPr>
            </w:pPr>
            <w:r>
              <w:rPr>
                <w:i/>
                <w:iCs/>
              </w:rPr>
              <w:t>15</w:t>
            </w:r>
          </w:p>
        </w:tc>
        <w:tc>
          <w:tcPr>
            <w:tcW w:w="1672" w:type="dxa"/>
            <w:shd w:val="clear" w:color="auto" w:fill="D9E2F3" w:themeFill="accent1" w:themeFillTint="33"/>
            <w:vAlign w:val="center"/>
          </w:tcPr>
          <w:p w14:paraId="6BE2227F" w14:textId="0DE5584F" w:rsidR="00931F52" w:rsidRDefault="00931F52" w:rsidP="00C537AF">
            <w:pPr>
              <w:bidi w:val="0"/>
              <w:spacing w:line="480" w:lineRule="auto"/>
              <w:jc w:val="center"/>
              <w:rPr>
                <w:i/>
                <w:iCs/>
              </w:rPr>
            </w:pPr>
            <w:r>
              <w:rPr>
                <w:i/>
                <w:iCs/>
              </w:rPr>
              <w:t>N_N</w:t>
            </w:r>
          </w:p>
        </w:tc>
        <w:tc>
          <w:tcPr>
            <w:tcW w:w="1701" w:type="dxa"/>
            <w:vMerge w:val="restart"/>
            <w:shd w:val="clear" w:color="auto" w:fill="D9E2F3" w:themeFill="accent1" w:themeFillTint="33"/>
            <w:vAlign w:val="center"/>
          </w:tcPr>
          <w:p w14:paraId="5D5263FC" w14:textId="77777777" w:rsidR="00931F52" w:rsidRDefault="00931F52" w:rsidP="00C537AF">
            <w:pPr>
              <w:bidi w:val="0"/>
              <w:spacing w:line="480" w:lineRule="auto"/>
              <w:jc w:val="center"/>
            </w:pPr>
            <w:r>
              <w:t>Detection</w:t>
            </w:r>
          </w:p>
        </w:tc>
        <w:tc>
          <w:tcPr>
            <w:tcW w:w="1797" w:type="dxa"/>
            <w:vMerge w:val="restart"/>
            <w:shd w:val="clear" w:color="auto" w:fill="D9E2F3" w:themeFill="accent1" w:themeFillTint="33"/>
            <w:vAlign w:val="center"/>
          </w:tcPr>
          <w:p w14:paraId="3CD2B282" w14:textId="7D6EC40F" w:rsidR="00931F52" w:rsidRDefault="00931F52" w:rsidP="00C537AF">
            <w:pPr>
              <w:bidi w:val="0"/>
              <w:spacing w:line="480" w:lineRule="auto"/>
              <w:jc w:val="center"/>
            </w:pPr>
            <w:r>
              <w:t>Noise</w:t>
            </w:r>
          </w:p>
        </w:tc>
        <w:tc>
          <w:tcPr>
            <w:tcW w:w="1797" w:type="dxa"/>
            <w:vMerge w:val="restart"/>
            <w:shd w:val="clear" w:color="auto" w:fill="D9E2F3" w:themeFill="accent1" w:themeFillTint="33"/>
            <w:vAlign w:val="center"/>
          </w:tcPr>
          <w:p w14:paraId="7A16F7A5" w14:textId="6E71A8C5" w:rsidR="00931F52" w:rsidRDefault="00931F52" w:rsidP="00C537AF">
            <w:pPr>
              <w:bidi w:val="0"/>
              <w:spacing w:line="480" w:lineRule="auto"/>
              <w:jc w:val="center"/>
            </w:pPr>
            <w:r>
              <w:t>No</w:t>
            </w:r>
          </w:p>
        </w:tc>
      </w:tr>
      <w:tr w:rsidR="00931F52" w14:paraId="67A90627" w14:textId="77777777" w:rsidTr="00931F52">
        <w:tc>
          <w:tcPr>
            <w:tcW w:w="440" w:type="dxa"/>
            <w:shd w:val="clear" w:color="auto" w:fill="D9E2F3" w:themeFill="accent1" w:themeFillTint="33"/>
            <w:vAlign w:val="center"/>
          </w:tcPr>
          <w:p w14:paraId="29A66B1F" w14:textId="13CDDF5D" w:rsidR="00931F52" w:rsidRDefault="00931F52" w:rsidP="00C537AF">
            <w:pPr>
              <w:bidi w:val="0"/>
              <w:spacing w:line="480" w:lineRule="auto"/>
              <w:rPr>
                <w:i/>
                <w:iCs/>
              </w:rPr>
            </w:pPr>
            <w:r>
              <w:rPr>
                <w:i/>
                <w:iCs/>
              </w:rPr>
              <w:t>16</w:t>
            </w:r>
          </w:p>
        </w:tc>
        <w:tc>
          <w:tcPr>
            <w:tcW w:w="1672" w:type="dxa"/>
            <w:shd w:val="clear" w:color="auto" w:fill="D9E2F3" w:themeFill="accent1" w:themeFillTint="33"/>
            <w:vAlign w:val="center"/>
          </w:tcPr>
          <w:p w14:paraId="70685ABA" w14:textId="7B3A86BA" w:rsidR="00931F52" w:rsidRDefault="00931F52" w:rsidP="00C537AF">
            <w:pPr>
              <w:bidi w:val="0"/>
              <w:spacing w:line="480" w:lineRule="auto"/>
              <w:jc w:val="center"/>
              <w:rPr>
                <w:i/>
                <w:iCs/>
              </w:rPr>
            </w:pPr>
            <w:proofErr w:type="spellStart"/>
            <w:r>
              <w:rPr>
                <w:i/>
                <w:iCs/>
              </w:rPr>
              <w:t>N_N_conf</w:t>
            </w:r>
            <w:proofErr w:type="spellEnd"/>
          </w:p>
        </w:tc>
        <w:tc>
          <w:tcPr>
            <w:tcW w:w="1701" w:type="dxa"/>
            <w:vMerge/>
            <w:shd w:val="clear" w:color="auto" w:fill="D9E2F3" w:themeFill="accent1" w:themeFillTint="33"/>
            <w:vAlign w:val="center"/>
          </w:tcPr>
          <w:p w14:paraId="6E6D82EF" w14:textId="77777777" w:rsidR="00931F52" w:rsidRDefault="00931F52" w:rsidP="00C537AF">
            <w:pPr>
              <w:bidi w:val="0"/>
              <w:spacing w:line="480" w:lineRule="auto"/>
            </w:pPr>
          </w:p>
        </w:tc>
        <w:tc>
          <w:tcPr>
            <w:tcW w:w="1797" w:type="dxa"/>
            <w:vMerge/>
            <w:shd w:val="clear" w:color="auto" w:fill="D9E2F3" w:themeFill="accent1" w:themeFillTint="33"/>
            <w:vAlign w:val="center"/>
          </w:tcPr>
          <w:p w14:paraId="7A450448" w14:textId="77777777" w:rsidR="00931F52" w:rsidRDefault="00931F52" w:rsidP="00C537AF">
            <w:pPr>
              <w:bidi w:val="0"/>
              <w:spacing w:line="480" w:lineRule="auto"/>
            </w:pPr>
          </w:p>
        </w:tc>
        <w:tc>
          <w:tcPr>
            <w:tcW w:w="1797" w:type="dxa"/>
            <w:vMerge/>
            <w:shd w:val="clear" w:color="auto" w:fill="D9E2F3" w:themeFill="accent1" w:themeFillTint="33"/>
            <w:vAlign w:val="center"/>
          </w:tcPr>
          <w:p w14:paraId="44C228EE" w14:textId="77777777" w:rsidR="00931F52" w:rsidRDefault="00931F52" w:rsidP="00C537AF">
            <w:pPr>
              <w:bidi w:val="0"/>
              <w:spacing w:line="480" w:lineRule="auto"/>
            </w:pPr>
          </w:p>
        </w:tc>
      </w:tr>
    </w:tbl>
    <w:p w14:paraId="2239B73A" w14:textId="045AAB7B" w:rsidR="00931F52" w:rsidRDefault="00931F52" w:rsidP="00C537AF">
      <w:pPr>
        <w:bidi w:val="0"/>
        <w:spacing w:line="480" w:lineRule="auto"/>
      </w:pPr>
    </w:p>
    <w:p w14:paraId="25713A58" w14:textId="4B05AD84" w:rsidR="00931F52" w:rsidRDefault="00931F52" w:rsidP="00C537AF">
      <w:pPr>
        <w:bidi w:val="0"/>
        <w:spacing w:line="480" w:lineRule="auto"/>
      </w:pPr>
      <w:r>
        <w:t>Blue and red cells represent correct and incorrect responses, respectively.</w:t>
      </w:r>
    </w:p>
    <w:p w14:paraId="00921558" w14:textId="53C84E67" w:rsidR="00931F52" w:rsidRDefault="00931F52" w:rsidP="00C537AF">
      <w:pPr>
        <w:bidi w:val="0"/>
        <w:spacing w:line="480" w:lineRule="auto"/>
      </w:pPr>
      <w:r>
        <w:t xml:space="preserve">In addition, the design matrix will include a run-wise constant term regressor, a motor response regressor for each of the three response buttons, a motion regressor and physiological measures regressors.  </w:t>
      </w:r>
    </w:p>
    <w:p w14:paraId="4E8EE0F6" w14:textId="7368A84A" w:rsidR="00B2705E" w:rsidRDefault="001C3B6C" w:rsidP="00C537AF">
      <w:pPr>
        <w:bidi w:val="0"/>
        <w:spacing w:line="480" w:lineRule="auto"/>
      </w:pPr>
      <w:r>
        <w:t xml:space="preserve">Our primary analysis will focus on correct responses only. </w:t>
      </w:r>
      <w:r w:rsidR="00B2705E">
        <w:t>We will apply the following contrasts to the voxel-wise beta estimates:</w:t>
      </w:r>
    </w:p>
    <w:p w14:paraId="304B1230" w14:textId="77777777" w:rsidR="00B2705E" w:rsidRDefault="00B2705E" w:rsidP="00C537AF">
      <w:pPr>
        <w:bidi w:val="0"/>
        <w:spacing w:line="480" w:lineRule="auto"/>
        <w:sectPr w:rsidR="00B2705E" w:rsidSect="00303CC8">
          <w:pgSz w:w="11906" w:h="16838"/>
          <w:pgMar w:top="1440" w:right="1800" w:bottom="1440" w:left="1800" w:header="708" w:footer="708" w:gutter="0"/>
          <w:cols w:space="708"/>
          <w:bidi/>
          <w:rtlGutter/>
          <w:docGrid w:linePitch="360"/>
        </w:sectPr>
      </w:pPr>
    </w:p>
    <w:p w14:paraId="061AAA68" w14:textId="780C9E10" w:rsidR="00B2705E" w:rsidRDefault="00B2705E" w:rsidP="00C537AF">
      <w:pPr>
        <w:bidi w:val="0"/>
        <w:spacing w:line="480" w:lineRule="auto"/>
      </w:pPr>
    </w:p>
    <w:tbl>
      <w:tblPr>
        <w:tblStyle w:val="GridTable1Light"/>
        <w:tblW w:w="0" w:type="auto"/>
        <w:tblLook w:val="04A0" w:firstRow="1" w:lastRow="0" w:firstColumn="1" w:lastColumn="0" w:noHBand="0" w:noVBand="1"/>
      </w:tblPr>
      <w:tblGrid>
        <w:gridCol w:w="4020"/>
        <w:gridCol w:w="4282"/>
      </w:tblGrid>
      <w:tr w:rsidR="00C856BB" w14:paraId="1C4B0BE8" w14:textId="77777777" w:rsidTr="00C8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5EF3E91D" w14:textId="1CC23A8E" w:rsidR="00C856BB" w:rsidRDefault="00C856BB" w:rsidP="00C537AF">
            <w:pPr>
              <w:bidi w:val="0"/>
              <w:spacing w:line="480" w:lineRule="auto"/>
            </w:pPr>
            <w:r>
              <w:t>Contrast</w:t>
            </w:r>
          </w:p>
        </w:tc>
        <w:tc>
          <w:tcPr>
            <w:tcW w:w="7513" w:type="dxa"/>
          </w:tcPr>
          <w:p w14:paraId="4E42D6ED" w14:textId="42BF6CB6" w:rsidR="00C856BB" w:rsidRDefault="00C856BB" w:rsidP="00C537AF">
            <w:pPr>
              <w:bidi w:val="0"/>
              <w:spacing w:line="480" w:lineRule="auto"/>
              <w:cnfStyle w:val="100000000000" w:firstRow="1" w:lastRow="0" w:firstColumn="0" w:lastColumn="0" w:oddVBand="0" w:evenVBand="0" w:oddHBand="0" w:evenHBand="0" w:firstRowFirstColumn="0" w:firstRowLastColumn="0" w:lastRowFirstColumn="0" w:lastRowLastColumn="0"/>
            </w:pPr>
            <w:r>
              <w:t>Interpretation</w:t>
            </w:r>
          </w:p>
        </w:tc>
      </w:tr>
      <w:tr w:rsidR="00C856BB" w14:paraId="789A7373"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624D9912" w14:textId="77777777" w:rsidR="00C856BB" w:rsidRDefault="00C856BB" w:rsidP="00C537AF">
            <w:pPr>
              <w:pStyle w:val="ListParagraph"/>
              <w:numPr>
                <w:ilvl w:val="0"/>
                <w:numId w:val="15"/>
              </w:numPr>
              <w:bidi w:val="0"/>
              <w:spacing w:line="480" w:lineRule="auto"/>
              <w:rPr>
                <w:b w:val="0"/>
                <w:bCs w:val="0"/>
              </w:rPr>
            </w:pPr>
            <w:r>
              <w:rPr>
                <w:b w:val="0"/>
                <w:bCs w:val="0"/>
              </w:rPr>
              <w:t>Task</w:t>
            </w:r>
          </w:p>
          <w:p w14:paraId="03959220" w14:textId="70D48DCB" w:rsidR="00C856BB" w:rsidRPr="00001B8C" w:rsidRDefault="00C856BB" w:rsidP="00C537AF">
            <w:pPr>
              <w:pStyle w:val="ListParagraph"/>
              <w:bidi w:val="0"/>
              <w:spacing w:line="480" w:lineRule="auto"/>
              <w:rPr>
                <w:b w:val="0"/>
                <w:bCs w:val="0"/>
              </w:rPr>
            </w:pPr>
            <w:r>
              <w:rPr>
                <w:b w:val="0"/>
                <w:bCs w:val="0"/>
              </w:rPr>
              <w:t>([1 0 1 0 1 0 1 0 -1 0 -1 0 -1 0 -1 0])</w:t>
            </w:r>
          </w:p>
        </w:tc>
        <w:tc>
          <w:tcPr>
            <w:tcW w:w="7513" w:type="dxa"/>
          </w:tcPr>
          <w:p w14:paraId="1C137D57" w14:textId="2D5CA090" w:rsidR="00C856BB" w:rsidRDefault="00C856BB" w:rsidP="00C537AF">
            <w:pPr>
              <w:bidi w:val="0"/>
              <w:spacing w:line="480" w:lineRule="auto"/>
              <w:cnfStyle w:val="000000000000" w:firstRow="0" w:lastRow="0" w:firstColumn="0" w:lastColumn="0" w:oddVBand="0" w:evenVBand="0" w:oddHBand="0" w:evenHBand="0" w:firstRowFirstColumn="0" w:firstRowLastColumn="0" w:lastRowFirstColumn="0" w:lastRowLastColumn="0"/>
            </w:pPr>
            <w:r>
              <w:t>Brain r</w:t>
            </w:r>
            <w:r w:rsidR="002C1D6E">
              <w:t>egions showing a main effect of</w:t>
            </w:r>
            <w:r>
              <w:t xml:space="preserve"> task.</w:t>
            </w:r>
          </w:p>
        </w:tc>
      </w:tr>
      <w:tr w:rsidR="001C3B6C" w14:paraId="5D4FFAB6"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334F3A17" w14:textId="66482C92" w:rsidR="001C3B6C" w:rsidRDefault="001C3B6C" w:rsidP="001C3B6C">
            <w:pPr>
              <w:pStyle w:val="ListParagraph"/>
              <w:numPr>
                <w:ilvl w:val="0"/>
                <w:numId w:val="15"/>
              </w:numPr>
              <w:bidi w:val="0"/>
              <w:spacing w:line="480" w:lineRule="auto"/>
              <w:rPr>
                <w:b w:val="0"/>
                <w:bCs w:val="0"/>
              </w:rPr>
            </w:pPr>
            <w:r>
              <w:rPr>
                <w:b w:val="0"/>
                <w:bCs w:val="0"/>
              </w:rPr>
              <w:t xml:space="preserve">Correct rejections – Hits </w:t>
            </w:r>
          </w:p>
          <w:p w14:paraId="45B2FC18" w14:textId="0934E38D" w:rsidR="001C3B6C" w:rsidRPr="00001B8C" w:rsidRDefault="001C3B6C" w:rsidP="001C3B6C">
            <w:pPr>
              <w:pStyle w:val="ListParagraph"/>
              <w:bidi w:val="0"/>
              <w:spacing w:line="480" w:lineRule="auto"/>
              <w:rPr>
                <w:b w:val="0"/>
                <w:bCs w:val="0"/>
              </w:rPr>
            </w:pPr>
            <w:r>
              <w:rPr>
                <w:b w:val="0"/>
                <w:bCs w:val="0"/>
              </w:rPr>
              <w:t>([0 0 0 0 0 0 0 0 -1 0 0 0 0 0 1 0])</w:t>
            </w:r>
          </w:p>
        </w:tc>
        <w:tc>
          <w:tcPr>
            <w:tcW w:w="7513" w:type="dxa"/>
          </w:tcPr>
          <w:p w14:paraId="7E7E0513" w14:textId="1962A8A5" w:rsidR="001C3B6C" w:rsidRDefault="001C3B6C" w:rsidP="001C3B6C">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an effect of response within the detection task.</w:t>
            </w:r>
          </w:p>
        </w:tc>
      </w:tr>
      <w:tr w:rsidR="001C3B6C" w14:paraId="07FFC248"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78FA520C" w14:textId="6242F8DB" w:rsidR="001C3B6C" w:rsidRDefault="001C3B6C" w:rsidP="001C3B6C">
            <w:pPr>
              <w:pStyle w:val="ListParagraph"/>
              <w:numPr>
                <w:ilvl w:val="0"/>
                <w:numId w:val="15"/>
              </w:numPr>
              <w:bidi w:val="0"/>
              <w:spacing w:line="480" w:lineRule="auto"/>
              <w:rPr>
                <w:b w:val="0"/>
                <w:bCs w:val="0"/>
              </w:rPr>
            </w:pPr>
            <w:r>
              <w:rPr>
                <w:b w:val="0"/>
                <w:bCs w:val="0"/>
              </w:rPr>
              <w:t>Clockwise tilt – counterclockwise tilt (correct responses only)</w:t>
            </w:r>
            <w:r>
              <w:rPr>
                <w:b w:val="0"/>
                <w:bCs w:val="0"/>
              </w:rPr>
              <w:br/>
              <w:t>([-1 0 0 0 0 0 1 0 0 0 0 0 0 0 0 0])</w:t>
            </w:r>
          </w:p>
        </w:tc>
        <w:tc>
          <w:tcPr>
            <w:tcW w:w="7513" w:type="dxa"/>
          </w:tcPr>
          <w:p w14:paraId="362A85B4" w14:textId="2EB80FF0" w:rsidR="001C3B6C" w:rsidRDefault="001C3B6C" w:rsidP="001C3B6C">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an effect of response within the discrimination task.</w:t>
            </w:r>
          </w:p>
        </w:tc>
      </w:tr>
      <w:tr w:rsidR="00DC0797" w14:paraId="2767A0F5"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458AFE30" w14:textId="77777777" w:rsidR="00DC0797" w:rsidRDefault="00DC0797" w:rsidP="00DC0797">
            <w:pPr>
              <w:pStyle w:val="ListParagraph"/>
              <w:numPr>
                <w:ilvl w:val="0"/>
                <w:numId w:val="15"/>
              </w:numPr>
              <w:bidi w:val="0"/>
              <w:spacing w:line="480" w:lineRule="auto"/>
              <w:rPr>
                <w:b w:val="0"/>
                <w:bCs w:val="0"/>
              </w:rPr>
            </w:pPr>
            <w:r>
              <w:rPr>
                <w:b w:val="0"/>
                <w:bCs w:val="0"/>
              </w:rPr>
              <w:t>Confidence (correct responses only)</w:t>
            </w:r>
          </w:p>
          <w:p w14:paraId="510D899A" w14:textId="00463F26" w:rsidR="00DC0797" w:rsidRDefault="00DC0797" w:rsidP="00DC0797">
            <w:pPr>
              <w:pStyle w:val="ListParagraph"/>
              <w:bidi w:val="0"/>
              <w:spacing w:line="480" w:lineRule="auto"/>
              <w:rPr>
                <w:b w:val="0"/>
                <w:bCs w:val="0"/>
              </w:rPr>
            </w:pPr>
            <w:r>
              <w:rPr>
                <w:b w:val="0"/>
                <w:bCs w:val="0"/>
              </w:rPr>
              <w:t>([0 1 0 0 0 0 0 1 0 1 0 0 0 0 0 1])</w:t>
            </w:r>
          </w:p>
        </w:tc>
        <w:tc>
          <w:tcPr>
            <w:tcW w:w="7513" w:type="dxa"/>
          </w:tcPr>
          <w:p w14:paraId="0F64C1B3" w14:textId="21F141C4" w:rsidR="00DC0797" w:rsidRDefault="00DC0797" w:rsidP="00DC0797">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linear modulation of reported confidence on BOLD signal.</w:t>
            </w:r>
          </w:p>
        </w:tc>
      </w:tr>
      <w:tr w:rsidR="00DC0797" w14:paraId="397A2CB0"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3F74AF15" w14:textId="77777777" w:rsidR="00DC0797" w:rsidRDefault="00DC0797" w:rsidP="00DC0797">
            <w:pPr>
              <w:pStyle w:val="ListParagraph"/>
              <w:numPr>
                <w:ilvl w:val="0"/>
                <w:numId w:val="15"/>
              </w:numPr>
              <w:bidi w:val="0"/>
              <w:spacing w:line="480" w:lineRule="auto"/>
              <w:rPr>
                <w:b w:val="0"/>
                <w:bCs w:val="0"/>
              </w:rPr>
            </w:pPr>
            <w:r>
              <w:rPr>
                <w:b w:val="0"/>
                <w:bCs w:val="0"/>
              </w:rPr>
              <w:t>Confidence-task interaction (correct responses only)</w:t>
            </w:r>
          </w:p>
          <w:p w14:paraId="72208E39" w14:textId="7A6D874D" w:rsidR="00DC0797" w:rsidRDefault="00DC0797" w:rsidP="00DC0797">
            <w:pPr>
              <w:pStyle w:val="ListParagraph"/>
              <w:bidi w:val="0"/>
              <w:spacing w:line="480" w:lineRule="auto"/>
              <w:rPr>
                <w:b w:val="0"/>
                <w:bCs w:val="0"/>
              </w:rPr>
            </w:pPr>
            <w:r>
              <w:rPr>
                <w:b w:val="0"/>
                <w:bCs w:val="0"/>
              </w:rPr>
              <w:t>([0 1 0 0 0 0 0 1 0 -1 0 0 0 0 0 -1])</w:t>
            </w:r>
          </w:p>
        </w:tc>
        <w:tc>
          <w:tcPr>
            <w:tcW w:w="7513" w:type="dxa"/>
          </w:tcPr>
          <w:p w14:paraId="65FD1777" w14:textId="56EC8A89" w:rsidR="00DC0797" w:rsidRDefault="00DC0797" w:rsidP="00DC0797">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of confidence as a function of task.</w:t>
            </w:r>
          </w:p>
        </w:tc>
      </w:tr>
      <w:tr w:rsidR="001C3B6C" w14:paraId="2BF6881B"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73F5DA05" w14:textId="5CA7FF30" w:rsidR="001C3B6C" w:rsidRDefault="001C3B6C" w:rsidP="001C3B6C">
            <w:pPr>
              <w:pStyle w:val="ListParagraph"/>
              <w:numPr>
                <w:ilvl w:val="0"/>
                <w:numId w:val="15"/>
              </w:numPr>
              <w:bidi w:val="0"/>
              <w:spacing w:after="160" w:line="480" w:lineRule="auto"/>
              <w:rPr>
                <w:b w:val="0"/>
                <w:bCs w:val="0"/>
              </w:rPr>
            </w:pPr>
            <w:r>
              <w:rPr>
                <w:b w:val="0"/>
                <w:bCs w:val="0"/>
              </w:rPr>
              <w:t>Confidence in correct rejections – Confidence in hits</w:t>
            </w:r>
          </w:p>
          <w:p w14:paraId="047F46FB" w14:textId="738F39A3" w:rsidR="001C3B6C" w:rsidRPr="00001B8C" w:rsidRDefault="001C3B6C" w:rsidP="001C3B6C">
            <w:pPr>
              <w:pStyle w:val="ListParagraph"/>
              <w:bidi w:val="0"/>
              <w:spacing w:line="480" w:lineRule="auto"/>
              <w:rPr>
                <w:b w:val="0"/>
                <w:bCs w:val="0"/>
              </w:rPr>
            </w:pPr>
            <w:r>
              <w:rPr>
                <w:b w:val="0"/>
                <w:bCs w:val="0"/>
              </w:rPr>
              <w:t>([0 0 0 0 0 0 0 0 0 -1 0 0 0 0 0 1])</w:t>
            </w:r>
          </w:p>
        </w:tc>
        <w:tc>
          <w:tcPr>
            <w:tcW w:w="7513" w:type="dxa"/>
          </w:tcPr>
          <w:p w14:paraId="21D2AFE7" w14:textId="6AECB683" w:rsidR="001C3B6C" w:rsidRDefault="001C3B6C" w:rsidP="001C3B6C">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in the detection task.</w:t>
            </w:r>
          </w:p>
        </w:tc>
      </w:tr>
      <w:tr w:rsidR="001C3B6C" w14:paraId="111A2B35"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0905044A" w14:textId="627AFFD4" w:rsidR="001C3B6C" w:rsidRPr="00DC0797" w:rsidRDefault="001C3B6C" w:rsidP="00DC0797">
            <w:pPr>
              <w:pStyle w:val="ListParagraph"/>
              <w:numPr>
                <w:ilvl w:val="0"/>
                <w:numId w:val="15"/>
              </w:numPr>
              <w:bidi w:val="0"/>
              <w:spacing w:line="480" w:lineRule="auto"/>
              <w:rPr>
                <w:b w:val="0"/>
                <w:bCs w:val="0"/>
              </w:rPr>
            </w:pPr>
            <w:r w:rsidRPr="00DC0797">
              <w:rPr>
                <w:b w:val="0"/>
                <w:bCs w:val="0"/>
              </w:rPr>
              <w:t>Confidence in clockwise tilt – Confidence in counterclockwise tilt</w:t>
            </w:r>
          </w:p>
          <w:p w14:paraId="4EA50664" w14:textId="3D7D279E" w:rsidR="001C3B6C" w:rsidRPr="00BC1AC5" w:rsidRDefault="001C3B6C" w:rsidP="001C3B6C">
            <w:pPr>
              <w:pStyle w:val="ListParagraph"/>
              <w:bidi w:val="0"/>
              <w:spacing w:line="480" w:lineRule="auto"/>
              <w:rPr>
                <w:b w:val="0"/>
                <w:bCs w:val="0"/>
              </w:rPr>
            </w:pPr>
            <w:r>
              <w:rPr>
                <w:b w:val="0"/>
                <w:bCs w:val="0"/>
              </w:rPr>
              <w:t>([0 -1 0 0 0 0 0 1 0 0 0 0 0 0 0 0])</w:t>
            </w:r>
          </w:p>
        </w:tc>
        <w:tc>
          <w:tcPr>
            <w:tcW w:w="7513" w:type="dxa"/>
          </w:tcPr>
          <w:p w14:paraId="2BF30E0F" w14:textId="7C0808D2" w:rsidR="001C3B6C" w:rsidRDefault="001C3B6C" w:rsidP="001C3B6C">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in the discrimination task.</w:t>
            </w:r>
          </w:p>
        </w:tc>
      </w:tr>
    </w:tbl>
    <w:p w14:paraId="3572FC69" w14:textId="77777777" w:rsidR="00B2705E" w:rsidRDefault="00B2705E" w:rsidP="00C537AF">
      <w:pPr>
        <w:bidi w:val="0"/>
        <w:spacing w:line="480" w:lineRule="auto"/>
      </w:pPr>
    </w:p>
    <w:p w14:paraId="6EB690AD" w14:textId="77777777" w:rsidR="00CB0443" w:rsidRDefault="00CB0443">
      <w:pPr>
        <w:rPr>
          <w:rFonts w:hint="cs"/>
          <w:rtl/>
        </w:rPr>
      </w:pPr>
      <w:r>
        <w:br w:type="page"/>
      </w:r>
    </w:p>
    <w:p w14:paraId="5EB43C05" w14:textId="77777777" w:rsidR="00CB0443" w:rsidRDefault="00CB0443" w:rsidP="00CB0443">
      <w:pPr>
        <w:bidi w:val="0"/>
        <w:spacing w:line="480" w:lineRule="auto"/>
      </w:pPr>
      <w:r>
        <w:lastRenderedPageBreak/>
        <w:t xml:space="preserve">Contrasts 4-7 will detect regions that modulate their response as a function of reported confidence in correct responses. These regions can be further classified into two groups: brain regions that represent confidence, and brain regions that exhibit differential activation as a function of transient metacognitive adequacy. While the first are expected to show a similar pattern for correct and incorrect responses, the second group is expected to show opposite signs of signal modulation as a function of response accuracy.  While high confidence in a correct response is more metacognitively adequate than low confidence, the opposite is true for incorrect responses, for which a low confidence rating will reflect higher metacognitive adequacy. </w:t>
      </w:r>
    </w:p>
    <w:p w14:paraId="27070E72" w14:textId="07CFBC4F" w:rsidR="00E879AF" w:rsidRDefault="00643F55" w:rsidP="00EE29BE">
      <w:pPr>
        <w:bidi w:val="0"/>
        <w:spacing w:line="480" w:lineRule="auto"/>
      </w:pPr>
      <w:r>
        <w:t>To this end, we will perform four additional contrasts within brain regions that showed significant modulation as a function of confidence in contrasts 4-7:</w:t>
      </w:r>
    </w:p>
    <w:tbl>
      <w:tblPr>
        <w:tblStyle w:val="GridTable1Light"/>
        <w:tblW w:w="8926" w:type="dxa"/>
        <w:tblLook w:val="04A0" w:firstRow="1" w:lastRow="0" w:firstColumn="1" w:lastColumn="0" w:noHBand="0" w:noVBand="1"/>
      </w:tblPr>
      <w:tblGrid>
        <w:gridCol w:w="4248"/>
        <w:gridCol w:w="4678"/>
      </w:tblGrid>
      <w:tr w:rsidR="00EE29BE" w14:paraId="5315A452" w14:textId="233E038E" w:rsidTr="00EE2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4C1FBD0" w14:textId="0B60D49F" w:rsidR="00EE29BE" w:rsidRPr="00EE29BE" w:rsidRDefault="00EE29BE" w:rsidP="00EE29BE">
            <w:pPr>
              <w:pStyle w:val="ListParagraph"/>
              <w:numPr>
                <w:ilvl w:val="0"/>
                <w:numId w:val="15"/>
              </w:numPr>
              <w:bidi w:val="0"/>
              <w:spacing w:line="480" w:lineRule="auto"/>
              <w:rPr>
                <w:b w:val="0"/>
                <w:bCs w:val="0"/>
              </w:rPr>
            </w:pPr>
            <w:r w:rsidRPr="00EE29BE">
              <w:rPr>
                <w:b w:val="0"/>
                <w:bCs w:val="0"/>
              </w:rPr>
              <w:t>Confidence (</w:t>
            </w:r>
            <w:r w:rsidRPr="00EE29BE">
              <w:rPr>
                <w:b w:val="0"/>
                <w:bCs w:val="0"/>
              </w:rPr>
              <w:t>in</w:t>
            </w:r>
            <w:r w:rsidRPr="00EE29BE">
              <w:rPr>
                <w:b w:val="0"/>
                <w:bCs w:val="0"/>
              </w:rPr>
              <w:t>correct responses only)</w:t>
            </w:r>
          </w:p>
          <w:p w14:paraId="30E63095" w14:textId="394A514D" w:rsidR="00EE29BE" w:rsidRDefault="00EE29BE" w:rsidP="00647773">
            <w:pPr>
              <w:pStyle w:val="ListParagraph"/>
              <w:bidi w:val="0"/>
              <w:spacing w:line="480" w:lineRule="auto"/>
              <w:rPr>
                <w:b w:val="0"/>
                <w:bCs w:val="0"/>
              </w:rPr>
            </w:pPr>
            <w:r>
              <w:rPr>
                <w:b w:val="0"/>
                <w:bCs w:val="0"/>
              </w:rPr>
              <w:t xml:space="preserve">([0 </w:t>
            </w:r>
            <w:r>
              <w:rPr>
                <w:b w:val="0"/>
                <w:bCs w:val="0"/>
              </w:rPr>
              <w:t>0</w:t>
            </w:r>
            <w:r>
              <w:rPr>
                <w:b w:val="0"/>
                <w:bCs w:val="0"/>
              </w:rPr>
              <w:t xml:space="preserve"> 0 </w:t>
            </w:r>
            <w:r>
              <w:rPr>
                <w:b w:val="0"/>
                <w:bCs w:val="0"/>
              </w:rPr>
              <w:t>1</w:t>
            </w:r>
            <w:r>
              <w:rPr>
                <w:b w:val="0"/>
                <w:bCs w:val="0"/>
              </w:rPr>
              <w:t xml:space="preserve"> 0 </w:t>
            </w:r>
            <w:r>
              <w:rPr>
                <w:b w:val="0"/>
                <w:bCs w:val="0"/>
              </w:rPr>
              <w:t>1</w:t>
            </w:r>
            <w:r>
              <w:rPr>
                <w:b w:val="0"/>
                <w:bCs w:val="0"/>
              </w:rPr>
              <w:t xml:space="preserve"> 0 </w:t>
            </w:r>
            <w:r>
              <w:rPr>
                <w:b w:val="0"/>
                <w:bCs w:val="0"/>
              </w:rPr>
              <w:t>0</w:t>
            </w:r>
            <w:r>
              <w:rPr>
                <w:b w:val="0"/>
                <w:bCs w:val="0"/>
              </w:rPr>
              <w:t xml:space="preserve"> 0 </w:t>
            </w:r>
            <w:r>
              <w:rPr>
                <w:b w:val="0"/>
                <w:bCs w:val="0"/>
              </w:rPr>
              <w:t>0</w:t>
            </w:r>
            <w:r>
              <w:rPr>
                <w:b w:val="0"/>
                <w:bCs w:val="0"/>
              </w:rPr>
              <w:t xml:space="preserve"> 0 </w:t>
            </w:r>
            <w:r>
              <w:rPr>
                <w:b w:val="0"/>
                <w:bCs w:val="0"/>
              </w:rPr>
              <w:t>1</w:t>
            </w:r>
            <w:r>
              <w:rPr>
                <w:b w:val="0"/>
                <w:bCs w:val="0"/>
              </w:rPr>
              <w:t xml:space="preserve"> 0 </w:t>
            </w:r>
            <w:r>
              <w:rPr>
                <w:b w:val="0"/>
                <w:bCs w:val="0"/>
              </w:rPr>
              <w:t>1</w:t>
            </w:r>
            <w:r>
              <w:rPr>
                <w:b w:val="0"/>
                <w:bCs w:val="0"/>
              </w:rPr>
              <w:t xml:space="preserve"> 0 </w:t>
            </w:r>
            <w:r>
              <w:rPr>
                <w:b w:val="0"/>
                <w:bCs w:val="0"/>
              </w:rPr>
              <w:t>0</w:t>
            </w:r>
            <w:r>
              <w:rPr>
                <w:b w:val="0"/>
                <w:bCs w:val="0"/>
              </w:rPr>
              <w:t>])</w:t>
            </w:r>
          </w:p>
        </w:tc>
        <w:tc>
          <w:tcPr>
            <w:tcW w:w="4678" w:type="dxa"/>
          </w:tcPr>
          <w:p w14:paraId="1D1B2519" w14:textId="40E3E57B" w:rsidR="00EE29BE" w:rsidRPr="00EE29BE" w:rsidRDefault="00EE29BE" w:rsidP="00647773">
            <w:pPr>
              <w:bidi w:val="0"/>
              <w:spacing w:line="48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This contrast will only be performed within regions that showed statistically significant modulation of confidence in contrast number 4.</w:t>
            </w:r>
          </w:p>
        </w:tc>
      </w:tr>
      <w:tr w:rsidR="00EE29BE" w14:paraId="45429CD0" w14:textId="356AE0A3" w:rsidTr="00EE29BE">
        <w:tc>
          <w:tcPr>
            <w:cnfStyle w:val="001000000000" w:firstRow="0" w:lastRow="0" w:firstColumn="1" w:lastColumn="0" w:oddVBand="0" w:evenVBand="0" w:oddHBand="0" w:evenHBand="0" w:firstRowFirstColumn="0" w:firstRowLastColumn="0" w:lastRowFirstColumn="0" w:lastRowLastColumn="0"/>
            <w:tcW w:w="4248" w:type="dxa"/>
          </w:tcPr>
          <w:p w14:paraId="004DBF46" w14:textId="04AE19E4" w:rsidR="00EE29BE" w:rsidRDefault="00EE29BE" w:rsidP="00EE29BE">
            <w:pPr>
              <w:pStyle w:val="ListParagraph"/>
              <w:numPr>
                <w:ilvl w:val="0"/>
                <w:numId w:val="15"/>
              </w:numPr>
              <w:bidi w:val="0"/>
              <w:spacing w:line="480" w:lineRule="auto"/>
              <w:rPr>
                <w:b w:val="0"/>
                <w:bCs w:val="0"/>
              </w:rPr>
            </w:pPr>
            <w:r>
              <w:rPr>
                <w:b w:val="0"/>
                <w:bCs w:val="0"/>
              </w:rPr>
              <w:t>Confidence-task interaction (</w:t>
            </w:r>
            <w:r>
              <w:rPr>
                <w:b w:val="0"/>
                <w:bCs w:val="0"/>
              </w:rPr>
              <w:t>in</w:t>
            </w:r>
            <w:r>
              <w:rPr>
                <w:b w:val="0"/>
                <w:bCs w:val="0"/>
              </w:rPr>
              <w:t>correct responses only)</w:t>
            </w:r>
          </w:p>
          <w:p w14:paraId="41AF9FF8" w14:textId="3503608D" w:rsidR="00EE29BE" w:rsidRDefault="00EE29BE" w:rsidP="00647773">
            <w:pPr>
              <w:pStyle w:val="ListParagraph"/>
              <w:bidi w:val="0"/>
              <w:spacing w:line="480" w:lineRule="auto"/>
              <w:rPr>
                <w:b w:val="0"/>
                <w:bCs w:val="0"/>
              </w:rPr>
            </w:pPr>
            <w:r>
              <w:rPr>
                <w:b w:val="0"/>
                <w:bCs w:val="0"/>
              </w:rPr>
              <w:t xml:space="preserve">([0 </w:t>
            </w:r>
            <w:r>
              <w:rPr>
                <w:b w:val="0"/>
                <w:bCs w:val="0"/>
              </w:rPr>
              <w:t>0</w:t>
            </w:r>
            <w:r>
              <w:rPr>
                <w:b w:val="0"/>
                <w:bCs w:val="0"/>
              </w:rPr>
              <w:t xml:space="preserve"> 0 </w:t>
            </w:r>
            <w:r>
              <w:rPr>
                <w:b w:val="0"/>
                <w:bCs w:val="0"/>
              </w:rPr>
              <w:t>1</w:t>
            </w:r>
            <w:r>
              <w:rPr>
                <w:b w:val="0"/>
                <w:bCs w:val="0"/>
              </w:rPr>
              <w:t xml:space="preserve"> 0 </w:t>
            </w:r>
            <w:r>
              <w:rPr>
                <w:b w:val="0"/>
                <w:bCs w:val="0"/>
              </w:rPr>
              <w:t>1</w:t>
            </w:r>
            <w:r>
              <w:rPr>
                <w:b w:val="0"/>
                <w:bCs w:val="0"/>
              </w:rPr>
              <w:t xml:space="preserve"> 0 </w:t>
            </w:r>
            <w:r>
              <w:rPr>
                <w:b w:val="0"/>
                <w:bCs w:val="0"/>
              </w:rPr>
              <w:t>0</w:t>
            </w:r>
            <w:r>
              <w:rPr>
                <w:b w:val="0"/>
                <w:bCs w:val="0"/>
              </w:rPr>
              <w:t xml:space="preserve"> 0 </w:t>
            </w:r>
            <w:r>
              <w:rPr>
                <w:b w:val="0"/>
                <w:bCs w:val="0"/>
              </w:rPr>
              <w:t>0</w:t>
            </w:r>
            <w:r>
              <w:rPr>
                <w:b w:val="0"/>
                <w:bCs w:val="0"/>
              </w:rPr>
              <w:t xml:space="preserve"> 0 </w:t>
            </w:r>
            <w:r>
              <w:rPr>
                <w:b w:val="0"/>
                <w:bCs w:val="0"/>
              </w:rPr>
              <w:t>-1</w:t>
            </w:r>
            <w:r>
              <w:rPr>
                <w:b w:val="0"/>
                <w:bCs w:val="0"/>
              </w:rPr>
              <w:t xml:space="preserve"> 0 </w:t>
            </w:r>
            <w:r>
              <w:rPr>
                <w:b w:val="0"/>
                <w:bCs w:val="0"/>
              </w:rPr>
              <w:t xml:space="preserve">-1 </w:t>
            </w:r>
            <w:r>
              <w:rPr>
                <w:b w:val="0"/>
                <w:bCs w:val="0"/>
              </w:rPr>
              <w:t xml:space="preserve">0 </w:t>
            </w:r>
            <w:r>
              <w:rPr>
                <w:b w:val="0"/>
                <w:bCs w:val="0"/>
              </w:rPr>
              <w:t>0</w:t>
            </w:r>
            <w:r>
              <w:rPr>
                <w:b w:val="0"/>
                <w:bCs w:val="0"/>
              </w:rPr>
              <w:t>])</w:t>
            </w:r>
          </w:p>
        </w:tc>
        <w:tc>
          <w:tcPr>
            <w:tcW w:w="4678" w:type="dxa"/>
          </w:tcPr>
          <w:p w14:paraId="60389BAA" w14:textId="46FA753B" w:rsidR="00EE29BE" w:rsidRPr="00EE29BE" w:rsidRDefault="00EE29BE" w:rsidP="00647773">
            <w:pPr>
              <w:bidi w:val="0"/>
              <w:spacing w:line="480" w:lineRule="auto"/>
              <w:cnfStyle w:val="000000000000" w:firstRow="0" w:lastRow="0" w:firstColumn="0" w:lastColumn="0" w:oddVBand="0" w:evenVBand="0" w:oddHBand="0" w:evenHBand="0" w:firstRowFirstColumn="0" w:firstRowLastColumn="0" w:lastRowFirstColumn="0" w:lastRowLastColumn="0"/>
            </w:pPr>
            <w:r w:rsidRPr="00EE29BE">
              <w:t xml:space="preserve">This contrast will only be performed within regions that showed statistically significant modulation of </w:t>
            </w:r>
            <w:r>
              <w:t>confidence in contrast number 5.</w:t>
            </w:r>
          </w:p>
        </w:tc>
      </w:tr>
      <w:tr w:rsidR="00EE29BE" w14:paraId="565B59B1" w14:textId="76B8A96A" w:rsidTr="00EE29BE">
        <w:tc>
          <w:tcPr>
            <w:cnfStyle w:val="001000000000" w:firstRow="0" w:lastRow="0" w:firstColumn="1" w:lastColumn="0" w:oddVBand="0" w:evenVBand="0" w:oddHBand="0" w:evenHBand="0" w:firstRowFirstColumn="0" w:firstRowLastColumn="0" w:lastRowFirstColumn="0" w:lastRowLastColumn="0"/>
            <w:tcW w:w="4248" w:type="dxa"/>
          </w:tcPr>
          <w:p w14:paraId="2786B6F3" w14:textId="3EBB3ADB" w:rsidR="00EE29BE" w:rsidRDefault="00EE29BE" w:rsidP="00EE29BE">
            <w:pPr>
              <w:pStyle w:val="ListParagraph"/>
              <w:numPr>
                <w:ilvl w:val="0"/>
                <w:numId w:val="15"/>
              </w:numPr>
              <w:bidi w:val="0"/>
              <w:spacing w:after="160" w:line="480" w:lineRule="auto"/>
              <w:rPr>
                <w:b w:val="0"/>
                <w:bCs w:val="0"/>
              </w:rPr>
            </w:pPr>
            <w:r>
              <w:rPr>
                <w:b w:val="0"/>
                <w:bCs w:val="0"/>
              </w:rPr>
              <w:t xml:space="preserve">Confidence in </w:t>
            </w:r>
            <w:r>
              <w:rPr>
                <w:b w:val="0"/>
                <w:bCs w:val="0"/>
              </w:rPr>
              <w:t>misses</w:t>
            </w:r>
            <w:r>
              <w:rPr>
                <w:b w:val="0"/>
                <w:bCs w:val="0"/>
              </w:rPr>
              <w:t xml:space="preserve"> – Confidence in </w:t>
            </w:r>
            <w:r>
              <w:rPr>
                <w:b w:val="0"/>
                <w:bCs w:val="0"/>
              </w:rPr>
              <w:t>false positives</w:t>
            </w:r>
          </w:p>
          <w:p w14:paraId="76254484" w14:textId="0121DB2F" w:rsidR="00EE29BE" w:rsidRPr="00001B8C" w:rsidRDefault="00EE29BE" w:rsidP="00647773">
            <w:pPr>
              <w:pStyle w:val="ListParagraph"/>
              <w:bidi w:val="0"/>
              <w:spacing w:line="480" w:lineRule="auto"/>
              <w:rPr>
                <w:b w:val="0"/>
                <w:bCs w:val="0"/>
              </w:rPr>
            </w:pPr>
            <w:r>
              <w:rPr>
                <w:b w:val="0"/>
                <w:bCs w:val="0"/>
              </w:rPr>
              <w:t xml:space="preserve">([0 0 0 0 0 0 0 0 0 </w:t>
            </w:r>
            <w:r>
              <w:rPr>
                <w:b w:val="0"/>
                <w:bCs w:val="0"/>
              </w:rPr>
              <w:t>0</w:t>
            </w:r>
            <w:r>
              <w:rPr>
                <w:b w:val="0"/>
                <w:bCs w:val="0"/>
              </w:rPr>
              <w:t xml:space="preserve"> 0 </w:t>
            </w:r>
            <w:r>
              <w:rPr>
                <w:b w:val="0"/>
                <w:bCs w:val="0"/>
              </w:rPr>
              <w:t>1</w:t>
            </w:r>
            <w:r>
              <w:rPr>
                <w:b w:val="0"/>
                <w:bCs w:val="0"/>
              </w:rPr>
              <w:t xml:space="preserve"> 0 </w:t>
            </w:r>
            <w:r>
              <w:rPr>
                <w:b w:val="0"/>
                <w:bCs w:val="0"/>
              </w:rPr>
              <w:t>-1</w:t>
            </w:r>
            <w:r>
              <w:rPr>
                <w:b w:val="0"/>
                <w:bCs w:val="0"/>
              </w:rPr>
              <w:t xml:space="preserve"> 0</w:t>
            </w:r>
            <w:r>
              <w:rPr>
                <w:b w:val="0"/>
                <w:bCs w:val="0"/>
              </w:rPr>
              <w:t xml:space="preserve"> 0</w:t>
            </w:r>
            <w:r>
              <w:rPr>
                <w:b w:val="0"/>
                <w:bCs w:val="0"/>
              </w:rPr>
              <w:t>])</w:t>
            </w:r>
          </w:p>
        </w:tc>
        <w:tc>
          <w:tcPr>
            <w:tcW w:w="4678" w:type="dxa"/>
          </w:tcPr>
          <w:p w14:paraId="25482D7D" w14:textId="79CD7590" w:rsidR="00EE29BE" w:rsidRPr="00EE29BE" w:rsidRDefault="00EE29BE" w:rsidP="00647773">
            <w:pPr>
              <w:bidi w:val="0"/>
              <w:spacing w:line="480" w:lineRule="auto"/>
              <w:cnfStyle w:val="000000000000" w:firstRow="0" w:lastRow="0" w:firstColumn="0" w:lastColumn="0" w:oddVBand="0" w:evenVBand="0" w:oddHBand="0" w:evenHBand="0" w:firstRowFirstColumn="0" w:firstRowLastColumn="0" w:lastRowFirstColumn="0" w:lastRowLastColumn="0"/>
            </w:pPr>
            <w:r w:rsidRPr="00EE29BE">
              <w:t>This contrast will only be performed within regions that showed statistically significant modulation of</w:t>
            </w:r>
            <w:r>
              <w:t xml:space="preserve"> confidence in contrast number 6</w:t>
            </w:r>
            <w:r w:rsidRPr="00EE29BE">
              <w:t>.</w:t>
            </w:r>
          </w:p>
        </w:tc>
      </w:tr>
      <w:tr w:rsidR="00EE29BE" w14:paraId="14645789" w14:textId="5D05D020" w:rsidTr="00EE29BE">
        <w:tc>
          <w:tcPr>
            <w:cnfStyle w:val="001000000000" w:firstRow="0" w:lastRow="0" w:firstColumn="1" w:lastColumn="0" w:oddVBand="0" w:evenVBand="0" w:oddHBand="0" w:evenHBand="0" w:firstRowFirstColumn="0" w:firstRowLastColumn="0" w:lastRowFirstColumn="0" w:lastRowLastColumn="0"/>
            <w:tcW w:w="4248" w:type="dxa"/>
          </w:tcPr>
          <w:p w14:paraId="098CB5F8" w14:textId="239EC69F" w:rsidR="00EE29BE" w:rsidRPr="00DC0797" w:rsidRDefault="00EE29BE" w:rsidP="00EE29BE">
            <w:pPr>
              <w:pStyle w:val="ListParagraph"/>
              <w:numPr>
                <w:ilvl w:val="0"/>
                <w:numId w:val="15"/>
              </w:numPr>
              <w:bidi w:val="0"/>
              <w:spacing w:line="480" w:lineRule="auto"/>
              <w:rPr>
                <w:b w:val="0"/>
                <w:bCs w:val="0"/>
              </w:rPr>
            </w:pPr>
            <w:r w:rsidRPr="00DC0797">
              <w:rPr>
                <w:b w:val="0"/>
                <w:bCs w:val="0"/>
              </w:rPr>
              <w:t>Confidence in clockwise tilt – Confidence in counterclockwise tilt</w:t>
            </w:r>
            <w:r>
              <w:rPr>
                <w:b w:val="0"/>
                <w:bCs w:val="0"/>
              </w:rPr>
              <w:t xml:space="preserve"> (incorrect responses only)</w:t>
            </w:r>
          </w:p>
          <w:p w14:paraId="762D9653" w14:textId="5569EE23" w:rsidR="00EE29BE" w:rsidRPr="00BC1AC5" w:rsidRDefault="00EE29BE" w:rsidP="00647773">
            <w:pPr>
              <w:pStyle w:val="ListParagraph"/>
              <w:bidi w:val="0"/>
              <w:spacing w:line="480" w:lineRule="auto"/>
              <w:rPr>
                <w:b w:val="0"/>
                <w:bCs w:val="0"/>
              </w:rPr>
            </w:pPr>
            <w:r>
              <w:rPr>
                <w:b w:val="0"/>
                <w:bCs w:val="0"/>
              </w:rPr>
              <w:t xml:space="preserve">([0 </w:t>
            </w:r>
            <w:r>
              <w:rPr>
                <w:b w:val="0"/>
                <w:bCs w:val="0"/>
              </w:rPr>
              <w:t>0</w:t>
            </w:r>
            <w:r>
              <w:rPr>
                <w:b w:val="0"/>
                <w:bCs w:val="0"/>
              </w:rPr>
              <w:t xml:space="preserve"> 0 </w:t>
            </w:r>
            <w:r>
              <w:rPr>
                <w:b w:val="0"/>
                <w:bCs w:val="0"/>
              </w:rPr>
              <w:t>1</w:t>
            </w:r>
            <w:r>
              <w:rPr>
                <w:b w:val="0"/>
                <w:bCs w:val="0"/>
              </w:rPr>
              <w:t xml:space="preserve"> 0 </w:t>
            </w:r>
            <w:r>
              <w:rPr>
                <w:b w:val="0"/>
                <w:bCs w:val="0"/>
              </w:rPr>
              <w:t>-1</w:t>
            </w:r>
            <w:r>
              <w:rPr>
                <w:b w:val="0"/>
                <w:bCs w:val="0"/>
              </w:rPr>
              <w:t xml:space="preserve"> 0 </w:t>
            </w:r>
            <w:r>
              <w:rPr>
                <w:b w:val="0"/>
                <w:bCs w:val="0"/>
              </w:rPr>
              <w:t>0</w:t>
            </w:r>
            <w:r>
              <w:rPr>
                <w:b w:val="0"/>
                <w:bCs w:val="0"/>
              </w:rPr>
              <w:t xml:space="preserve"> 0 0 0 0 0 0 0 0])</w:t>
            </w:r>
          </w:p>
        </w:tc>
        <w:tc>
          <w:tcPr>
            <w:tcW w:w="4678" w:type="dxa"/>
          </w:tcPr>
          <w:p w14:paraId="430E52E9" w14:textId="4B56F380" w:rsidR="00EE29BE" w:rsidRPr="00EE29BE" w:rsidRDefault="00EE29BE" w:rsidP="00647773">
            <w:pPr>
              <w:bidi w:val="0"/>
              <w:spacing w:line="480" w:lineRule="auto"/>
              <w:cnfStyle w:val="000000000000" w:firstRow="0" w:lastRow="0" w:firstColumn="0" w:lastColumn="0" w:oddVBand="0" w:evenVBand="0" w:oddHBand="0" w:evenHBand="0" w:firstRowFirstColumn="0" w:firstRowLastColumn="0" w:lastRowFirstColumn="0" w:lastRowLastColumn="0"/>
            </w:pPr>
            <w:r w:rsidRPr="00EE29BE">
              <w:t>This contrast will only be performed within regions that showed statistically significant modulation of</w:t>
            </w:r>
            <w:r>
              <w:t xml:space="preserve"> confidence in contrast number 7</w:t>
            </w:r>
            <w:r w:rsidRPr="00EE29BE">
              <w:t>.</w:t>
            </w:r>
          </w:p>
        </w:tc>
      </w:tr>
    </w:tbl>
    <w:p w14:paraId="17F82CA3" w14:textId="1D502779" w:rsidR="00EE29BE" w:rsidRDefault="00EE29BE" w:rsidP="00EE29BE">
      <w:pPr>
        <w:bidi w:val="0"/>
        <w:spacing w:line="480" w:lineRule="auto"/>
        <w:sectPr w:rsidR="00EE29BE" w:rsidSect="00CB0443">
          <w:pgSz w:w="11906" w:h="16838"/>
          <w:pgMar w:top="1440" w:right="1797" w:bottom="1440" w:left="1797" w:header="709" w:footer="709" w:gutter="0"/>
          <w:cols w:space="708"/>
          <w:bidi/>
          <w:rtlGutter/>
          <w:docGrid w:linePitch="360"/>
        </w:sectPr>
      </w:pPr>
    </w:p>
    <w:p w14:paraId="6B08D0D3" w14:textId="77777777" w:rsidR="00CB0443" w:rsidRDefault="00CB0443" w:rsidP="00C537AF">
      <w:pPr>
        <w:pStyle w:val="Heading3"/>
        <w:bidi w:val="0"/>
        <w:spacing w:line="480" w:lineRule="auto"/>
      </w:pPr>
    </w:p>
    <w:p w14:paraId="099B16D9" w14:textId="7082F548" w:rsidR="00984701" w:rsidRDefault="00C72FAF" w:rsidP="00CB0443">
      <w:pPr>
        <w:pStyle w:val="Heading3"/>
        <w:bidi w:val="0"/>
        <w:spacing w:line="480" w:lineRule="auto"/>
      </w:pPr>
      <w:r>
        <w:t>Between-subject correlations</w:t>
      </w:r>
    </w:p>
    <w:p w14:paraId="6A75918C" w14:textId="5A904C24" w:rsidR="00872795" w:rsidRPr="003716BB" w:rsidRDefault="00872795" w:rsidP="00C537AF">
      <w:pPr>
        <w:bidi w:val="0"/>
        <w:spacing w:line="480" w:lineRule="auto"/>
      </w:pPr>
      <w:r>
        <w:t xml:space="preserve">We will use voxel-based morphometry (VBM) to find brain structures that are associated with metacognitive efficiency for detection and for discrimination separately. Metacognitive efficiency will be defined as meta-d'/d' </w:t>
      </w:r>
      <w:r>
        <w:fldChar w:fldCharType="begin" w:fldLock="1"/>
      </w:r>
      <w:r>
        <w:instrText>ADDIN CSL_CITATION { "citationItems" : [ { "id" : "ITEM-1", "itemData" : { "DOI" : "10.1016/j.concog.2011.09.021", "abstract" : "a b s t r a c t How should we measure metacognitive (''type 2'') sensitivity, i.e. the efficacy with which observers' confidence ratings discriminate between their own correct and incorrect stimu-lus classifications? We argue that currently available methods are inadequate because they are influenced by factors such as response bias and type 1 sensitivity (i.e. ability to distin-guish stimuli). Extending the signal detection theory (SDT) approach of Galvin, Podd, Drga, and Whitmore (2003), we propose a method of measuring type 2 sensitivity that is free from these confounds. We call our measure meta-d 0 , which reflects how much information, in signal-to-noise units, is available for metacognition. Applying this novel method in a 2-interval forced choice visual task, we found that subjects' metacognitive sensitivity was close to, but significantly below, optimality. We discuss the theoretical implications of these findings, as well as related computational issues of the method. We also provide free Matlab code for implementing the analysis.", "author" : [ { "dropping-particle" : "", "family" : "Maniscalco", "given" : "Brian", "non-dropping-particle" : "", "parse-names" : false, "suffix" : "" }, { "dropping-particle" : "", "family" : "Lau", "given" : "Hakwan", "non-dropping-particle" : "", "parse-names" : false, "suffix" : "" } ], "container-title" : "Consciousness and Cognition", "id" : "ITEM-1", "issued" : { "date-parts" : [ [ "2012" ] ] }, "page" : "422-430", "title" : "A signal detection theoretic approach for estimating metacognitive sensitivity from confidence ratings", "type" : "article-journal", "volume" : "21" }, "uris" : [ "http://www.mendeley.com/documents/?uuid=314747cd-819d-3755-ae12-17c8dfbd1b0b" ] } ], "mendeley" : { "formattedCitation" : "(Maniscalco &amp; Lau, 2012)", "plainTextFormattedCitation" : "(Maniscalco &amp; Lau, 2012)", "previouslyFormattedCitation" : "(Maniscalco &amp; Lau, 2012)" }, "properties" : {  }, "schema" : "https://github.com/citation-style-language/schema/raw/master/csl-citation.json" }</w:instrText>
      </w:r>
      <w:r>
        <w:fldChar w:fldCharType="separate"/>
      </w:r>
      <w:r w:rsidRPr="00872795">
        <w:rPr>
          <w:noProof/>
        </w:rPr>
        <w:t>(Maniscalco &amp; Lau, 2012)</w:t>
      </w:r>
      <w:r>
        <w:fldChar w:fldCharType="end"/>
      </w:r>
      <w:r>
        <w:t xml:space="preserve">, and will be correlated against gray-matter volume as measured with T1-weighted anatomical images </w:t>
      </w:r>
      <w:r>
        <w:fldChar w:fldCharType="begin" w:fldLock="1"/>
      </w:r>
      <w:r w:rsidR="005A4A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"mendeley" : { "formattedCitation" : "(S.M. Fleming et al., 2009)", "plainTextFormattedCitation" : "(S.M. Fleming et al., 2009)", "previouslyFormattedCitation" : "(S.M. Fleming et al., 2009)" }, "properties" : {  }, "schema" : "https://github.com/citation-style-language/schema/raw/master/csl-citation.json" }</w:instrText>
      </w:r>
      <w:r>
        <w:fldChar w:fldCharType="separate"/>
      </w:r>
      <w:r w:rsidR="005A4A5C" w:rsidRPr="005A4A5C">
        <w:rPr>
          <w:noProof/>
        </w:rPr>
        <w:t>(S.M. Fleming et al., 2009)</w:t>
      </w:r>
      <w:r>
        <w:fldChar w:fldCharType="end"/>
      </w:r>
      <w:r>
        <w:t xml:space="preserve">. </w:t>
      </w:r>
      <w:r w:rsidR="004841C4">
        <w:t xml:space="preserve">For discrimination metacognition, </w:t>
      </w:r>
      <w:r w:rsidR="0026053B">
        <w:t>BA10 ([24,65, 18], [-20,53,12], [33,50,9]</w:t>
      </w:r>
      <w:r w:rsidR="004841C4">
        <w:t>, [-12,54,16]</w:t>
      </w:r>
      <w:r w:rsidR="0026053B">
        <w:t xml:space="preserve">), precuneus ([6,-57,18]) and BA46 ([36,39,21]) will be defined as </w:t>
      </w:r>
      <w:r w:rsidR="0026053B" w:rsidRPr="003716BB">
        <w:rPr>
          <w:i/>
          <w:iCs/>
        </w:rPr>
        <w:t>a</w:t>
      </w:r>
      <w:r w:rsidR="003716BB" w:rsidRPr="003716BB">
        <w:rPr>
          <w:i/>
          <w:iCs/>
        </w:rPr>
        <w:t xml:space="preserve"> </w:t>
      </w:r>
      <w:r w:rsidR="0026053B" w:rsidRPr="003716BB">
        <w:rPr>
          <w:i/>
          <w:iCs/>
        </w:rPr>
        <w:t>priori</w:t>
      </w:r>
      <w:r w:rsidR="0026053B">
        <w:t xml:space="preserve"> regions of interest based on Fleming and colleagues (2009)</w:t>
      </w:r>
      <w:r w:rsidR="004841C4">
        <w:t xml:space="preserve"> and McCurdy and colleagues (2013)</w:t>
      </w:r>
      <w:r w:rsidR="0026053B">
        <w:t xml:space="preserve">. </w:t>
      </w:r>
      <w:r w:rsidR="003716BB">
        <w:t xml:space="preserve">BA10 will be defined anatomically as an </w:t>
      </w:r>
      <w:r w:rsidR="003716BB" w:rsidRPr="003716BB">
        <w:rPr>
          <w:i/>
          <w:iCs/>
        </w:rPr>
        <w:t>a priori</w:t>
      </w:r>
      <w:r w:rsidR="003716BB">
        <w:t xml:space="preserve"> region of interest for metacognition in detection blocks.</w:t>
      </w:r>
    </w:p>
    <w:p w14:paraId="2488A8DB" w14:textId="1FFD63F3" w:rsidR="00C72FAF" w:rsidRDefault="00C72FAF" w:rsidP="00C537AF">
      <w:pPr>
        <w:pStyle w:val="Heading3"/>
        <w:bidi w:val="0"/>
        <w:spacing w:line="480" w:lineRule="auto"/>
      </w:pPr>
      <w:r>
        <w:t>Multivariate analysis</w:t>
      </w:r>
    </w:p>
    <w:p w14:paraId="796524DE" w14:textId="42E68A44" w:rsidR="00810D93" w:rsidRDefault="003E1E11" w:rsidP="00C537AF">
      <w:pPr>
        <w:bidi w:val="0"/>
        <w:spacing w:line="480" w:lineRule="auto"/>
      </w:pPr>
      <w:r>
        <w:t xml:space="preserve">Multi-voxel pattern analysis </w:t>
      </w:r>
      <w:r>
        <w:fldChar w:fldCharType="begin" w:fldLock="1"/>
      </w:r>
      <w:r>
        <w:instrText>ADDIN CSL_CITATION { "citationItems" : [ { "id" : "ITEM-1", "itemData" : { "DOI" : "10.1016/j.tics.2006.07.005", "ISBN" : "1364-6613 (Print)\\r1364-6613 (Linking)", "ISSN" : "13646613", "PMID" : "16899397", "abstract" : "A key challenge for cognitive neuroscience is determining how mental representations map onto patterns of neural activity. Recently, researchers have started to address this question by applying sophisticated pattern-classification algorithms to distributed (multi-voxel) patterns of functional MRI data, with the goal of decoding the information that is represented in the subject's brain at a particular point in time. This multi-voxel pattern analysis (MVPA) approach has led to several impressive feats of mind reading. More importantly, MVPA methods constitute a useful new tool for advancing our understanding of neural information processing. We review how researchers are using MVPA methods to characterize neural coding and information processing in domains ranging from visual perception to memory search.", "author" : [ { "dropping-particle" : "", "family" : "Norman", "given" : "Kenneth A", "non-dropping-particle" : "", "parse-names" : false, "suffix" : "" }, { "dropping-particle" : "", "family" : "Polyn", "given" : "Sean M", "non-dropping-particle" : "", "parse-names" : false, "suffix" : "" }, { "dropping-particle" : "", "family" : "Detre", "given" : "Greg J", "non-dropping-particle" : "", "parse-names" : false, "suffix" : "" }, { "dropping-particle" : "V", "family" : "Haxby", "given" : "James", "non-dropping-particle" : "", "parse-names" : false, "suffix" : "" } ], "container-title" : "Trends in Cognitive Sciences", "id" : "ITEM-1", "issue" : "9", "issued" : { "date-parts" : [ [ "2006" ] ] }, "page" : "424-430", "title" : "Beyond mind-reading: multi-voxel pattern analysis of fMRI data", "type" : "article-journal", "volume" : "10" }, "uris" : [ "http://www.mendeley.com/documents/?uuid=df590a85-5d1c-36d8-a23f-b2858edae6be" ] } ], "mendeley" : { "formattedCitation" : "(Norman, Polyn, Detre, &amp; Haxby, 2006)", "plainTextFormattedCitation" : "(Norman, Polyn, Detre, &amp; Haxby, 2006)", "previouslyFormattedCitation" : "(Norman, Polyn, Detre, &amp; Haxby, 2006)" }, "properties" : {  }, "schema" : "https://github.com/citation-style-language/schema/raw/master/csl-citation.json" }</w:instrText>
      </w:r>
      <w:r>
        <w:fldChar w:fldCharType="separate"/>
      </w:r>
      <w:r w:rsidRPr="003E1E11">
        <w:rPr>
          <w:noProof/>
        </w:rPr>
        <w:t>(Norman, Polyn, Detre, &amp; Haxby, 2006)</w:t>
      </w:r>
      <w:r>
        <w:fldChar w:fldCharType="end"/>
      </w:r>
      <w:r>
        <w:t xml:space="preserve"> will be used to test for consistent spatial patterns in the fMRI data. We will follow the procedure described in Morales and colleagues (2018). </w:t>
      </w:r>
    </w:p>
    <w:p w14:paraId="215337B5" w14:textId="77777777" w:rsidR="00810D93" w:rsidRDefault="00810D93" w:rsidP="00C537AF">
      <w:pPr>
        <w:spacing w:line="480" w:lineRule="auto"/>
      </w:pPr>
      <w:r>
        <w:br w:type="page"/>
      </w:r>
    </w:p>
    <w:p w14:paraId="09B5C6B9" w14:textId="77777777" w:rsidR="00810D93" w:rsidRDefault="00810D93" w:rsidP="00C537AF">
      <w:pPr>
        <w:bidi w:val="0"/>
        <w:spacing w:line="480" w:lineRule="auto"/>
        <w:sectPr w:rsidR="00810D93" w:rsidSect="00B2705E">
          <w:pgSz w:w="11906" w:h="16838" w:code="9"/>
          <w:pgMar w:top="1440" w:right="1797" w:bottom="1440" w:left="1797" w:header="709" w:footer="709" w:gutter="0"/>
          <w:cols w:space="708"/>
          <w:bidi/>
          <w:rtlGutter/>
          <w:docGrid w:linePitch="360"/>
        </w:sectPr>
      </w:pPr>
    </w:p>
    <w:tbl>
      <w:tblPr>
        <w:tblStyle w:val="TableGrid"/>
        <w:tblW w:w="0" w:type="auto"/>
        <w:tblLook w:val="04A0" w:firstRow="1" w:lastRow="0" w:firstColumn="1" w:lastColumn="0" w:noHBand="0" w:noVBand="1"/>
      </w:tblPr>
      <w:tblGrid>
        <w:gridCol w:w="3487"/>
        <w:gridCol w:w="3487"/>
        <w:gridCol w:w="6488"/>
      </w:tblGrid>
      <w:tr w:rsidR="00F83584" w14:paraId="6147451B" w14:textId="77777777" w:rsidTr="00F83584">
        <w:tc>
          <w:tcPr>
            <w:tcW w:w="3487" w:type="dxa"/>
          </w:tcPr>
          <w:p w14:paraId="77D8DDD4" w14:textId="7A026327" w:rsidR="00F83584" w:rsidRDefault="00F83584" w:rsidP="00C537AF">
            <w:pPr>
              <w:bidi w:val="0"/>
              <w:spacing w:line="480" w:lineRule="auto"/>
            </w:pPr>
            <w:r>
              <w:lastRenderedPageBreak/>
              <w:t>Train</w:t>
            </w:r>
          </w:p>
        </w:tc>
        <w:tc>
          <w:tcPr>
            <w:tcW w:w="3487" w:type="dxa"/>
          </w:tcPr>
          <w:p w14:paraId="55C30932" w14:textId="27F5A67C" w:rsidR="00F83584" w:rsidRDefault="00F83584" w:rsidP="00C537AF">
            <w:pPr>
              <w:bidi w:val="0"/>
              <w:spacing w:line="480" w:lineRule="auto"/>
            </w:pPr>
            <w:r>
              <w:t>Test</w:t>
            </w:r>
          </w:p>
        </w:tc>
        <w:tc>
          <w:tcPr>
            <w:tcW w:w="6488" w:type="dxa"/>
          </w:tcPr>
          <w:p w14:paraId="3644B4AE" w14:textId="76041ECA" w:rsidR="00F83584" w:rsidRDefault="00F83584" w:rsidP="00C537AF">
            <w:pPr>
              <w:bidi w:val="0"/>
              <w:spacing w:line="480" w:lineRule="auto"/>
            </w:pPr>
            <w:r>
              <w:t>Interpretation</w:t>
            </w:r>
          </w:p>
        </w:tc>
      </w:tr>
      <w:tr w:rsidR="00F83584" w14:paraId="4AE390EE" w14:textId="77777777" w:rsidTr="00F83584">
        <w:tc>
          <w:tcPr>
            <w:tcW w:w="3487" w:type="dxa"/>
          </w:tcPr>
          <w:p w14:paraId="063314B3" w14:textId="02CED1E5" w:rsidR="00F83584" w:rsidRDefault="00F83584" w:rsidP="00C537AF">
            <w:pPr>
              <w:bidi w:val="0"/>
              <w:spacing w:line="480" w:lineRule="auto"/>
            </w:pPr>
            <w:r>
              <w:t>High confidence vs. Low confidence</w:t>
            </w:r>
          </w:p>
        </w:tc>
        <w:tc>
          <w:tcPr>
            <w:tcW w:w="3487" w:type="dxa"/>
          </w:tcPr>
          <w:p w14:paraId="70ADBC1D" w14:textId="4DC02004" w:rsidR="00F83584" w:rsidRDefault="00F83584" w:rsidP="00C537AF">
            <w:pPr>
              <w:bidi w:val="0"/>
              <w:spacing w:line="480" w:lineRule="auto"/>
            </w:pPr>
            <w:r>
              <w:t>High confidence vs. Low confidence</w:t>
            </w:r>
          </w:p>
        </w:tc>
        <w:tc>
          <w:tcPr>
            <w:tcW w:w="6488" w:type="dxa"/>
          </w:tcPr>
          <w:p w14:paraId="5416A15D" w14:textId="701325D6" w:rsidR="00F83584" w:rsidRDefault="00F83584" w:rsidP="00C537AF">
            <w:pPr>
              <w:bidi w:val="0"/>
              <w:spacing w:line="480" w:lineRule="auto"/>
            </w:pPr>
            <w:r>
              <w:t>Spatially multivariate signal predicting confidence reports.</w:t>
            </w:r>
          </w:p>
        </w:tc>
      </w:tr>
      <w:tr w:rsidR="00F83584" w14:paraId="19140CAC" w14:textId="77777777" w:rsidTr="00F83584">
        <w:tc>
          <w:tcPr>
            <w:tcW w:w="3487" w:type="dxa"/>
          </w:tcPr>
          <w:p w14:paraId="173BD5F4" w14:textId="7D2DABEE" w:rsidR="00F83584" w:rsidRDefault="00F83584" w:rsidP="00C537AF">
            <w:pPr>
              <w:bidi w:val="0"/>
              <w:spacing w:line="480" w:lineRule="auto"/>
            </w:pPr>
            <w:r>
              <w:t>Within discrimination: high confidence vs. Low confidence</w:t>
            </w:r>
          </w:p>
        </w:tc>
        <w:tc>
          <w:tcPr>
            <w:tcW w:w="3487" w:type="dxa"/>
          </w:tcPr>
          <w:p w14:paraId="6D8BB3CD" w14:textId="256B76E3" w:rsidR="00F83584" w:rsidRDefault="00F83584" w:rsidP="00C537AF">
            <w:pPr>
              <w:bidi w:val="0"/>
              <w:spacing w:line="480" w:lineRule="auto"/>
            </w:pPr>
            <w:r>
              <w:t>Within discrimination: high confidence vs. low confidence</w:t>
            </w:r>
          </w:p>
        </w:tc>
        <w:tc>
          <w:tcPr>
            <w:tcW w:w="6488" w:type="dxa"/>
          </w:tcPr>
          <w:p w14:paraId="237DA839" w14:textId="0EF89F5E" w:rsidR="00F83584" w:rsidRDefault="00F83584" w:rsidP="00C537AF">
            <w:pPr>
              <w:bidi w:val="0"/>
              <w:spacing w:line="480" w:lineRule="auto"/>
            </w:pPr>
            <w:r>
              <w:t>Spatially multivariate signal predicting confidence reports in discrimination.</w:t>
            </w:r>
          </w:p>
        </w:tc>
      </w:tr>
      <w:tr w:rsidR="00F83584" w14:paraId="4CE65CF9" w14:textId="77777777" w:rsidTr="00F83584">
        <w:tc>
          <w:tcPr>
            <w:tcW w:w="3487" w:type="dxa"/>
          </w:tcPr>
          <w:p w14:paraId="3136E64C" w14:textId="332F51C5" w:rsidR="00F83584" w:rsidRDefault="00F83584" w:rsidP="00F83584">
            <w:pPr>
              <w:bidi w:val="0"/>
              <w:spacing w:line="480" w:lineRule="auto"/>
            </w:pPr>
            <w:r>
              <w:t>Within detection: high confidence vs. Low confidence</w:t>
            </w:r>
          </w:p>
        </w:tc>
        <w:tc>
          <w:tcPr>
            <w:tcW w:w="3487" w:type="dxa"/>
          </w:tcPr>
          <w:p w14:paraId="222DB3D9" w14:textId="241317D9" w:rsidR="00F83584" w:rsidRDefault="00F83584" w:rsidP="00F83584">
            <w:pPr>
              <w:bidi w:val="0"/>
              <w:spacing w:line="480" w:lineRule="auto"/>
            </w:pPr>
            <w:r>
              <w:t>Within detection: high confidence vs. low confidence</w:t>
            </w:r>
          </w:p>
        </w:tc>
        <w:tc>
          <w:tcPr>
            <w:tcW w:w="6488" w:type="dxa"/>
          </w:tcPr>
          <w:p w14:paraId="4E595530" w14:textId="6665AEB5" w:rsidR="00F83584" w:rsidRDefault="00F83584" w:rsidP="00F83584">
            <w:pPr>
              <w:bidi w:val="0"/>
              <w:spacing w:line="480" w:lineRule="auto"/>
            </w:pPr>
            <w:r>
              <w:t>Spatially multivariate signal predicting confidence reports in detection.</w:t>
            </w:r>
          </w:p>
        </w:tc>
      </w:tr>
      <w:tr w:rsidR="00DC0797" w14:paraId="5E3E894C" w14:textId="77777777" w:rsidTr="00F83584">
        <w:tc>
          <w:tcPr>
            <w:tcW w:w="3487" w:type="dxa"/>
          </w:tcPr>
          <w:p w14:paraId="10B28068" w14:textId="0FB0E9BF" w:rsidR="00DC0797" w:rsidRDefault="00DC0797" w:rsidP="00DC0797">
            <w:pPr>
              <w:bidi w:val="0"/>
              <w:spacing w:line="480" w:lineRule="auto"/>
            </w:pPr>
            <w:r>
              <w:t>Within discrimination: high confidence vs. Low confidence</w:t>
            </w:r>
          </w:p>
        </w:tc>
        <w:tc>
          <w:tcPr>
            <w:tcW w:w="3487" w:type="dxa"/>
          </w:tcPr>
          <w:p w14:paraId="2AF4CEF4" w14:textId="32979F22" w:rsidR="00DC0797" w:rsidRDefault="00DC0797" w:rsidP="00DC0797">
            <w:pPr>
              <w:bidi w:val="0"/>
              <w:spacing w:line="480" w:lineRule="auto"/>
            </w:pPr>
            <w:r>
              <w:t>Within detection: high confidence vs. low confidence</w:t>
            </w:r>
          </w:p>
        </w:tc>
        <w:tc>
          <w:tcPr>
            <w:tcW w:w="6488" w:type="dxa"/>
            <w:vMerge w:val="restart"/>
          </w:tcPr>
          <w:p w14:paraId="0CB430D3" w14:textId="12EBB373" w:rsidR="00DC0797" w:rsidRDefault="00DC0797" w:rsidP="00DC0797">
            <w:pPr>
              <w:bidi w:val="0"/>
              <w:spacing w:line="480" w:lineRule="auto"/>
            </w:pPr>
            <w:r>
              <w:t>Task invariant multivariate signal predicting confidence reports in detection and discrimination.</w:t>
            </w:r>
          </w:p>
        </w:tc>
      </w:tr>
      <w:tr w:rsidR="00DC0797" w14:paraId="227C4D47" w14:textId="77777777" w:rsidTr="00F83584">
        <w:tc>
          <w:tcPr>
            <w:tcW w:w="3487" w:type="dxa"/>
          </w:tcPr>
          <w:p w14:paraId="67274174" w14:textId="4D2B1DBF" w:rsidR="00DC0797" w:rsidRDefault="00DC0797" w:rsidP="00DC0797">
            <w:pPr>
              <w:bidi w:val="0"/>
              <w:spacing w:line="480" w:lineRule="auto"/>
            </w:pPr>
            <w:r>
              <w:t>Within detection: high confidence vs. low confidence</w:t>
            </w:r>
          </w:p>
        </w:tc>
        <w:tc>
          <w:tcPr>
            <w:tcW w:w="3487" w:type="dxa"/>
          </w:tcPr>
          <w:p w14:paraId="6806DDB3" w14:textId="1095D9F6" w:rsidR="00DC0797" w:rsidRDefault="00DC0797" w:rsidP="00DC0797">
            <w:pPr>
              <w:bidi w:val="0"/>
              <w:spacing w:line="480" w:lineRule="auto"/>
            </w:pPr>
            <w:r>
              <w:t>Within discrimination: high confidence vs. Low confidence</w:t>
            </w:r>
          </w:p>
        </w:tc>
        <w:tc>
          <w:tcPr>
            <w:tcW w:w="6488" w:type="dxa"/>
            <w:vMerge/>
          </w:tcPr>
          <w:p w14:paraId="6A73FEB5" w14:textId="4C79B402" w:rsidR="00DC0797" w:rsidRDefault="00DC0797" w:rsidP="00DC0797">
            <w:pPr>
              <w:bidi w:val="0"/>
              <w:spacing w:line="480" w:lineRule="auto"/>
            </w:pPr>
          </w:p>
        </w:tc>
      </w:tr>
    </w:tbl>
    <w:p w14:paraId="2BF20F63" w14:textId="1BCFE5D3" w:rsidR="00810D93" w:rsidRDefault="00810D93" w:rsidP="00C537AF">
      <w:pPr>
        <w:bidi w:val="0"/>
        <w:spacing w:line="480" w:lineRule="auto"/>
      </w:pPr>
    </w:p>
    <w:p w14:paraId="11B09411" w14:textId="77777777" w:rsidR="00810D93" w:rsidRDefault="00810D93" w:rsidP="00C537AF">
      <w:pPr>
        <w:spacing w:line="480" w:lineRule="auto"/>
      </w:pPr>
      <w:r>
        <w:br w:type="page"/>
      </w:r>
    </w:p>
    <w:p w14:paraId="5F035A13" w14:textId="77777777" w:rsidR="00810D93" w:rsidRDefault="00810D93" w:rsidP="00C537AF">
      <w:pPr>
        <w:bidi w:val="0"/>
        <w:spacing w:line="480" w:lineRule="auto"/>
        <w:sectPr w:rsidR="00810D93" w:rsidSect="00810D93">
          <w:pgSz w:w="16838" w:h="11906" w:orient="landscape" w:code="9"/>
          <w:pgMar w:top="1797" w:right="1440" w:bottom="1797" w:left="1440" w:header="709" w:footer="709" w:gutter="0"/>
          <w:cols w:space="708"/>
          <w:bidi/>
          <w:rtlGutter/>
          <w:docGrid w:linePitch="360"/>
        </w:sectPr>
      </w:pPr>
    </w:p>
    <w:p w14:paraId="087F6EF2" w14:textId="3E2CFD6F" w:rsidR="00C72FAF" w:rsidRDefault="00C72FAF" w:rsidP="00C537AF">
      <w:pPr>
        <w:bidi w:val="0"/>
        <w:spacing w:line="480" w:lineRule="auto"/>
      </w:pPr>
    </w:p>
    <w:p w14:paraId="34E3CF70" w14:textId="77777777" w:rsidR="00872795" w:rsidRPr="00872795" w:rsidRDefault="00872795" w:rsidP="00C537AF">
      <w:pPr>
        <w:bidi w:val="0"/>
        <w:spacing w:line="480" w:lineRule="auto"/>
      </w:pPr>
    </w:p>
    <w:p w14:paraId="263EE7D8" w14:textId="0675B968" w:rsidR="00E9115C" w:rsidRPr="00E9115C" w:rsidRDefault="00631FF1" w:rsidP="00C537AF">
      <w:pPr>
        <w:widowControl w:val="0"/>
        <w:autoSpaceDE w:val="0"/>
        <w:autoSpaceDN w:val="0"/>
        <w:bidi w:val="0"/>
        <w:adjustRightInd w:val="0"/>
        <w:spacing w:line="480" w:lineRule="auto"/>
        <w:ind w:left="480" w:hanging="480"/>
        <w:rPr>
          <w:rFonts w:ascii="Calibri" w:hAnsi="Calibri" w:cs="Calibri"/>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E9115C" w:rsidRPr="00E9115C">
        <w:rPr>
          <w:rFonts w:ascii="Calibri" w:hAnsi="Calibri" w:cs="Calibri"/>
          <w:noProof/>
          <w:szCs w:val="24"/>
        </w:rPr>
        <w:t xml:space="preserve">Bartra, O., McGuire, J. T., &amp; Kable, J. W. (2013). The valuation system: A coordinate-based meta-analysis of BOLD fMRI experiments examining neural correlates of subjective value. </w:t>
      </w:r>
      <w:r w:rsidR="00E9115C" w:rsidRPr="00E9115C">
        <w:rPr>
          <w:rFonts w:ascii="Calibri" w:hAnsi="Calibri" w:cs="Calibri"/>
          <w:i/>
          <w:iCs/>
          <w:noProof/>
          <w:szCs w:val="24"/>
        </w:rPr>
        <w:t>NeuroImage</w:t>
      </w:r>
      <w:r w:rsidR="00E9115C" w:rsidRPr="00E9115C">
        <w:rPr>
          <w:rFonts w:ascii="Calibri" w:hAnsi="Calibri" w:cs="Calibri"/>
          <w:noProof/>
          <w:szCs w:val="24"/>
        </w:rPr>
        <w:t xml:space="preserve">, </w:t>
      </w:r>
      <w:r w:rsidR="00E9115C" w:rsidRPr="00E9115C">
        <w:rPr>
          <w:rFonts w:ascii="Calibri" w:hAnsi="Calibri" w:cs="Calibri"/>
          <w:i/>
          <w:iCs/>
          <w:noProof/>
          <w:szCs w:val="24"/>
        </w:rPr>
        <w:t>76</w:t>
      </w:r>
      <w:r w:rsidR="00E9115C" w:rsidRPr="00E9115C">
        <w:rPr>
          <w:rFonts w:ascii="Calibri" w:hAnsi="Calibri" w:cs="Calibri"/>
          <w:noProof/>
          <w:szCs w:val="24"/>
        </w:rPr>
        <w:t>, 412–427. https://doi.org/10.1016/j.neuroimage.2013.02.063</w:t>
      </w:r>
    </w:p>
    <w:p w14:paraId="565116DE"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Boorman, E. D., Behrens, T. E., &amp; Rushworth, M. F. (2011). Counterfactual Choice and Learning in a Neural Network Centered on Human Lateral Frontopolar Cortex. </w:t>
      </w:r>
      <w:r w:rsidRPr="00E9115C">
        <w:rPr>
          <w:rFonts w:ascii="Calibri" w:hAnsi="Calibri" w:cs="Calibri"/>
          <w:i/>
          <w:iCs/>
          <w:noProof/>
          <w:szCs w:val="24"/>
        </w:rPr>
        <w:t>PLoS Biology</w:t>
      </w:r>
      <w:r w:rsidRPr="00E9115C">
        <w:rPr>
          <w:rFonts w:ascii="Calibri" w:hAnsi="Calibri" w:cs="Calibri"/>
          <w:noProof/>
          <w:szCs w:val="24"/>
        </w:rPr>
        <w:t xml:space="preserve">, </w:t>
      </w:r>
      <w:r w:rsidRPr="00E9115C">
        <w:rPr>
          <w:rFonts w:ascii="Calibri" w:hAnsi="Calibri" w:cs="Calibri"/>
          <w:i/>
          <w:iCs/>
          <w:noProof/>
          <w:szCs w:val="24"/>
        </w:rPr>
        <w:t>9</w:t>
      </w:r>
      <w:r w:rsidRPr="00E9115C">
        <w:rPr>
          <w:rFonts w:ascii="Calibri" w:hAnsi="Calibri" w:cs="Calibri"/>
          <w:noProof/>
          <w:szCs w:val="24"/>
        </w:rPr>
        <w:t>(6), e1001093. https://doi.org/10.1371/journal.pbio.1001093</w:t>
      </w:r>
    </w:p>
    <w:p w14:paraId="7FE734D6"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De Martino, B., Fleming, S. M., Garrett, N., &amp; Dolan, R. J. (2013). Confidence in value-based choice. </w:t>
      </w:r>
      <w:r w:rsidRPr="00E9115C">
        <w:rPr>
          <w:rFonts w:ascii="Calibri" w:hAnsi="Calibri" w:cs="Calibri"/>
          <w:i/>
          <w:iCs/>
          <w:noProof/>
          <w:szCs w:val="24"/>
        </w:rPr>
        <w:t>Nature Neuroscience</w:t>
      </w:r>
      <w:r w:rsidRPr="00E9115C">
        <w:rPr>
          <w:rFonts w:ascii="Calibri" w:hAnsi="Calibri" w:cs="Calibri"/>
          <w:noProof/>
          <w:szCs w:val="24"/>
        </w:rPr>
        <w:t xml:space="preserve">, </w:t>
      </w:r>
      <w:r w:rsidRPr="00E9115C">
        <w:rPr>
          <w:rFonts w:ascii="Calibri" w:hAnsi="Calibri" w:cs="Calibri"/>
          <w:i/>
          <w:iCs/>
          <w:noProof/>
          <w:szCs w:val="24"/>
        </w:rPr>
        <w:t>16</w:t>
      </w:r>
      <w:r w:rsidRPr="00E9115C">
        <w:rPr>
          <w:rFonts w:ascii="Calibri" w:hAnsi="Calibri" w:cs="Calibri"/>
          <w:noProof/>
          <w:szCs w:val="24"/>
        </w:rPr>
        <w:t>(1), 105–110. https://doi.org/10.1038/nn.3279</w:t>
      </w:r>
    </w:p>
    <w:p w14:paraId="63E2EF0D"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Fleming, S. M., Huijgen, J., &amp; Dolan, R. J. (2012). Prefrontal contributions to metacognition in perceptual decision making. </w:t>
      </w:r>
      <w:r w:rsidRPr="00E9115C">
        <w:rPr>
          <w:rFonts w:ascii="Calibri" w:hAnsi="Calibri" w:cs="Calibri"/>
          <w:i/>
          <w:iCs/>
          <w:noProof/>
          <w:szCs w:val="24"/>
        </w:rPr>
        <w:t>The Journal of Neuroscience : The Official Journal of the Society for Neuroscience</w:t>
      </w:r>
      <w:r w:rsidRPr="00E9115C">
        <w:rPr>
          <w:rFonts w:ascii="Calibri" w:hAnsi="Calibri" w:cs="Calibri"/>
          <w:noProof/>
          <w:szCs w:val="24"/>
        </w:rPr>
        <w:t xml:space="preserve">, </w:t>
      </w:r>
      <w:r w:rsidRPr="00E9115C">
        <w:rPr>
          <w:rFonts w:ascii="Calibri" w:hAnsi="Calibri" w:cs="Calibri"/>
          <w:i/>
          <w:iCs/>
          <w:noProof/>
          <w:szCs w:val="24"/>
        </w:rPr>
        <w:t>32</w:t>
      </w:r>
      <w:r w:rsidRPr="00E9115C">
        <w:rPr>
          <w:rFonts w:ascii="Calibri" w:hAnsi="Calibri" w:cs="Calibri"/>
          <w:noProof/>
          <w:szCs w:val="24"/>
        </w:rPr>
        <w:t>(18), 6117–6125. https://doi.org/10.1523/JNEUROSCI.6489-11.2012</w:t>
      </w:r>
    </w:p>
    <w:p w14:paraId="13F9A290"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Fleming, S. M., van der Putten, E. J., &amp; Daw, N. D. (2018). Neural mediators of changes of mind about perceptual decisions. </w:t>
      </w:r>
      <w:r w:rsidRPr="00E9115C">
        <w:rPr>
          <w:rFonts w:ascii="Calibri" w:hAnsi="Calibri" w:cs="Calibri"/>
          <w:i/>
          <w:iCs/>
          <w:noProof/>
          <w:szCs w:val="24"/>
        </w:rPr>
        <w:t>Nature Neuroscience</w:t>
      </w:r>
      <w:r w:rsidRPr="00E9115C">
        <w:rPr>
          <w:rFonts w:ascii="Calibri" w:hAnsi="Calibri" w:cs="Calibri"/>
          <w:noProof/>
          <w:szCs w:val="24"/>
        </w:rPr>
        <w:t xml:space="preserve">, </w:t>
      </w:r>
      <w:r w:rsidRPr="00E9115C">
        <w:rPr>
          <w:rFonts w:ascii="Calibri" w:hAnsi="Calibri" w:cs="Calibri"/>
          <w:i/>
          <w:iCs/>
          <w:noProof/>
          <w:szCs w:val="24"/>
        </w:rPr>
        <w:t>21</w:t>
      </w:r>
      <w:r w:rsidRPr="00E9115C">
        <w:rPr>
          <w:rFonts w:ascii="Calibri" w:hAnsi="Calibri" w:cs="Calibri"/>
          <w:noProof/>
          <w:szCs w:val="24"/>
        </w:rPr>
        <w:t>(4), 617–624. https://doi.org/10.1038/s41593-018-0104-6</w:t>
      </w:r>
    </w:p>
    <w:p w14:paraId="6ADE23CF"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Fleming, S. M., Weil, R. S., Nagy, Z., Dolan, R. J., &amp; Rees, G. (2009). Relating Introspective Accuracy to Individual Differences in Brain Structure. </w:t>
      </w:r>
      <w:r w:rsidRPr="00E9115C">
        <w:rPr>
          <w:rFonts w:ascii="Calibri" w:hAnsi="Calibri" w:cs="Calibri"/>
          <w:i/>
          <w:iCs/>
          <w:noProof/>
          <w:szCs w:val="24"/>
        </w:rPr>
        <w:t>Science</w:t>
      </w:r>
      <w:r w:rsidRPr="00E9115C">
        <w:rPr>
          <w:rFonts w:ascii="Calibri" w:hAnsi="Calibri" w:cs="Calibri"/>
          <w:noProof/>
          <w:szCs w:val="24"/>
        </w:rPr>
        <w:t xml:space="preserve">, </w:t>
      </w:r>
      <w:r w:rsidRPr="00E9115C">
        <w:rPr>
          <w:rFonts w:ascii="Calibri" w:hAnsi="Calibri" w:cs="Calibri"/>
          <w:i/>
          <w:iCs/>
          <w:noProof/>
          <w:szCs w:val="24"/>
        </w:rPr>
        <w:t>324</w:t>
      </w:r>
      <w:r w:rsidRPr="00E9115C">
        <w:rPr>
          <w:rFonts w:ascii="Calibri" w:hAnsi="Calibri" w:cs="Calibri"/>
          <w:noProof/>
          <w:szCs w:val="24"/>
        </w:rPr>
        <w:t>(5928), 759–764. https://doi.org/10.1126/science.1169405</w:t>
      </w:r>
    </w:p>
    <w:p w14:paraId="6710B090"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Higham, P. A., Perfect, T. J., &amp; Bruno, D. (2009). Investigating strength and frequency effects in recognition memory using type-2 signal detection theory. </w:t>
      </w:r>
      <w:r w:rsidRPr="00E9115C">
        <w:rPr>
          <w:rFonts w:ascii="Calibri" w:hAnsi="Calibri" w:cs="Calibri"/>
          <w:i/>
          <w:iCs/>
          <w:noProof/>
          <w:szCs w:val="24"/>
        </w:rPr>
        <w:t>Journal of Experimental Psychology: Learning, Memory, and Cognition</w:t>
      </w:r>
      <w:r w:rsidRPr="00E9115C">
        <w:rPr>
          <w:rFonts w:ascii="Calibri" w:hAnsi="Calibri" w:cs="Calibri"/>
          <w:noProof/>
          <w:szCs w:val="24"/>
        </w:rPr>
        <w:t xml:space="preserve">, </w:t>
      </w:r>
      <w:r w:rsidRPr="00E9115C">
        <w:rPr>
          <w:rFonts w:ascii="Calibri" w:hAnsi="Calibri" w:cs="Calibri"/>
          <w:i/>
          <w:iCs/>
          <w:noProof/>
          <w:szCs w:val="24"/>
        </w:rPr>
        <w:t>35</w:t>
      </w:r>
      <w:r w:rsidRPr="00E9115C">
        <w:rPr>
          <w:rFonts w:ascii="Calibri" w:hAnsi="Calibri" w:cs="Calibri"/>
          <w:noProof/>
          <w:szCs w:val="24"/>
        </w:rPr>
        <w:t>(1), 57–80. https://doi.org/10.1037/a0013865</w:t>
      </w:r>
    </w:p>
    <w:p w14:paraId="0652619A"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lastRenderedPageBreak/>
        <w:t xml:space="preserve">Kanai, R., Walsh, V., &amp; Tseng, C. (2010). Subjective discriminability of invisibility: A framework for distinguishing perceptual and attentional failures of awareness. </w:t>
      </w:r>
      <w:r w:rsidRPr="00E9115C">
        <w:rPr>
          <w:rFonts w:ascii="Calibri" w:hAnsi="Calibri" w:cs="Calibri"/>
          <w:i/>
          <w:iCs/>
          <w:noProof/>
          <w:szCs w:val="24"/>
        </w:rPr>
        <w:t>Consciousness and Cognition</w:t>
      </w:r>
      <w:r w:rsidRPr="00E9115C">
        <w:rPr>
          <w:rFonts w:ascii="Calibri" w:hAnsi="Calibri" w:cs="Calibri"/>
          <w:noProof/>
          <w:szCs w:val="24"/>
        </w:rPr>
        <w:t xml:space="preserve">, </w:t>
      </w:r>
      <w:r w:rsidRPr="00E9115C">
        <w:rPr>
          <w:rFonts w:ascii="Calibri" w:hAnsi="Calibri" w:cs="Calibri"/>
          <w:i/>
          <w:iCs/>
          <w:noProof/>
          <w:szCs w:val="24"/>
        </w:rPr>
        <w:t>19</w:t>
      </w:r>
      <w:r w:rsidRPr="00E9115C">
        <w:rPr>
          <w:rFonts w:ascii="Calibri" w:hAnsi="Calibri" w:cs="Calibri"/>
          <w:noProof/>
          <w:szCs w:val="24"/>
        </w:rPr>
        <w:t>(4), 1045–1057. https://doi.org/10.1016/J.CONCOG.2010.06.003</w:t>
      </w:r>
    </w:p>
    <w:p w14:paraId="217709E5"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Maniscalco, B., &amp; Lau, H. (2012). A signal detection theoretic approach for estimating metacognitive sensitivity from confidence ratings. </w:t>
      </w:r>
      <w:r w:rsidRPr="00E9115C">
        <w:rPr>
          <w:rFonts w:ascii="Calibri" w:hAnsi="Calibri" w:cs="Calibri"/>
          <w:i/>
          <w:iCs/>
          <w:noProof/>
          <w:szCs w:val="24"/>
        </w:rPr>
        <w:t>Consciousness and Cognition</w:t>
      </w:r>
      <w:r w:rsidRPr="00E9115C">
        <w:rPr>
          <w:rFonts w:ascii="Calibri" w:hAnsi="Calibri" w:cs="Calibri"/>
          <w:noProof/>
          <w:szCs w:val="24"/>
        </w:rPr>
        <w:t xml:space="preserve">, </w:t>
      </w:r>
      <w:r w:rsidRPr="00E9115C">
        <w:rPr>
          <w:rFonts w:ascii="Calibri" w:hAnsi="Calibri" w:cs="Calibri"/>
          <w:i/>
          <w:iCs/>
          <w:noProof/>
          <w:szCs w:val="24"/>
        </w:rPr>
        <w:t>21</w:t>
      </w:r>
      <w:r w:rsidRPr="00E9115C">
        <w:rPr>
          <w:rFonts w:ascii="Calibri" w:hAnsi="Calibri" w:cs="Calibri"/>
          <w:noProof/>
          <w:szCs w:val="24"/>
        </w:rPr>
        <w:t>, 422–430. https://doi.org/10.1016/j.concog.2011.09.021</w:t>
      </w:r>
    </w:p>
    <w:p w14:paraId="6EC34B77"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Mccurdy, L. Y., Maniscalco, B., Metcalfe, J., &amp; De Lange, F. P. (2013). Anatomical Coupling between Distinct Metacognitive Systems for Memory and Visual Perception Decoded Neurofeedback Project for development of diagnostic and therapeutic system for mental disorders View project Temporal dynamics of visual imagery View proje. https://doi.org/10.1523/JNEUROSCI.1890-12</w:t>
      </w:r>
    </w:p>
    <w:p w14:paraId="5532F3B0"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Meuwese, J. D. I., van Loon, A. M., Lamme, V. A. F., &amp; Fahrenfort, J. J. (2014). The subjective experience of object recognition: comparing metacognition for object detection and object categorization. </w:t>
      </w:r>
      <w:r w:rsidRPr="00E9115C">
        <w:rPr>
          <w:rFonts w:ascii="Calibri" w:hAnsi="Calibri" w:cs="Calibri"/>
          <w:i/>
          <w:iCs/>
          <w:noProof/>
          <w:szCs w:val="24"/>
        </w:rPr>
        <w:t>Attention, Perception, &amp; Psychophysics</w:t>
      </w:r>
      <w:r w:rsidRPr="00E9115C">
        <w:rPr>
          <w:rFonts w:ascii="Calibri" w:hAnsi="Calibri" w:cs="Calibri"/>
          <w:noProof/>
          <w:szCs w:val="24"/>
        </w:rPr>
        <w:t xml:space="preserve">, </w:t>
      </w:r>
      <w:r w:rsidRPr="00E9115C">
        <w:rPr>
          <w:rFonts w:ascii="Calibri" w:hAnsi="Calibri" w:cs="Calibri"/>
          <w:i/>
          <w:iCs/>
          <w:noProof/>
          <w:szCs w:val="24"/>
        </w:rPr>
        <w:t>76</w:t>
      </w:r>
      <w:r w:rsidRPr="00E9115C">
        <w:rPr>
          <w:rFonts w:ascii="Calibri" w:hAnsi="Calibri" w:cs="Calibri"/>
          <w:noProof/>
          <w:szCs w:val="24"/>
        </w:rPr>
        <w:t>(4), 1057–1068. https://doi.org/10.3758/s13414-014-0643-1</w:t>
      </w:r>
    </w:p>
    <w:p w14:paraId="1EBB90AA"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Miyamoto, K., Setsuie, R., Osada, T., &amp; Miyashita, Y. (2018). Reversible Silencing of the Frontopolar Cortex Selectively Impairs Metacognitive Judgment on Non-experience in Primates. </w:t>
      </w:r>
      <w:r w:rsidRPr="00E9115C">
        <w:rPr>
          <w:rFonts w:ascii="Calibri" w:hAnsi="Calibri" w:cs="Calibri"/>
          <w:i/>
          <w:iCs/>
          <w:noProof/>
          <w:szCs w:val="24"/>
        </w:rPr>
        <w:t>Neuron</w:t>
      </w:r>
      <w:r w:rsidRPr="00E9115C">
        <w:rPr>
          <w:rFonts w:ascii="Calibri" w:hAnsi="Calibri" w:cs="Calibri"/>
          <w:noProof/>
          <w:szCs w:val="24"/>
        </w:rPr>
        <w:t xml:space="preserve">, </w:t>
      </w:r>
      <w:r w:rsidRPr="00E9115C">
        <w:rPr>
          <w:rFonts w:ascii="Calibri" w:hAnsi="Calibri" w:cs="Calibri"/>
          <w:i/>
          <w:iCs/>
          <w:noProof/>
          <w:szCs w:val="24"/>
        </w:rPr>
        <w:t>97</w:t>
      </w:r>
      <w:r w:rsidRPr="00E9115C">
        <w:rPr>
          <w:rFonts w:ascii="Calibri" w:hAnsi="Calibri" w:cs="Calibri"/>
          <w:noProof/>
          <w:szCs w:val="24"/>
        </w:rPr>
        <w:t>(4), 980–989.e6. https://doi.org/10.1016/j.neuron.2017.12.040</w:t>
      </w:r>
    </w:p>
    <w:p w14:paraId="1CA9888D"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Morales, J., Lau, H., &amp; Fleming, S. M. (2018). Domain-General and Domain-Specific Patterns of Activity Supporting Metacognition in Human Prefrontal Cortex. </w:t>
      </w:r>
      <w:r w:rsidRPr="00E9115C">
        <w:rPr>
          <w:rFonts w:ascii="Calibri" w:hAnsi="Calibri" w:cs="Calibri"/>
          <w:i/>
          <w:iCs/>
          <w:noProof/>
          <w:szCs w:val="24"/>
        </w:rPr>
        <w:t>The Journal of Neuroscience : The Official Journal of the Society for Neuroscience</w:t>
      </w:r>
      <w:r w:rsidRPr="00E9115C">
        <w:rPr>
          <w:rFonts w:ascii="Calibri" w:hAnsi="Calibri" w:cs="Calibri"/>
          <w:noProof/>
          <w:szCs w:val="24"/>
        </w:rPr>
        <w:t xml:space="preserve">, </w:t>
      </w:r>
      <w:r w:rsidRPr="00E9115C">
        <w:rPr>
          <w:rFonts w:ascii="Calibri" w:hAnsi="Calibri" w:cs="Calibri"/>
          <w:i/>
          <w:iCs/>
          <w:noProof/>
          <w:szCs w:val="24"/>
        </w:rPr>
        <w:t>38</w:t>
      </w:r>
      <w:r w:rsidRPr="00E9115C">
        <w:rPr>
          <w:rFonts w:ascii="Calibri" w:hAnsi="Calibri" w:cs="Calibri"/>
          <w:noProof/>
          <w:szCs w:val="24"/>
        </w:rPr>
        <w:t>(14), 3534–3546. https://doi.org/10.1523/JNEUROSCI.2360-17.2018</w:t>
      </w:r>
    </w:p>
    <w:p w14:paraId="2EE844F1"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Neubert, F.-X., Mars, R. B., Thomas, A. G., Sallet, J., &amp; Rushworth, M. F. S. (2014). </w:t>
      </w:r>
      <w:r w:rsidRPr="00E9115C">
        <w:rPr>
          <w:rFonts w:ascii="Calibri" w:hAnsi="Calibri" w:cs="Calibri"/>
          <w:noProof/>
          <w:szCs w:val="24"/>
        </w:rPr>
        <w:lastRenderedPageBreak/>
        <w:t xml:space="preserve">Comparison of Human Ventral Frontal Cortex Areas for Cognitive Control and Language with Areas in Monkey Frontal Cortex. </w:t>
      </w:r>
      <w:r w:rsidRPr="00E9115C">
        <w:rPr>
          <w:rFonts w:ascii="Calibri" w:hAnsi="Calibri" w:cs="Calibri"/>
          <w:i/>
          <w:iCs/>
          <w:noProof/>
          <w:szCs w:val="24"/>
        </w:rPr>
        <w:t>Neuron</w:t>
      </w:r>
      <w:r w:rsidRPr="00E9115C">
        <w:rPr>
          <w:rFonts w:ascii="Calibri" w:hAnsi="Calibri" w:cs="Calibri"/>
          <w:noProof/>
          <w:szCs w:val="24"/>
        </w:rPr>
        <w:t xml:space="preserve">, </w:t>
      </w:r>
      <w:r w:rsidRPr="00E9115C">
        <w:rPr>
          <w:rFonts w:ascii="Calibri" w:hAnsi="Calibri" w:cs="Calibri"/>
          <w:i/>
          <w:iCs/>
          <w:noProof/>
          <w:szCs w:val="24"/>
        </w:rPr>
        <w:t>81</w:t>
      </w:r>
      <w:r w:rsidRPr="00E9115C">
        <w:rPr>
          <w:rFonts w:ascii="Calibri" w:hAnsi="Calibri" w:cs="Calibri"/>
          <w:noProof/>
          <w:szCs w:val="24"/>
        </w:rPr>
        <w:t>(3), 700–713. https://doi.org/10.1016/J.NEURON.2013.11.012</w:t>
      </w:r>
    </w:p>
    <w:p w14:paraId="1FA9A27A"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Norman, K. A., Polyn, S. M., Detre, G. J., &amp; Haxby, J. V. (2006). Beyond mind-reading: multi-voxel pattern analysis of fMRI data. </w:t>
      </w:r>
      <w:r w:rsidRPr="00E9115C">
        <w:rPr>
          <w:rFonts w:ascii="Calibri" w:hAnsi="Calibri" w:cs="Calibri"/>
          <w:i/>
          <w:iCs/>
          <w:noProof/>
          <w:szCs w:val="24"/>
        </w:rPr>
        <w:t>Trends in Cognitive Sciences</w:t>
      </w:r>
      <w:r w:rsidRPr="00E9115C">
        <w:rPr>
          <w:rFonts w:ascii="Calibri" w:hAnsi="Calibri" w:cs="Calibri"/>
          <w:noProof/>
          <w:szCs w:val="24"/>
        </w:rPr>
        <w:t xml:space="preserve">, </w:t>
      </w:r>
      <w:r w:rsidRPr="00E9115C">
        <w:rPr>
          <w:rFonts w:ascii="Calibri" w:hAnsi="Calibri" w:cs="Calibri"/>
          <w:i/>
          <w:iCs/>
          <w:noProof/>
          <w:szCs w:val="24"/>
        </w:rPr>
        <w:t>10</w:t>
      </w:r>
      <w:r w:rsidRPr="00E9115C">
        <w:rPr>
          <w:rFonts w:ascii="Calibri" w:hAnsi="Calibri" w:cs="Calibri"/>
          <w:noProof/>
          <w:szCs w:val="24"/>
        </w:rPr>
        <w:t>(9), 424–430. https://doi.org/10.1016/j.tics.2006.07.005</w:t>
      </w:r>
    </w:p>
    <w:p w14:paraId="49CADC64"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rPr>
      </w:pPr>
      <w:r w:rsidRPr="00E9115C">
        <w:rPr>
          <w:rFonts w:ascii="Calibri" w:hAnsi="Calibri" w:cs="Calibri"/>
          <w:noProof/>
          <w:szCs w:val="24"/>
        </w:rPr>
        <w:t xml:space="preserve">Yokoyama, O., Miura, N., Watanabe, J., Takemoto, A., Uchida, S., Sugiura, M., … Nakamura, K. (2010). Right frontopolar cortex activity correlates with reliability of retrospective rating of confidence in short-term recognition memory performance. </w:t>
      </w:r>
      <w:r w:rsidRPr="00E9115C">
        <w:rPr>
          <w:rFonts w:ascii="Calibri" w:hAnsi="Calibri" w:cs="Calibri"/>
          <w:i/>
          <w:iCs/>
          <w:noProof/>
          <w:szCs w:val="24"/>
        </w:rPr>
        <w:t>Neuroscience Research</w:t>
      </w:r>
      <w:r w:rsidRPr="00E9115C">
        <w:rPr>
          <w:rFonts w:ascii="Calibri" w:hAnsi="Calibri" w:cs="Calibri"/>
          <w:noProof/>
          <w:szCs w:val="24"/>
        </w:rPr>
        <w:t xml:space="preserve">, </w:t>
      </w:r>
      <w:r w:rsidRPr="00E9115C">
        <w:rPr>
          <w:rFonts w:ascii="Calibri" w:hAnsi="Calibri" w:cs="Calibri"/>
          <w:i/>
          <w:iCs/>
          <w:noProof/>
          <w:szCs w:val="24"/>
        </w:rPr>
        <w:t>68</w:t>
      </w:r>
      <w:r w:rsidRPr="00E9115C">
        <w:rPr>
          <w:rFonts w:ascii="Calibri" w:hAnsi="Calibri" w:cs="Calibri"/>
          <w:noProof/>
          <w:szCs w:val="24"/>
        </w:rPr>
        <w:t>(3), 199–206. https://doi.org/10.1016/J.NEURES.2010.07.2041</w:t>
      </w:r>
    </w:p>
    <w:p w14:paraId="2E1206FA" w14:textId="77777777" w:rsidR="00984701" w:rsidRPr="00984701" w:rsidRDefault="00631FF1" w:rsidP="00C537AF">
      <w:pPr>
        <w:bidi w:val="0"/>
        <w:spacing w:line="480" w:lineRule="auto"/>
        <w:rPr>
          <w:u w:val="single"/>
        </w:rPr>
      </w:pPr>
      <w:r>
        <w:rPr>
          <w:u w:val="single"/>
        </w:rPr>
        <w:fldChar w:fldCharType="end"/>
      </w:r>
    </w:p>
    <w:sectPr w:rsidR="00984701" w:rsidRPr="00984701" w:rsidSect="00810D93">
      <w:pgSz w:w="11906" w:h="16838" w:code="9"/>
      <w:pgMar w:top="1440" w:right="1797" w:bottom="1440" w:left="1797"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an Mazor" w:date="2018-07-18T12:48:00Z" w:initials="MM">
    <w:p w14:paraId="44C44B89" w14:textId="3E19A250" w:rsidR="00F849BF" w:rsidRDefault="00F849BF">
      <w:pPr>
        <w:pStyle w:val="CommentText"/>
      </w:pPr>
      <w:r>
        <w:rPr>
          <w:rStyle w:val="CommentReference"/>
        </w:rPr>
        <w:annotationRef/>
      </w:r>
      <w:r>
        <w:t xml:space="preserve">Following the project presentation, worthwhile reconsidering how central the counterfactual </w:t>
      </w:r>
      <w:proofErr w:type="gramStart"/>
      <w:r>
        <w:t>reasoning  idea</w:t>
      </w:r>
      <w:proofErr w:type="gramEnd"/>
      <w:r>
        <w:t xml:space="preserve"> should be in the document.</w:t>
      </w:r>
    </w:p>
  </w:comment>
  <w:comment w:id="1" w:author="Matan Mazor" w:date="2018-07-18T12:49:00Z" w:initials="MM">
    <w:p w14:paraId="7874B70B" w14:textId="3DBF1BF9" w:rsidR="00F849BF" w:rsidRDefault="00F849BF">
      <w:pPr>
        <w:pStyle w:val="CommentText"/>
        <w:rPr>
          <w:rtl/>
        </w:rPr>
      </w:pPr>
      <w:r>
        <w:rPr>
          <w:rStyle w:val="CommentReference"/>
        </w:rPr>
        <w:annotationRef/>
      </w:r>
      <w:r>
        <w:t>Given that the phi coefficient is so unstable with low number of trials, I think we should reconsider this as well.</w:t>
      </w:r>
    </w:p>
  </w:comment>
  <w:comment w:id="3" w:author="Matan Mazor" w:date="2018-07-24T13:05:00Z" w:initials="MM">
    <w:p w14:paraId="72E2A450" w14:textId="680DEF00" w:rsidR="001F31F5" w:rsidRDefault="001F31F5">
      <w:pPr>
        <w:pStyle w:val="CommentText"/>
        <w:rPr>
          <w:rtl/>
        </w:rPr>
      </w:pPr>
      <w:r>
        <w:rPr>
          <w:rStyle w:val="CommentReference"/>
        </w:rPr>
        <w:annotationRef/>
      </w:r>
      <w:r>
        <w:t xml:space="preserve">I couldn't find what was the smoothing kernel in your </w:t>
      </w:r>
      <w:r w:rsidR="009A3027">
        <w:t xml:space="preserve">change of mind paper, but it was 8mm in the JNS paper. </w:t>
      </w:r>
    </w:p>
  </w:comment>
  <w:comment w:id="4" w:author="Matan Mazor" w:date="2018-07-26T11:11:00Z" w:initials="MM">
    <w:p w14:paraId="5AB77D1C" w14:textId="45B78BC1" w:rsidR="003E2573" w:rsidRDefault="003E2573">
      <w:pPr>
        <w:pStyle w:val="CommentText"/>
      </w:pPr>
      <w:r>
        <w:rPr>
          <w:rStyle w:val="CommentReference"/>
        </w:rPr>
        <w:annotationRef/>
      </w:r>
      <w:r>
        <w:t>Does 8-mm sphere mean 8-mm radius or 8-mm diameter?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44B89" w15:done="0"/>
  <w15:commentEx w15:paraId="7874B70B" w15:done="0"/>
  <w15:commentEx w15:paraId="72E2A450" w15:done="0"/>
  <w15:commentEx w15:paraId="5AB77D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44B89" w16cid:durableId="1EF9B590"/>
  <w16cid:commentId w16cid:paraId="7874B70B" w16cid:durableId="1EF9B5DB"/>
  <w16cid:commentId w16cid:paraId="72E2A450" w16cid:durableId="1F01A294"/>
  <w16cid:commentId w16cid:paraId="5AB77D1C" w16cid:durableId="1F042A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0D"/>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C938ED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CE0E9E"/>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403FCF"/>
    <w:multiLevelType w:val="hybridMultilevel"/>
    <w:tmpl w:val="F0C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50B8B"/>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8627B"/>
    <w:multiLevelType w:val="hybridMultilevel"/>
    <w:tmpl w:val="C9C4F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F707C7"/>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667C63"/>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D537F"/>
    <w:multiLevelType w:val="hybridMultilevel"/>
    <w:tmpl w:val="0FAE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366E4"/>
    <w:multiLevelType w:val="hybridMultilevel"/>
    <w:tmpl w:val="893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D1176"/>
    <w:multiLevelType w:val="hybridMultilevel"/>
    <w:tmpl w:val="7B74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A66C1"/>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A045E1"/>
    <w:multiLevelType w:val="hybridMultilevel"/>
    <w:tmpl w:val="71AA087E"/>
    <w:lvl w:ilvl="0" w:tplc="780E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1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5"/>
  </w:num>
  <w:num w:numId="15">
    <w:abstractNumId w:val="2"/>
  </w:num>
  <w:num w:numId="16">
    <w:abstractNumId w:val="10"/>
  </w:num>
  <w:num w:numId="17">
    <w:abstractNumId w:val="7"/>
  </w:num>
  <w:num w:numId="18">
    <w:abstractNumId w:val="11"/>
  </w:num>
  <w:num w:numId="19">
    <w:abstractNumId w:val="8"/>
  </w:num>
  <w:num w:numId="20">
    <w:abstractNumId w:val="4"/>
  </w:num>
  <w:num w:numId="21">
    <w:abstractNumId w:val="6"/>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an Mazor">
    <w15:presenceInfo w15:providerId="Windows Live" w15:userId="360af3352abae8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01"/>
    <w:rsid w:val="00001B8C"/>
    <w:rsid w:val="0002154B"/>
    <w:rsid w:val="00034001"/>
    <w:rsid w:val="00044842"/>
    <w:rsid w:val="00046FF8"/>
    <w:rsid w:val="000A4BD4"/>
    <w:rsid w:val="000B51B9"/>
    <w:rsid w:val="00102D86"/>
    <w:rsid w:val="00110463"/>
    <w:rsid w:val="00114EE6"/>
    <w:rsid w:val="001966D5"/>
    <w:rsid w:val="001B3233"/>
    <w:rsid w:val="001C3B6C"/>
    <w:rsid w:val="001D3839"/>
    <w:rsid w:val="001D4EA2"/>
    <w:rsid w:val="001D5AEE"/>
    <w:rsid w:val="001F31F5"/>
    <w:rsid w:val="00204461"/>
    <w:rsid w:val="00240F20"/>
    <w:rsid w:val="0026053B"/>
    <w:rsid w:val="00274FDA"/>
    <w:rsid w:val="002C1D6E"/>
    <w:rsid w:val="002C6D51"/>
    <w:rsid w:val="00303CC8"/>
    <w:rsid w:val="0035486A"/>
    <w:rsid w:val="003716BB"/>
    <w:rsid w:val="00392FE0"/>
    <w:rsid w:val="003C4989"/>
    <w:rsid w:val="003D04B9"/>
    <w:rsid w:val="003E1E11"/>
    <w:rsid w:val="003E2375"/>
    <w:rsid w:val="003E2573"/>
    <w:rsid w:val="0041227A"/>
    <w:rsid w:val="0041580D"/>
    <w:rsid w:val="004162F9"/>
    <w:rsid w:val="004170EB"/>
    <w:rsid w:val="004841C4"/>
    <w:rsid w:val="00494E95"/>
    <w:rsid w:val="004B502F"/>
    <w:rsid w:val="004C6A02"/>
    <w:rsid w:val="00500573"/>
    <w:rsid w:val="00522763"/>
    <w:rsid w:val="00527882"/>
    <w:rsid w:val="00545B3B"/>
    <w:rsid w:val="00582853"/>
    <w:rsid w:val="005844CA"/>
    <w:rsid w:val="005A4A5C"/>
    <w:rsid w:val="005A6A7E"/>
    <w:rsid w:val="005C70E9"/>
    <w:rsid w:val="005D6F71"/>
    <w:rsid w:val="00601DCE"/>
    <w:rsid w:val="006141E9"/>
    <w:rsid w:val="006206DE"/>
    <w:rsid w:val="00631FF1"/>
    <w:rsid w:val="00643F55"/>
    <w:rsid w:val="006476BA"/>
    <w:rsid w:val="006B6F6B"/>
    <w:rsid w:val="006C2AF5"/>
    <w:rsid w:val="00705092"/>
    <w:rsid w:val="007051BF"/>
    <w:rsid w:val="007400AD"/>
    <w:rsid w:val="00764333"/>
    <w:rsid w:val="00765027"/>
    <w:rsid w:val="00771052"/>
    <w:rsid w:val="00771D66"/>
    <w:rsid w:val="007D2446"/>
    <w:rsid w:val="007D4A99"/>
    <w:rsid w:val="00801F35"/>
    <w:rsid w:val="00810D93"/>
    <w:rsid w:val="00811C3D"/>
    <w:rsid w:val="00836AFE"/>
    <w:rsid w:val="00840418"/>
    <w:rsid w:val="00872795"/>
    <w:rsid w:val="00872BC5"/>
    <w:rsid w:val="008A122B"/>
    <w:rsid w:val="008E5C0C"/>
    <w:rsid w:val="00924956"/>
    <w:rsid w:val="00931F52"/>
    <w:rsid w:val="00951D0E"/>
    <w:rsid w:val="0098085E"/>
    <w:rsid w:val="00984701"/>
    <w:rsid w:val="00985120"/>
    <w:rsid w:val="009A3027"/>
    <w:rsid w:val="009F5E95"/>
    <w:rsid w:val="00A3255E"/>
    <w:rsid w:val="00A36839"/>
    <w:rsid w:val="00A37116"/>
    <w:rsid w:val="00A516FF"/>
    <w:rsid w:val="00A62BB6"/>
    <w:rsid w:val="00A9585F"/>
    <w:rsid w:val="00AF41A8"/>
    <w:rsid w:val="00B01D8D"/>
    <w:rsid w:val="00B1701D"/>
    <w:rsid w:val="00B2705E"/>
    <w:rsid w:val="00B53FC1"/>
    <w:rsid w:val="00B92DC1"/>
    <w:rsid w:val="00B97F2A"/>
    <w:rsid w:val="00BC1AC5"/>
    <w:rsid w:val="00BF54ED"/>
    <w:rsid w:val="00C043F5"/>
    <w:rsid w:val="00C25493"/>
    <w:rsid w:val="00C406DA"/>
    <w:rsid w:val="00C537AF"/>
    <w:rsid w:val="00C72FAF"/>
    <w:rsid w:val="00C7496A"/>
    <w:rsid w:val="00C779BB"/>
    <w:rsid w:val="00C856BB"/>
    <w:rsid w:val="00CB0443"/>
    <w:rsid w:val="00CB27CF"/>
    <w:rsid w:val="00CD530A"/>
    <w:rsid w:val="00D463A5"/>
    <w:rsid w:val="00D62C94"/>
    <w:rsid w:val="00D9285D"/>
    <w:rsid w:val="00D9506D"/>
    <w:rsid w:val="00D962E8"/>
    <w:rsid w:val="00D97143"/>
    <w:rsid w:val="00DC0797"/>
    <w:rsid w:val="00DC6487"/>
    <w:rsid w:val="00DD39A4"/>
    <w:rsid w:val="00E01F4C"/>
    <w:rsid w:val="00E3055D"/>
    <w:rsid w:val="00E57C5B"/>
    <w:rsid w:val="00E60937"/>
    <w:rsid w:val="00E6595B"/>
    <w:rsid w:val="00E773B0"/>
    <w:rsid w:val="00E87693"/>
    <w:rsid w:val="00E879AF"/>
    <w:rsid w:val="00E9115C"/>
    <w:rsid w:val="00EB1418"/>
    <w:rsid w:val="00EB474F"/>
    <w:rsid w:val="00EE29BE"/>
    <w:rsid w:val="00EE575B"/>
    <w:rsid w:val="00F171D6"/>
    <w:rsid w:val="00F30126"/>
    <w:rsid w:val="00F32E95"/>
    <w:rsid w:val="00F34B93"/>
    <w:rsid w:val="00F457E4"/>
    <w:rsid w:val="00F4634B"/>
    <w:rsid w:val="00F60689"/>
    <w:rsid w:val="00F6473B"/>
    <w:rsid w:val="00F77EE5"/>
    <w:rsid w:val="00F83584"/>
    <w:rsid w:val="00F849BF"/>
    <w:rsid w:val="00FC1CE1"/>
    <w:rsid w:val="00FD5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A8B"/>
  <w15:chartTrackingRefBased/>
  <w15:docId w15:val="{7B4BF4FD-5007-4BC5-9ECD-BFD9473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418"/>
  </w:style>
  <w:style w:type="paragraph" w:styleId="Heading1">
    <w:name w:val="heading 1"/>
    <w:basedOn w:val="Normal"/>
    <w:next w:val="Normal"/>
    <w:link w:val="Heading1Char"/>
    <w:uiPriority w:val="9"/>
    <w:qFormat/>
    <w:rsid w:val="008404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404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404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404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404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404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404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04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04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01"/>
    <w:pPr>
      <w:ind w:left="720"/>
      <w:contextualSpacing/>
    </w:pPr>
  </w:style>
  <w:style w:type="paragraph" w:styleId="Caption">
    <w:name w:val="caption"/>
    <w:basedOn w:val="Normal"/>
    <w:next w:val="Normal"/>
    <w:uiPriority w:val="35"/>
    <w:unhideWhenUsed/>
    <w:qFormat/>
    <w:rsid w:val="008404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4041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4041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4041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404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404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404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404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04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041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404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404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404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0418"/>
    <w:rPr>
      <w:color w:val="5A5A5A" w:themeColor="text1" w:themeTint="A5"/>
      <w:spacing w:val="15"/>
    </w:rPr>
  </w:style>
  <w:style w:type="character" w:styleId="Strong">
    <w:name w:val="Strong"/>
    <w:basedOn w:val="DefaultParagraphFont"/>
    <w:uiPriority w:val="22"/>
    <w:qFormat/>
    <w:rsid w:val="00840418"/>
    <w:rPr>
      <w:b/>
      <w:bCs/>
      <w:color w:val="auto"/>
    </w:rPr>
  </w:style>
  <w:style w:type="character" w:styleId="Emphasis">
    <w:name w:val="Emphasis"/>
    <w:basedOn w:val="DefaultParagraphFont"/>
    <w:uiPriority w:val="20"/>
    <w:qFormat/>
    <w:rsid w:val="00840418"/>
    <w:rPr>
      <w:i/>
      <w:iCs/>
      <w:color w:val="auto"/>
    </w:rPr>
  </w:style>
  <w:style w:type="paragraph" w:styleId="NoSpacing">
    <w:name w:val="No Spacing"/>
    <w:uiPriority w:val="1"/>
    <w:qFormat/>
    <w:rsid w:val="00840418"/>
    <w:pPr>
      <w:spacing w:after="0" w:line="240" w:lineRule="auto"/>
    </w:pPr>
  </w:style>
  <w:style w:type="paragraph" w:styleId="Quote">
    <w:name w:val="Quote"/>
    <w:basedOn w:val="Normal"/>
    <w:next w:val="Normal"/>
    <w:link w:val="QuoteChar"/>
    <w:uiPriority w:val="29"/>
    <w:qFormat/>
    <w:rsid w:val="008404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40418"/>
    <w:rPr>
      <w:i/>
      <w:iCs/>
      <w:color w:val="404040" w:themeColor="text1" w:themeTint="BF"/>
    </w:rPr>
  </w:style>
  <w:style w:type="paragraph" w:styleId="IntenseQuote">
    <w:name w:val="Intense Quote"/>
    <w:basedOn w:val="Normal"/>
    <w:next w:val="Normal"/>
    <w:link w:val="IntenseQuoteChar"/>
    <w:uiPriority w:val="30"/>
    <w:qFormat/>
    <w:rsid w:val="008404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40418"/>
    <w:rPr>
      <w:i/>
      <w:iCs/>
      <w:color w:val="404040" w:themeColor="text1" w:themeTint="BF"/>
    </w:rPr>
  </w:style>
  <w:style w:type="character" w:styleId="SubtleEmphasis">
    <w:name w:val="Subtle Emphasis"/>
    <w:basedOn w:val="DefaultParagraphFont"/>
    <w:uiPriority w:val="19"/>
    <w:qFormat/>
    <w:rsid w:val="00840418"/>
    <w:rPr>
      <w:i/>
      <w:iCs/>
      <w:color w:val="404040" w:themeColor="text1" w:themeTint="BF"/>
    </w:rPr>
  </w:style>
  <w:style w:type="character" w:styleId="IntenseEmphasis">
    <w:name w:val="Intense Emphasis"/>
    <w:basedOn w:val="DefaultParagraphFont"/>
    <w:uiPriority w:val="21"/>
    <w:qFormat/>
    <w:rsid w:val="00840418"/>
    <w:rPr>
      <w:b/>
      <w:bCs/>
      <w:i/>
      <w:iCs/>
      <w:color w:val="auto"/>
    </w:rPr>
  </w:style>
  <w:style w:type="character" w:styleId="SubtleReference">
    <w:name w:val="Subtle Reference"/>
    <w:basedOn w:val="DefaultParagraphFont"/>
    <w:uiPriority w:val="31"/>
    <w:qFormat/>
    <w:rsid w:val="00840418"/>
    <w:rPr>
      <w:smallCaps/>
      <w:color w:val="404040" w:themeColor="text1" w:themeTint="BF"/>
    </w:rPr>
  </w:style>
  <w:style w:type="character" w:styleId="IntenseReference">
    <w:name w:val="Intense Reference"/>
    <w:basedOn w:val="DefaultParagraphFont"/>
    <w:uiPriority w:val="32"/>
    <w:qFormat/>
    <w:rsid w:val="00840418"/>
    <w:rPr>
      <w:b/>
      <w:bCs/>
      <w:smallCaps/>
      <w:color w:val="404040" w:themeColor="text1" w:themeTint="BF"/>
      <w:spacing w:val="5"/>
    </w:rPr>
  </w:style>
  <w:style w:type="character" w:styleId="BookTitle">
    <w:name w:val="Book Title"/>
    <w:basedOn w:val="DefaultParagraphFont"/>
    <w:uiPriority w:val="33"/>
    <w:qFormat/>
    <w:rsid w:val="00840418"/>
    <w:rPr>
      <w:b/>
      <w:bCs/>
      <w:i/>
      <w:iCs/>
      <w:spacing w:val="5"/>
    </w:rPr>
  </w:style>
  <w:style w:type="paragraph" w:styleId="TOCHeading">
    <w:name w:val="TOC Heading"/>
    <w:basedOn w:val="Heading1"/>
    <w:next w:val="Normal"/>
    <w:uiPriority w:val="39"/>
    <w:semiHidden/>
    <w:unhideWhenUsed/>
    <w:qFormat/>
    <w:rsid w:val="00840418"/>
    <w:pPr>
      <w:outlineLvl w:val="9"/>
    </w:pPr>
  </w:style>
  <w:style w:type="character" w:styleId="CommentReference">
    <w:name w:val="annotation reference"/>
    <w:basedOn w:val="DefaultParagraphFont"/>
    <w:uiPriority w:val="99"/>
    <w:semiHidden/>
    <w:unhideWhenUsed/>
    <w:rsid w:val="005C70E9"/>
    <w:rPr>
      <w:sz w:val="16"/>
      <w:szCs w:val="16"/>
    </w:rPr>
  </w:style>
  <w:style w:type="paragraph" w:styleId="CommentText">
    <w:name w:val="annotation text"/>
    <w:basedOn w:val="Normal"/>
    <w:link w:val="CommentTextChar"/>
    <w:uiPriority w:val="99"/>
    <w:semiHidden/>
    <w:unhideWhenUsed/>
    <w:rsid w:val="005C70E9"/>
    <w:pPr>
      <w:spacing w:line="240" w:lineRule="auto"/>
    </w:pPr>
    <w:rPr>
      <w:sz w:val="20"/>
      <w:szCs w:val="20"/>
    </w:rPr>
  </w:style>
  <w:style w:type="character" w:customStyle="1" w:styleId="CommentTextChar">
    <w:name w:val="Comment Text Char"/>
    <w:basedOn w:val="DefaultParagraphFont"/>
    <w:link w:val="CommentText"/>
    <w:uiPriority w:val="99"/>
    <w:semiHidden/>
    <w:rsid w:val="005C70E9"/>
    <w:rPr>
      <w:sz w:val="20"/>
      <w:szCs w:val="20"/>
    </w:rPr>
  </w:style>
  <w:style w:type="paragraph" w:styleId="CommentSubject">
    <w:name w:val="annotation subject"/>
    <w:basedOn w:val="CommentText"/>
    <w:next w:val="CommentText"/>
    <w:link w:val="CommentSubjectChar"/>
    <w:uiPriority w:val="99"/>
    <w:semiHidden/>
    <w:unhideWhenUsed/>
    <w:rsid w:val="005C70E9"/>
    <w:rPr>
      <w:b/>
      <w:bCs/>
    </w:rPr>
  </w:style>
  <w:style w:type="character" w:customStyle="1" w:styleId="CommentSubjectChar">
    <w:name w:val="Comment Subject Char"/>
    <w:basedOn w:val="CommentTextChar"/>
    <w:link w:val="CommentSubject"/>
    <w:uiPriority w:val="99"/>
    <w:semiHidden/>
    <w:rsid w:val="005C70E9"/>
    <w:rPr>
      <w:b/>
      <w:bCs/>
      <w:sz w:val="20"/>
      <w:szCs w:val="20"/>
    </w:rPr>
  </w:style>
  <w:style w:type="paragraph" w:styleId="BalloonText">
    <w:name w:val="Balloon Text"/>
    <w:basedOn w:val="Normal"/>
    <w:link w:val="BalloonTextChar"/>
    <w:uiPriority w:val="99"/>
    <w:semiHidden/>
    <w:unhideWhenUsed/>
    <w:rsid w:val="005C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E9"/>
    <w:rPr>
      <w:rFonts w:ascii="Segoe UI" w:hAnsi="Segoe UI" w:cs="Segoe UI"/>
      <w:sz w:val="18"/>
      <w:szCs w:val="18"/>
    </w:rPr>
  </w:style>
  <w:style w:type="table" w:styleId="TableGrid">
    <w:name w:val="Table Grid"/>
    <w:basedOn w:val="TableNormal"/>
    <w:uiPriority w:val="39"/>
    <w:rsid w:val="00B2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gure">
    <w:name w:val="figure"/>
    <w:basedOn w:val="DefaultParagraphFont"/>
    <w:rsid w:val="00C043F5"/>
  </w:style>
  <w:style w:type="character" w:styleId="Hyperlink">
    <w:name w:val="Hyperlink"/>
    <w:basedOn w:val="DefaultParagraphFont"/>
    <w:uiPriority w:val="99"/>
    <w:semiHidden/>
    <w:unhideWhenUsed/>
    <w:rsid w:val="00C043F5"/>
    <w:rPr>
      <w:color w:val="0000FF"/>
      <w:u w:val="single"/>
    </w:rPr>
  </w:style>
  <w:style w:type="paragraph" w:styleId="Revision">
    <w:name w:val="Revision"/>
    <w:hidden/>
    <w:uiPriority w:val="99"/>
    <w:semiHidden/>
    <w:rsid w:val="00C043F5"/>
    <w:pPr>
      <w:bidi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F6758-439F-40DA-9746-472CA492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11727</TotalTime>
  <Pages>16</Pages>
  <Words>12284</Words>
  <Characters>61420</Characters>
  <Application>Microsoft Office Word</Application>
  <DocSecurity>0</DocSecurity>
  <Lines>511</Lines>
  <Paragraphs>147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Matan Mazor</cp:lastModifiedBy>
  <cp:revision>34</cp:revision>
  <dcterms:created xsi:type="dcterms:W3CDTF">2018-05-18T13:09:00Z</dcterms:created>
  <dcterms:modified xsi:type="dcterms:W3CDTF">2018-08-07T11:18:00Z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c7700333-bcbe-3d2e-813f-73001d2b17ca</vt:lpwstr>
  </property>
</Properties>
</file>