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1876" w14:textId="77777777" w:rsidR="00984701" w:rsidRDefault="00984701" w:rsidP="00C537AF">
      <w:pPr>
        <w:pStyle w:val="Heading1"/>
        <w:bidi w:val="0"/>
        <w:spacing w:line="480" w:lineRule="auto"/>
      </w:pPr>
      <w:r>
        <w:t>Confidence in Detection and Discrimination: an fMRI Study</w:t>
      </w:r>
    </w:p>
    <w:p w14:paraId="3AA21878" w14:textId="77777777" w:rsidR="00984701" w:rsidRDefault="00984701" w:rsidP="00C537AF">
      <w:pPr>
        <w:pStyle w:val="Subtitle"/>
        <w:bidi w:val="0"/>
        <w:spacing w:line="480" w:lineRule="auto"/>
      </w:pPr>
      <w:r>
        <w:t>Matan Mazor, Karl J. Friston and Stephen M. Fleming</w:t>
      </w:r>
    </w:p>
    <w:p w14:paraId="779196DF" w14:textId="77777777" w:rsidR="00984701" w:rsidRDefault="00984701" w:rsidP="00C537AF">
      <w:pPr>
        <w:bidi w:val="0"/>
        <w:spacing w:line="480" w:lineRule="auto"/>
      </w:pPr>
    </w:p>
    <w:p w14:paraId="2755DCB4" w14:textId="77777777" w:rsidR="00984701" w:rsidRDefault="00984701" w:rsidP="00C537AF">
      <w:pPr>
        <w:pStyle w:val="Heading2"/>
        <w:bidi w:val="0"/>
        <w:spacing w:line="480" w:lineRule="auto"/>
      </w:pPr>
      <w:r>
        <w:t>Objective</w:t>
      </w:r>
    </w:p>
    <w:p w14:paraId="2400AA40" w14:textId="2305058E" w:rsidR="00F171D6" w:rsidRDefault="00771052" w:rsidP="00C537AF">
      <w:pPr>
        <w:bidi w:val="0"/>
        <w:spacing w:line="480" w:lineRule="auto"/>
      </w:pPr>
      <w:r>
        <w:t>T</w:t>
      </w:r>
      <w:r w:rsidR="00984701">
        <w:t>he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C537AF">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632A7285" w:rsidR="00765027" w:rsidRDefault="00E6595B" w:rsidP="00C537AF">
      <w:pPr>
        <w:bidi w:val="0"/>
        <w:spacing w:line="480" w:lineRule="auto"/>
      </w:pPr>
      <w:r>
        <w:t>It is still unknown what are the</w:t>
      </w:r>
      <w:r w:rsidR="00631FF1">
        <w:t xml:space="preserve"> brain mechanisms that give rise to these behavio</w:t>
      </w:r>
      <w:r>
        <w:t>ral differences</w:t>
      </w:r>
      <w:r w:rsidR="00631FF1">
        <w:t xml:space="preserve">. While </w:t>
      </w:r>
      <w:r w:rsidR="00F30126">
        <w:t xml:space="preserve">previous studies compared </w:t>
      </w:r>
      <w:r w:rsidR="00F4634B">
        <w:t xml:space="preserve">structural and functional correlates </w:t>
      </w:r>
      <w:r w:rsidR="00F30126">
        <w:t xml:space="preserve">for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great care was</w:t>
      </w:r>
      <w:r w:rsidR="00F4634B">
        <w:t xml:space="preserve"> taken to equate task requirements and avoid </w:t>
      </w:r>
      <w:r w:rsidR="00240F20">
        <w:t xml:space="preserve">the asymmetry inherent to </w:t>
      </w:r>
      <w:r w:rsidR="00F4634B">
        <w:t xml:space="preserve">true detection tasks. For example, instead of asking participants to perform 'old'/'new' recognition judgments, participants </w:t>
      </w:r>
      <w:r w:rsidR="00545B3B">
        <w:lastRenderedPageBreak/>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2372A934" w:rsidR="00E6595B" w:rsidRDefault="00E6595B" w:rsidP="00C537AF">
      <w:pPr>
        <w:bidi w:val="0"/>
        <w:spacing w:line="480" w:lineRule="auto"/>
      </w:pPr>
      <w:r>
        <w:t>Here we wish to compare detection and discrimination within the same low-level perceptual task</w:t>
      </w:r>
      <w:r w:rsidR="00C779BB">
        <w:t>, while controlling for task performance</w:t>
      </w:r>
      <w:r>
        <w:t>. The objectives of this study are:</w:t>
      </w:r>
    </w:p>
    <w:p w14:paraId="1ED59B8D" w14:textId="3AE4B102" w:rsidR="00E6595B" w:rsidRDefault="00F171D6" w:rsidP="00C537AF">
      <w:pPr>
        <w:pStyle w:val="ListParagraph"/>
        <w:numPr>
          <w:ilvl w:val="0"/>
          <w:numId w:val="3"/>
        </w:numPr>
        <w:bidi w:val="0"/>
        <w:spacing w:line="480" w:lineRule="auto"/>
      </w:pPr>
      <w:r>
        <w:t xml:space="preserve">Replicate previous findings of inter-subject correlations </w:t>
      </w:r>
      <w:r w:rsidR="00545B3B">
        <w:t>of</w:t>
      </w:r>
      <w:r>
        <w:t xml:space="preserve"> structural and functional properties of the lateral </w:t>
      </w:r>
      <w:r w:rsidR="00EB474F">
        <w:t>prefrontal cortex (lPF</w:t>
      </w:r>
      <w:r>
        <w:t>C</w:t>
      </w:r>
      <w:r w:rsidR="00EB474F">
        <w:t>)</w:t>
      </w:r>
      <w:r>
        <w:t xml:space="preserve"> </w:t>
      </w:r>
      <w:r w:rsidR="00545B3B">
        <w:t>with</w:t>
      </w:r>
      <w:r w:rsidR="00A62BB6">
        <w:t xml:space="preserve"> metacognitiv</w:t>
      </w:r>
      <w:r w:rsidR="00F457E4">
        <w:t xml:space="preserve">e sensitivity in discrimination </w:t>
      </w:r>
      <w:r w:rsidR="00F457E4">
        <w:fldChar w:fldCharType="begin" w:fldLock="1"/>
      </w:r>
      <w:r w:rsidR="005A4A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"(S.M. Fleming, Weil, Nagy, Dolan, &amp; Rees, 2009; Mccurdy et al., 2013; Yokoyama et al., 2010)", "manualFormatting" : "(Fleming et al., 2010; McCurdy et al., 2013; Yokoyama et al., 2010)", "plainTextFormattedCitation" : "(S.M. Fleming, Weil, Nagy, Dolan, &amp; Rees, 2009; Mccurdy et al., 2013; Yokoyama et al., 2010)", "previouslyFormattedCitation" : "(S.M. Fleming, Weil, Nagy, Dolan, &amp; Rees, 2009; Mccurdy et al., 2013; Yokoyama et al., 2010)" }, "properties" : {  }, "schema" : "https://github.com/citation-style-language/schema/raw/master/csl-citation.json" }</w:instrText>
      </w:r>
      <w:r w:rsidR="00F457E4">
        <w:fldChar w:fldCharType="separate"/>
      </w:r>
      <w:r w:rsidR="00F457E4" w:rsidRPr="00F457E4">
        <w:rPr>
          <w:noProof/>
        </w:rPr>
        <w:t>(Fleming et al., 20</w:t>
      </w:r>
      <w:r w:rsidR="00F457E4">
        <w:rPr>
          <w:noProof/>
        </w:rPr>
        <w:t>10</w:t>
      </w:r>
      <w:r w:rsidR="00F457E4" w:rsidRPr="00F457E4">
        <w:rPr>
          <w:noProof/>
        </w:rPr>
        <w:t>; Mc</w:t>
      </w:r>
      <w:r w:rsidR="00F457E4">
        <w:rPr>
          <w:noProof/>
        </w:rPr>
        <w:t>C</w:t>
      </w:r>
      <w:r w:rsidR="00F457E4" w:rsidRPr="00F457E4">
        <w:rPr>
          <w:noProof/>
        </w:rPr>
        <w:t>urdy et al., 2013; Yokoyama et al., 2010)</w:t>
      </w:r>
      <w:r w:rsidR="00F457E4">
        <w:fldChar w:fldCharType="end"/>
      </w:r>
      <w:r w:rsidR="00F457E4">
        <w:t>.</w:t>
      </w:r>
    </w:p>
    <w:p w14:paraId="03BD24D4" w14:textId="77777777" w:rsidR="00B53FC1" w:rsidRDefault="00B53FC1" w:rsidP="00C537AF">
      <w:pPr>
        <w:pStyle w:val="ListParagraph"/>
        <w:numPr>
          <w:ilvl w:val="0"/>
          <w:numId w:val="3"/>
        </w:numPr>
        <w:bidi w:val="0"/>
        <w:spacing w:line="480" w:lineRule="auto"/>
      </w:pPr>
      <w:commentRangeStart w:id="0"/>
      <w:r>
        <w:t xml:space="preserve">Find inter-subject functional and structural correlates of metacognitive sensitivity in detection. Specifically, we will be interested to see if any dissociations can be found between brain structures that predict metacognitive sensitivity in detection and in discrimination. </w:t>
      </w:r>
      <w:commentRangeEnd w:id="0"/>
      <w:r w:rsidR="00F849BF">
        <w:rPr>
          <w:rStyle w:val="CommentReference"/>
        </w:rPr>
        <w:commentReference w:id="0"/>
      </w:r>
    </w:p>
    <w:p w14:paraId="0A3A79C3" w14:textId="77777777" w:rsidR="00B53FC1" w:rsidRDefault="00B53FC1" w:rsidP="00C537AF">
      <w:pPr>
        <w:pStyle w:val="ListParagraph"/>
        <w:numPr>
          <w:ilvl w:val="0"/>
          <w:numId w:val="3"/>
        </w:numPr>
        <w:bidi w:val="0"/>
        <w:spacing w:line="480" w:lineRule="auto"/>
      </w:pPr>
      <w:r>
        <w:t xml:space="preserve">Replicate previous findings of </w:t>
      </w:r>
      <w:r w:rsidR="00811C3D">
        <w:t xml:space="preserve">general </w:t>
      </w:r>
      <w:r>
        <w:t xml:space="preserve">confidence signal in </w:t>
      </w:r>
      <w:r w:rsidR="00CD530A">
        <w:t xml:space="preserve">ventromedial prefrontal cortex </w:t>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77777777" w:rsidR="00811C3D" w:rsidRDefault="00985120" w:rsidP="00C537AF">
      <w:pPr>
        <w:pStyle w:val="ListParagraph"/>
        <w:numPr>
          <w:ilvl w:val="0"/>
          <w:numId w:val="3"/>
        </w:numPr>
        <w:bidi w:val="0"/>
        <w:spacing w:line="480" w:lineRule="auto"/>
      </w:pPr>
      <w:r>
        <w:t>Test</w:t>
      </w:r>
      <w:r w:rsidR="00811C3D">
        <w:t xml:space="preserve"> for </w:t>
      </w:r>
      <w:r>
        <w:t xml:space="preserve">an </w:t>
      </w:r>
      <w:r w:rsidR="00811C3D">
        <w:t>interaction between confidence level and task (detection/discrimination) in BOLD response, specifically in the prefrontal cortex.</w:t>
      </w:r>
    </w:p>
    <w:p w14:paraId="2EC47924" w14:textId="77777777" w:rsidR="00811C3D" w:rsidRDefault="00985120" w:rsidP="00C537AF">
      <w:pPr>
        <w:pStyle w:val="ListParagraph"/>
        <w:numPr>
          <w:ilvl w:val="0"/>
          <w:numId w:val="3"/>
        </w:numPr>
        <w:bidi w:val="0"/>
        <w:spacing w:line="480" w:lineRule="auto"/>
      </w:pPr>
      <w:r>
        <w:t xml:space="preserve">Within detection, test for an interaction between confidence level and response (yes/no) in BOLD response, specifically in the prefrontal cortex and in regions that have previously been associated with </w:t>
      </w:r>
      <w:commentRangeStart w:id="1"/>
      <w:r>
        <w:t xml:space="preserve">counterfactual reasoning </w:t>
      </w:r>
      <w:commentRangeEnd w:id="1"/>
      <w:r w:rsidR="00F849BF">
        <w:rPr>
          <w:rStyle w:val="CommentReference"/>
        </w:rPr>
        <w:commentReference w:id="1"/>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4268175F" w14:textId="0B5772DF" w:rsidR="00582853" w:rsidRPr="00984701" w:rsidRDefault="00582853" w:rsidP="00C537AF">
      <w:pPr>
        <w:pStyle w:val="ListParagraph"/>
        <w:numPr>
          <w:ilvl w:val="0"/>
          <w:numId w:val="3"/>
        </w:numPr>
        <w:bidi w:val="0"/>
        <w:spacing w:line="480" w:lineRule="auto"/>
      </w:pPr>
      <w:commentRangeStart w:id="2"/>
      <w:r>
        <w:lastRenderedPageBreak/>
        <w:t xml:space="preserve">Test for an interaction between task and within-subject fluctuations in metacognitive sensitivity. Specifically, test the hypothesis that the frontopolar cortex is more associated with fluctuations in metacognitive sensitivity in detection trials when the subject reported the target to be missing </w:t>
      </w:r>
      <w:r>
        <w:fldChar w:fldCharType="begin" w:fldLock="1"/>
      </w:r>
      <w:r w:rsidR="00EE575B">
        <w:instrText>ADDIN CSL_CITATION { "citationItems" : [ { "id" : "ITEM-1", "itemData" : { "DOI" : "10.1016/j.neuron.2017.12.040", "ISSN" : "1097-4199", "PMID" : "29395916", "abstract" : "Self-evaluation of one's own ignorance requires us to peer into our own mind retrospectively. Here, we found that only the bilateral frontopolar cortices (area 10) are recruited for metacognitive evaluation of non-experienced events in macaque monkeys performing metacognitive confidence judgment on memory under fMRI scanning and that targeted reversible inactivation of the localized spots in area 10 selectively impaired the confidence judgment of non-experienced events. In contrast, fMRI experiments revealed that area 10 was not recruited for metacognition of experienced events like the way that the dorsal prefrontal cortex (area 9) was and, correspondingly, the inactivation of area 10 did not impair confidence judgment of experienced events. Notably, this inactivation did not impair the ability to identify novel events by distinguishing from repetitive events. Our findings elucidate that the frontopolar cortex plays a causal role to confer not awareness of past experience in general but awareness of one's own ignorance.", "author" : [ { "dropping-particle" : "", "family" : "Miyamoto", "given" : "Kentaro", "non-dropping-particle" : "", "parse-names" : false, "suffix" : "" }, { "dropping-particle" : "", "family" : "Setsuie", "given" : "Rieko", "non-dropping-particle" : "", "parse-names" : false, "suffix" : "" }, { "dropping-particle" : "", "family" : "Osada", "given" : "Takahiro", "non-dropping-particle" : "", "parse-names" : false, "suffix" : "" }, { "dropping-particle" : "", "family" : "Miyashita", "given" : "Yasushi", "non-dropping-particle" : "", "parse-names" : false, "suffix" : "" } ], "container-title" : "Neuron", "id" : "ITEM-1", "issue" : "4", "issued" : { "date-parts" : [ [ "2018", "2", "21" ] ] }, "page" : "980-989.e6", "publisher" : "Elsevier", "title" : "Reversible Silencing of the Frontopolar Cortex Selectively Impairs Metacognitive Judgment on Non-experience in Primates.", "type" : "article-journal", "volume" : "97" }, "uris" : [ "http://www.mendeley.com/documents/?uuid=36fc932b-f921-307b-a670-8e3f5f7577e9" ] } ], "mendeley" : { "formattedCitation" : "(Miyamoto, Setsuie, Osada, &amp; Miyashita, 2018)", "plainTextFormattedCitation" : "(Miyamoto, Setsuie, Osada, &amp; Miyashita, 2018)", "previouslyFormattedCitation" : "(Miyamoto, Setsuie, Osada, &amp; Miyashita, 2018)" }, "properties" : {  }, "schema" : "https://github.com/citation-style-language/schema/raw/master/csl-citation.json" }</w:instrText>
      </w:r>
      <w:r>
        <w:fldChar w:fldCharType="separate"/>
      </w:r>
      <w:r w:rsidRPr="00582853">
        <w:rPr>
          <w:noProof/>
        </w:rPr>
        <w:t>(Miyamoto, Setsuie, Osada, &amp; Miyashita, 2018)</w:t>
      </w:r>
      <w:r>
        <w:fldChar w:fldCharType="end"/>
      </w:r>
      <w:commentRangeEnd w:id="2"/>
      <w:r w:rsidR="00F849BF">
        <w:rPr>
          <w:rStyle w:val="CommentReference"/>
        </w:rPr>
        <w:commentReference w:id="2"/>
      </w:r>
      <w:r>
        <w:t>.</w:t>
      </w:r>
    </w:p>
    <w:p w14:paraId="2E556FB4" w14:textId="77777777" w:rsidR="00984701" w:rsidRDefault="00984701" w:rsidP="00C537AF">
      <w:pPr>
        <w:pStyle w:val="Heading2"/>
        <w:bidi w:val="0"/>
        <w:spacing w:line="480" w:lineRule="auto"/>
      </w:pPr>
      <w:r>
        <w:t>Design</w:t>
      </w:r>
    </w:p>
    <w:p w14:paraId="1EAB1E37" w14:textId="6D9D5231" w:rsidR="00EB474F" w:rsidRDefault="00CB27CF" w:rsidP="00C537AF">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14ACEB7C" w:rsidR="008A122B" w:rsidRDefault="008A122B" w:rsidP="00C537AF">
      <w:pPr>
        <w:bidi w:val="0"/>
        <w:spacing w:line="480" w:lineRule="auto"/>
      </w:pPr>
      <w:r>
        <w:t>P</w:t>
      </w:r>
      <w:r w:rsidR="00034001">
        <w:t>articipants will be acquainted with the task</w:t>
      </w:r>
      <w:r>
        <w:t xml:space="preserve"> in a preceding behavioural session</w:t>
      </w:r>
      <w:r w:rsidR="00034001">
        <w:t>. During this session, task difficulty will be adjusted independently for detection and for discrimination using a standard 1-up 2-down staircase procedure</w:t>
      </w:r>
      <w:r w:rsidR="00E87693">
        <w:t>, targeting 71% correct responses on both tasks</w:t>
      </w:r>
      <w:r w:rsidR="00034001">
        <w:t xml:space="preserve"> </w:t>
      </w:r>
      <w:r w:rsidR="00034001">
        <w:fldChar w:fldCharType="begin" w:fldLock="1"/>
      </w:r>
      <w:r w:rsidR="005A4A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"(S.M. Fleming et al., 2009)", "manualFormatting" : "(Fleming et al., 2010)", "plainTextFormattedCitation" : "(S.M. Fleming et al., 2009)", "previouslyFormattedCitation" : "(S.M. Fleming et al., 2009)" }, "properties" : {  }, "schema" : "https://github.com/citation-style-language/schema/raw/master/csl-citation.json" }</w:instrText>
      </w:r>
      <w:r w:rsidR="00034001">
        <w:fldChar w:fldCharType="separate"/>
      </w:r>
      <w:r w:rsidR="00034001">
        <w:rPr>
          <w:noProof/>
        </w:rPr>
        <w:t>(Fleming et al., 2010</w:t>
      </w:r>
      <w:r w:rsidR="00034001" w:rsidRPr="00034001">
        <w:rPr>
          <w:noProof/>
        </w:rPr>
        <w:t>)</w:t>
      </w:r>
      <w:r w:rsidR="00034001">
        <w:fldChar w:fldCharType="end"/>
      </w:r>
      <w:r w:rsidR="00034001">
        <w:t xml:space="preserve">.  </w:t>
      </w:r>
    </w:p>
    <w:p w14:paraId="25B2E4F2" w14:textId="3F10AF1D" w:rsidR="00BF54ED" w:rsidRDefault="00BF54ED" w:rsidP="00C537AF">
      <w:pPr>
        <w:bidi w:val="0"/>
        <w:spacing w:line="480" w:lineRule="auto"/>
      </w:pPr>
      <w:r>
        <w:t xml:space="preserve">Participants will undergo </w:t>
      </w:r>
      <w:r w:rsidR="00F849BF">
        <w:t>5</w:t>
      </w:r>
      <w:r w:rsidR="0041227A">
        <w:t xml:space="preserve"> </w:t>
      </w:r>
      <w:r w:rsidR="008A122B">
        <w:t xml:space="preserve">functional </w:t>
      </w:r>
      <w:r>
        <w:t xml:space="preserve">scanner runs, </w:t>
      </w:r>
      <w:r w:rsidR="0041227A">
        <w:t>each</w:t>
      </w:r>
      <w:r>
        <w:t xml:space="preserve"> </w:t>
      </w:r>
      <w:r w:rsidR="00F849BF">
        <w:t>comprising of one detection and one discrimination b</w:t>
      </w:r>
      <w:r w:rsidR="00034001">
        <w:t>l</w:t>
      </w:r>
      <w:r w:rsidR="00F849BF">
        <w:t xml:space="preserve">ocks </w:t>
      </w:r>
      <w:r>
        <w:t xml:space="preserve">of </w:t>
      </w:r>
      <w:r w:rsidR="00F849BF">
        <w:t>40</w:t>
      </w:r>
      <w:r>
        <w:t xml:space="preserve"> trials</w:t>
      </w:r>
      <w:r w:rsidR="00F849BF">
        <w:t xml:space="preserve"> each</w:t>
      </w:r>
      <w:r w:rsidR="008A122B">
        <w:t>, in random order</w:t>
      </w:r>
      <w:r w:rsidR="0041227A">
        <w:t xml:space="preserve">. </w:t>
      </w:r>
      <w:r>
        <w:t xml:space="preserve">After a temporally jittered rest period of 500-4000 milliseconds, </w:t>
      </w:r>
      <w:r w:rsidR="0041227A">
        <w:t xml:space="preserve">the trial will begin with a cue fixation cross (500 milliseconds), followed by a </w:t>
      </w:r>
      <w:r w:rsidR="00E60937">
        <w:t>presentation of the 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a sinusoidal grating (2 cycles per degree</w:t>
      </w:r>
      <w:r w:rsidR="00E60937">
        <w:t>; oriented 45</w:t>
      </w:r>
      <w:r w:rsidR="00E60937" w:rsidRPr="00E60937">
        <w:t>°</w:t>
      </w:r>
      <w:r w:rsidR="00E60937">
        <w:t xml:space="preserve"> or -45</w:t>
      </w:r>
      <w:r w:rsidR="00E60937" w:rsidRPr="00E60937">
        <w:t>°)</w:t>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fingers to make a forced-choice perceptual decision about the orientation of the grating (discrimination </w:t>
      </w:r>
      <w:r w:rsidR="0041227A">
        <w:t>blocks</w:t>
      </w:r>
      <w:r w:rsidR="00E87693">
        <w:t xml:space="preserve">), or about the presence or absence of a grating (detection blocks).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w:t>
      </w:r>
      <w:r w:rsidR="00D62C94">
        <w:lastRenderedPageBreak/>
        <w:t xml:space="preserve">to </w:t>
      </w:r>
      <w:r w:rsidR="00494E95">
        <w:t>1500 and 2500 milliseconds, respectively.</w:t>
      </w:r>
      <w:r w:rsidR="00EE575B">
        <w:t xml:space="preserve"> No feedback will be delivered to subjects about their performance. </w:t>
      </w:r>
    </w:p>
    <w:p w14:paraId="5B05DDE5" w14:textId="77777777" w:rsidR="006B6F6B" w:rsidRDefault="006B6F6B" w:rsidP="00C537AF">
      <w:pPr>
        <w:keepNext/>
        <w:bidi w:val="0"/>
        <w:spacing w:line="480" w:lineRule="auto"/>
      </w:pPr>
      <w:r>
        <w:rPr>
          <w:noProof/>
          <w:lang w:val="en-GB" w:eastAsia="en-GB"/>
        </w:rPr>
        <w:drawing>
          <wp:inline distT="0" distB="0" distL="0" distR="0" wp14:anchorId="7AC93EEF" wp14:editId="0A9EC1A9">
            <wp:extent cx="4530387" cy="2966720"/>
            <wp:effectExtent l="0" t="0" r="381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0387" cy="2966720"/>
                    </a:xfrm>
                    <a:prstGeom prst="rect">
                      <a:avLst/>
                    </a:prstGeom>
                  </pic:spPr>
                </pic:pic>
              </a:graphicData>
            </a:graphic>
          </wp:inline>
        </w:drawing>
      </w:r>
    </w:p>
    <w:p w14:paraId="0B1E8D0F" w14:textId="7750241F" w:rsidR="006B6F6B" w:rsidRDefault="006B6F6B" w:rsidP="00C537AF">
      <w:pPr>
        <w:pStyle w:val="Caption"/>
        <w:bidi w:val="0"/>
        <w:spacing w:line="480" w:lineRule="auto"/>
      </w:pPr>
      <w:r>
        <w:t xml:space="preserve">Figure </w:t>
      </w:r>
      <w:r w:rsidR="001966D5">
        <w:fldChar w:fldCharType="begin"/>
      </w:r>
      <w:r w:rsidR="001966D5">
        <w:instrText xml:space="preserve"> SEQ Figure \* ARABIC </w:instrText>
      </w:r>
      <w:r w:rsidR="001966D5">
        <w:fldChar w:fldCharType="separate"/>
      </w:r>
      <w:r>
        <w:rPr>
          <w:noProof/>
        </w:rPr>
        <w:t>1</w:t>
      </w:r>
      <w:r w:rsidR="001966D5">
        <w:rPr>
          <w:noProof/>
        </w:rPr>
        <w:fldChar w:fldCharType="end"/>
      </w:r>
      <w:r>
        <w:rPr>
          <w:noProof/>
        </w:rPr>
        <w:t>: Experimental design for discrimination and for detection trials.</w:t>
      </w:r>
      <w:r w:rsidR="00951D0E">
        <w:t xml:space="preserve"> Perceptual decisions are reported using the right index and middle fingers, and confidence ratings are reported using the left thumb. Confidence rating will be given by varying the size and color of a circle, with 6 options from small and red to big and blue. For half of the subjects, high confidence will be mapped to the small, red circle. For the other half, high confidence will be mapped to the big, blue circle. </w:t>
      </w:r>
      <w:r w:rsidR="00931F52">
        <w:t>The initial size and color of the circle will be determined randomly at the beginning of the confidence rating phase, to make the number of button presses independent from the final confidence rating.</w:t>
      </w:r>
    </w:p>
    <w:p w14:paraId="2E163D62" w14:textId="77777777" w:rsidR="006B6F6B" w:rsidRDefault="006B6F6B" w:rsidP="00C537AF">
      <w:pPr>
        <w:bidi w:val="0"/>
        <w:spacing w:line="480" w:lineRule="auto"/>
      </w:pPr>
    </w:p>
    <w:p w14:paraId="263DB6A3" w14:textId="32D1F821" w:rsidR="00BF54ED" w:rsidRDefault="00E57C5B" w:rsidP="00C537AF">
      <w:pPr>
        <w:pStyle w:val="Heading2"/>
        <w:bidi w:val="0"/>
        <w:spacing w:line="480" w:lineRule="auto"/>
      </w:pPr>
      <w:r>
        <w:t>Scanning Parameters</w:t>
      </w:r>
    </w:p>
    <w:p w14:paraId="6C17586D" w14:textId="3183BAE1" w:rsidR="00F32E95" w:rsidRDefault="00931F52" w:rsidP="00C537AF">
      <w:pPr>
        <w:bidi w:val="0"/>
        <w:spacing w:line="480" w:lineRule="auto"/>
      </w:pPr>
      <w:r>
        <w:t xml:space="preserve">Scanning will take place at the Wellcome Centre for Human Neuroimaging, London. </w:t>
      </w:r>
      <w:r w:rsidR="00F32E95">
        <w:t xml:space="preserve">We will use a Siemens Prisma MRI scanner </w:t>
      </w:r>
      <w:r>
        <w:t xml:space="preserve">with a 32-channel head coil. </w:t>
      </w:r>
    </w:p>
    <w:p w14:paraId="4EE18904" w14:textId="190EE937" w:rsidR="00F32E95" w:rsidRDefault="00F32E95" w:rsidP="00C537AF">
      <w:pPr>
        <w:bidi w:val="0"/>
        <w:spacing w:line="480" w:lineRule="auto"/>
      </w:pPr>
      <w:r>
        <w:t xml:space="preserve">We will acquire structural </w:t>
      </w:r>
      <w:r w:rsidR="00110463">
        <w:t>images</w:t>
      </w:r>
      <w:r>
        <w:t xml:space="preserve"> using </w:t>
      </w:r>
      <w:r w:rsidR="00110463">
        <w:t>an</w:t>
      </w:r>
      <w:r>
        <w:t xml:space="preserve"> MP </w:t>
      </w:r>
      <w:r w:rsidR="00110463">
        <w:t>RAGE sequence.</w:t>
      </w:r>
    </w:p>
    <w:p w14:paraId="62A4EF0E" w14:textId="09BEFBF0" w:rsidR="00110463" w:rsidRPr="00E57C5B" w:rsidRDefault="00110463" w:rsidP="00C537AF">
      <w:pPr>
        <w:bidi w:val="0"/>
        <w:spacing w:line="480" w:lineRule="auto"/>
      </w:pPr>
      <w:r>
        <w:lastRenderedPageBreak/>
        <w:t xml:space="preserve">Functional scans will be acquired using </w:t>
      </w:r>
      <w:r w:rsidR="00931F52">
        <w:t>a</w:t>
      </w:r>
      <w:r>
        <w:t xml:space="preserve"> 2D EPI sequence, optimized for regions near the orbito-frontal cortex (3.0x3.0x3.0mm voxels, TR=3.36 seconds, TE = 30 ms, 48 slices tilted by -30 degrees with respect to the T&gt;C axis, matrix size = 64x72, Z-shim=-1.4). </w:t>
      </w:r>
    </w:p>
    <w:p w14:paraId="2894637B" w14:textId="77777777" w:rsidR="00D62C94" w:rsidRDefault="00984701" w:rsidP="00C537AF">
      <w:pPr>
        <w:pStyle w:val="Heading2"/>
        <w:bidi w:val="0"/>
        <w:spacing w:line="480" w:lineRule="auto"/>
      </w:pPr>
      <w:r>
        <w:t>Analysis</w:t>
      </w:r>
    </w:p>
    <w:p w14:paraId="5FB93E79" w14:textId="77777777" w:rsidR="00D62C94" w:rsidRPr="00D62C94" w:rsidRDefault="00705092" w:rsidP="00C537AF">
      <w:pPr>
        <w:pStyle w:val="Heading3"/>
        <w:bidi w:val="0"/>
        <w:spacing w:line="480" w:lineRule="auto"/>
      </w:pPr>
      <w:r>
        <w:t>fMRI data p</w:t>
      </w:r>
      <w:r w:rsidR="00D62C94">
        <w:t>reprocessing</w:t>
      </w:r>
    </w:p>
    <w:p w14:paraId="609E8B29" w14:textId="77777777" w:rsidR="00705092" w:rsidRDefault="00EE575B" w:rsidP="00C537AF">
      <w:pPr>
        <w:bidi w:val="0"/>
        <w:spacing w:line="480" w:lineRule="auto"/>
      </w:pPr>
      <w:r>
        <w:t>Data preprocessing will follow the procedure described in</w:t>
      </w:r>
      <w:r w:rsidR="00705092">
        <w:t xml:space="preserve"> Morales and colleagues (2018): </w:t>
      </w:r>
    </w:p>
    <w:p w14:paraId="3D4D909E" w14:textId="3D48FAE7" w:rsidR="00705092" w:rsidRPr="00924956" w:rsidRDefault="00705092" w:rsidP="00C537AF">
      <w:pPr>
        <w:bidi w:val="0"/>
        <w:spacing w:line="480" w:lineRule="auto"/>
        <w:ind w:left="720"/>
        <w:rPr>
          <w:i/>
          <w:iCs/>
        </w:rPr>
      </w:pPr>
      <w:r w:rsidRPr="00924956">
        <w:rPr>
          <w:i/>
          <w:iCs/>
        </w:rPr>
        <w:t>Imaging analysis was performed using SPM12 (Statistical Parametric Mapping; www.fil.ion.ucl.ac.uk/spm). The first five volumes of each run were discarded to allow for T1 stabilization. Functional images were realigned and unwarped using local field maps (Andersson et al., 2001) and then slice-time corrected (Sladky et al., 2011). Each participant’s structural image was segmented into gray matter, white matter, CSF, bone, soft tissue, and air/background images using a nonlinear deformation field to map it onto template tissue probability maps (Ashburner and Friston, 2005). This mapping was applied to both structural and functional images to create normalized images to Montreal Neurological Institute (MNI) space. Normalized images were spatially smoothed using a Gaussian kernel (</w:t>
      </w:r>
      <w:r w:rsidR="009A3027">
        <w:rPr>
          <w:i/>
          <w:iCs/>
        </w:rPr>
        <w:t>6</w:t>
      </w:r>
      <w:commentRangeStart w:id="3"/>
      <w:r w:rsidRPr="00924956">
        <w:rPr>
          <w:i/>
          <w:iCs/>
        </w:rPr>
        <w:t xml:space="preserve"> mm FWHM</w:t>
      </w:r>
      <w:commentRangeEnd w:id="3"/>
      <w:r w:rsidR="001F31F5">
        <w:rPr>
          <w:rStyle w:val="CommentReference"/>
        </w:rPr>
        <w:commentReference w:id="3"/>
      </w:r>
      <w:r w:rsidRPr="00924956">
        <w:rPr>
          <w:i/>
          <w:iCs/>
        </w:rPr>
        <w:t>). We set a within-run 1 mm rotation and 4 mm affine motion cutoff criterion</w:t>
      </w:r>
      <w:r w:rsidR="009A3027">
        <w:rPr>
          <w:i/>
          <w:iCs/>
        </w:rPr>
        <w:t>.</w:t>
      </w:r>
      <w:r w:rsidR="00E57C5B">
        <w:rPr>
          <w:i/>
          <w:iCs/>
        </w:rPr>
        <w:t xml:space="preserve"> </w:t>
      </w:r>
    </w:p>
    <w:p w14:paraId="40696E03" w14:textId="27AE46AE" w:rsidR="00872BC5" w:rsidRDefault="00872BC5" w:rsidP="00C537AF">
      <w:pPr>
        <w:pStyle w:val="Heading3"/>
        <w:bidi w:val="0"/>
        <w:spacing w:line="480" w:lineRule="auto"/>
      </w:pPr>
      <w:r>
        <w:t>Exclusion Criteria</w:t>
      </w:r>
    </w:p>
    <w:p w14:paraId="6AC6222E" w14:textId="71F610ED" w:rsidR="00872BC5" w:rsidRDefault="00872BC5" w:rsidP="00C537AF">
      <w:pPr>
        <w:pStyle w:val="Heading4"/>
        <w:bidi w:val="0"/>
        <w:spacing w:line="480" w:lineRule="auto"/>
      </w:pPr>
      <w:r>
        <w:t>Subject exclusion</w:t>
      </w:r>
    </w:p>
    <w:p w14:paraId="535E8D74" w14:textId="669E0032" w:rsidR="00872BC5" w:rsidRDefault="00872BC5" w:rsidP="00C537AF">
      <w:pPr>
        <w:bidi w:val="0"/>
        <w:spacing w:line="480" w:lineRule="auto"/>
      </w:pPr>
      <w:r>
        <w:t xml:space="preserve">Subjects will be excluded from </w:t>
      </w:r>
      <w:r w:rsidR="004B502F">
        <w:t xml:space="preserve">all </w:t>
      </w:r>
      <w:r>
        <w:t>analys</w:t>
      </w:r>
      <w:r w:rsidR="004B502F">
        <w:t>e</w:t>
      </w:r>
      <w:r>
        <w:t>s in the following cases:</w:t>
      </w:r>
    </w:p>
    <w:p w14:paraId="5E90C638" w14:textId="00FE9427" w:rsidR="004B502F" w:rsidRDefault="004B502F" w:rsidP="00C537AF">
      <w:pPr>
        <w:pStyle w:val="ListParagraph"/>
        <w:numPr>
          <w:ilvl w:val="0"/>
          <w:numId w:val="17"/>
        </w:numPr>
        <w:bidi w:val="0"/>
        <w:spacing w:line="480" w:lineRule="auto"/>
      </w:pPr>
      <w:r>
        <w:t>They missed more than 20% of the trials.</w:t>
      </w:r>
    </w:p>
    <w:p w14:paraId="41864441" w14:textId="4EA30421" w:rsidR="004B502F" w:rsidRDefault="004B502F" w:rsidP="00C537AF">
      <w:pPr>
        <w:pStyle w:val="ListParagraph"/>
        <w:numPr>
          <w:ilvl w:val="0"/>
          <w:numId w:val="17"/>
        </w:numPr>
        <w:bidi w:val="0"/>
        <w:spacing w:line="480" w:lineRule="auto"/>
      </w:pPr>
      <w:r>
        <w:t>Their mean accuracy in one of the tasks was lower than 60%.</w:t>
      </w:r>
    </w:p>
    <w:p w14:paraId="373DD6BF" w14:textId="7F7AA7A4" w:rsidR="004B502F" w:rsidRDefault="004B502F" w:rsidP="00C537AF">
      <w:pPr>
        <w:pStyle w:val="ListParagraph"/>
        <w:numPr>
          <w:ilvl w:val="0"/>
          <w:numId w:val="17"/>
        </w:numPr>
        <w:bidi w:val="0"/>
        <w:spacing w:line="480" w:lineRule="auto"/>
      </w:pPr>
      <w:r>
        <w:t>They exceeded the head motion cutoff criterion</w:t>
      </w:r>
      <w:r w:rsidR="00C537AF">
        <w:t xml:space="preserve"> in more than 1 experimental runs</w:t>
      </w:r>
      <w:r>
        <w:t>.</w:t>
      </w:r>
    </w:p>
    <w:p w14:paraId="6916B85C" w14:textId="145D32B5" w:rsidR="004B502F" w:rsidRDefault="004B502F" w:rsidP="00C537AF">
      <w:pPr>
        <w:pStyle w:val="ListParagraph"/>
        <w:numPr>
          <w:ilvl w:val="0"/>
          <w:numId w:val="17"/>
        </w:numPr>
        <w:bidi w:val="0"/>
        <w:spacing w:line="480" w:lineRule="auto"/>
      </w:pPr>
      <w:r>
        <w:lastRenderedPageBreak/>
        <w:t>They were heavily biased toward a particular response in one of the tasks, i.e., used the same response in more than 75% of the trials.</w:t>
      </w:r>
    </w:p>
    <w:p w14:paraId="566EF849" w14:textId="07B1881F" w:rsidR="004B502F" w:rsidRDefault="004B502F" w:rsidP="00C537AF">
      <w:pPr>
        <w:bidi w:val="0"/>
        <w:spacing w:line="480" w:lineRule="auto"/>
      </w:pPr>
      <w:r>
        <w:t xml:space="preserve">Subjects will be excluded from any </w:t>
      </w:r>
      <w:r w:rsidR="001966D5">
        <w:t>confidence-based analysis</w:t>
      </w:r>
      <w:r>
        <w:t xml:space="preserve"> in the following cases:</w:t>
      </w:r>
    </w:p>
    <w:p w14:paraId="186F4A6C" w14:textId="492BFEC1" w:rsidR="00872BC5" w:rsidRDefault="00872BC5" w:rsidP="00C537AF">
      <w:pPr>
        <w:pStyle w:val="ListParagraph"/>
        <w:numPr>
          <w:ilvl w:val="0"/>
          <w:numId w:val="17"/>
        </w:numPr>
        <w:bidi w:val="0"/>
        <w:spacing w:line="480" w:lineRule="auto"/>
      </w:pPr>
      <w:r>
        <w:t xml:space="preserve">They used </w:t>
      </w:r>
      <w:r w:rsidR="004B502F">
        <w:t>the same</w:t>
      </w:r>
      <w:r>
        <w:t xml:space="preserve"> confidence level for more than 80% of all trials.</w:t>
      </w:r>
    </w:p>
    <w:p w14:paraId="3DEE7A63" w14:textId="40BFD0D9" w:rsidR="00872BC5" w:rsidRDefault="004B502F" w:rsidP="00C537AF">
      <w:pPr>
        <w:pStyle w:val="ListParagraph"/>
        <w:numPr>
          <w:ilvl w:val="0"/>
          <w:numId w:val="17"/>
        </w:numPr>
        <w:bidi w:val="0"/>
        <w:spacing w:line="480" w:lineRule="auto"/>
      </w:pPr>
      <w:r>
        <w:t>For a particular response, t</w:t>
      </w:r>
      <w:r w:rsidR="00872BC5">
        <w:t xml:space="preserve">hey used </w:t>
      </w:r>
      <w:r>
        <w:t>the same</w:t>
      </w:r>
      <w:r w:rsidR="00872BC5">
        <w:t xml:space="preserve"> confidence level for more than </w:t>
      </w:r>
      <w:r>
        <w:t>80% of the trials.</w:t>
      </w:r>
    </w:p>
    <w:p w14:paraId="19BBE888" w14:textId="55086341" w:rsidR="001966D5" w:rsidRDefault="001966D5" w:rsidP="00C537AF">
      <w:pPr>
        <w:pStyle w:val="Heading4"/>
        <w:bidi w:val="0"/>
        <w:spacing w:line="480" w:lineRule="auto"/>
      </w:pPr>
      <w:r>
        <w:t>Run exclusion</w:t>
      </w:r>
    </w:p>
    <w:p w14:paraId="3DD4A24F" w14:textId="53CBBB71" w:rsidR="001966D5" w:rsidRDefault="00C537AF" w:rsidP="00C537AF">
      <w:pPr>
        <w:bidi w:val="0"/>
        <w:spacing w:line="480" w:lineRule="auto"/>
      </w:pPr>
      <w:r>
        <w:t>Individual e</w:t>
      </w:r>
      <w:r w:rsidR="001966D5">
        <w:t>xperimental runs will not be analyses in the following cases:</w:t>
      </w:r>
    </w:p>
    <w:p w14:paraId="68EBD6C1" w14:textId="7DD48F4F" w:rsidR="001966D5" w:rsidRDefault="001966D5" w:rsidP="00C537AF">
      <w:pPr>
        <w:pStyle w:val="ListParagraph"/>
        <w:numPr>
          <w:ilvl w:val="0"/>
          <w:numId w:val="18"/>
        </w:numPr>
        <w:bidi w:val="0"/>
        <w:spacing w:line="480" w:lineRule="auto"/>
      </w:pPr>
      <w:r>
        <w:t>More than 20% of the trials in the run were missed.</w:t>
      </w:r>
    </w:p>
    <w:p w14:paraId="3A9AA419" w14:textId="4FD2A566" w:rsidR="001966D5" w:rsidRDefault="001966D5" w:rsidP="00C537AF">
      <w:pPr>
        <w:pStyle w:val="ListParagraph"/>
        <w:numPr>
          <w:ilvl w:val="0"/>
          <w:numId w:val="18"/>
        </w:numPr>
        <w:bidi w:val="0"/>
        <w:spacing w:line="480" w:lineRule="auto"/>
      </w:pPr>
      <w:r>
        <w:t>Mean accuracy in one of the tasks was lower than 60%.</w:t>
      </w:r>
    </w:p>
    <w:p w14:paraId="599621D5" w14:textId="49E2CE85" w:rsidR="001966D5" w:rsidRDefault="001966D5" w:rsidP="00C537AF">
      <w:pPr>
        <w:pStyle w:val="ListParagraph"/>
        <w:numPr>
          <w:ilvl w:val="0"/>
          <w:numId w:val="18"/>
        </w:numPr>
        <w:bidi w:val="0"/>
        <w:spacing w:line="480" w:lineRule="auto"/>
      </w:pPr>
      <w:r>
        <w:t>H</w:t>
      </w:r>
      <w:r w:rsidR="00C537AF">
        <w:t>e</w:t>
      </w:r>
      <w:r>
        <w:t>ad motion cutoff criterion was exceeded.</w:t>
      </w:r>
    </w:p>
    <w:p w14:paraId="6F9CBE8B" w14:textId="18B8EE1C" w:rsidR="001966D5" w:rsidRDefault="001966D5" w:rsidP="00C537AF">
      <w:pPr>
        <w:pStyle w:val="ListParagraph"/>
        <w:numPr>
          <w:ilvl w:val="0"/>
          <w:numId w:val="18"/>
        </w:numPr>
        <w:bidi w:val="0"/>
        <w:spacing w:line="480" w:lineRule="auto"/>
      </w:pPr>
      <w:r>
        <w:t>There was a heavy bias toward one response in one of the tasks, i.e., the participant used the same response in more than 75% of the trials.</w:t>
      </w:r>
    </w:p>
    <w:p w14:paraId="72A0C27A" w14:textId="77777777" w:rsidR="001966D5" w:rsidRDefault="001966D5" w:rsidP="00C537AF">
      <w:pPr>
        <w:bidi w:val="0"/>
        <w:spacing w:line="480" w:lineRule="auto"/>
      </w:pPr>
      <w:r>
        <w:t>Experimental runs will not be used for confidence analysis if:</w:t>
      </w:r>
    </w:p>
    <w:p w14:paraId="179A1E47" w14:textId="1AFCCE54" w:rsidR="001966D5" w:rsidRDefault="001966D5" w:rsidP="00C537AF">
      <w:pPr>
        <w:pStyle w:val="ListParagraph"/>
        <w:numPr>
          <w:ilvl w:val="0"/>
          <w:numId w:val="19"/>
        </w:numPr>
        <w:bidi w:val="0"/>
        <w:spacing w:line="480" w:lineRule="auto"/>
      </w:pPr>
      <w:r>
        <w:t>The same confidence level was used for more than 80% of all trials.</w:t>
      </w:r>
    </w:p>
    <w:p w14:paraId="148C642D" w14:textId="5D62933D" w:rsidR="001966D5" w:rsidRDefault="001966D5" w:rsidP="00C537AF">
      <w:pPr>
        <w:pStyle w:val="ListParagraph"/>
        <w:numPr>
          <w:ilvl w:val="0"/>
          <w:numId w:val="19"/>
        </w:numPr>
        <w:bidi w:val="0"/>
        <w:spacing w:line="480" w:lineRule="auto"/>
      </w:pPr>
      <w:r>
        <w:t>For a particular response, the same confidence level was reported for more than 80% of the trials.</w:t>
      </w:r>
    </w:p>
    <w:p w14:paraId="46733B4E" w14:textId="77777777" w:rsidR="001966D5" w:rsidRPr="001966D5" w:rsidRDefault="001966D5" w:rsidP="00C537AF">
      <w:pPr>
        <w:bidi w:val="0"/>
        <w:spacing w:line="480" w:lineRule="auto"/>
      </w:pPr>
    </w:p>
    <w:p w14:paraId="67AA4289" w14:textId="033C6E8B" w:rsidR="00114EE6" w:rsidRDefault="00114EE6" w:rsidP="00C537AF">
      <w:pPr>
        <w:pStyle w:val="Heading3"/>
        <w:bidi w:val="0"/>
        <w:spacing w:line="480" w:lineRule="auto"/>
      </w:pPr>
      <w:r>
        <w:t>Regions of Interest</w:t>
      </w:r>
    </w:p>
    <w:p w14:paraId="43DAF5C3" w14:textId="58A53007" w:rsidR="00114EE6" w:rsidRDefault="00114EE6" w:rsidP="00C537AF">
      <w:pPr>
        <w:bidi w:val="0"/>
        <w:spacing w:line="480" w:lineRule="auto"/>
      </w:pPr>
      <w:r>
        <w:t xml:space="preserve">In addition to an exploratory whole-brain analysis </w:t>
      </w:r>
      <w:r w:rsidR="00764333">
        <w:t>(</w:t>
      </w:r>
      <w:r>
        <w:t>corrected for multiple comparisons at the cluster level</w:t>
      </w:r>
      <w:r w:rsidR="00764333">
        <w:t>)</w:t>
      </w:r>
      <w:r>
        <w:t xml:space="preserve">, our analysis will focus on the following </w:t>
      </w:r>
      <w:r>
        <w:rPr>
          <w:i/>
          <w:iCs/>
        </w:rPr>
        <w:t xml:space="preserve">a priori </w:t>
      </w:r>
      <w:r>
        <w:t>regions of interest</w:t>
      </w:r>
      <w:r w:rsidR="00DD39A4">
        <w:t xml:space="preserve">, largely following the ROIs used </w:t>
      </w:r>
      <w:r w:rsidR="00764333">
        <w:t>at</w:t>
      </w:r>
      <w:r w:rsidR="00DD39A4">
        <w:t xml:space="preserve"> </w:t>
      </w:r>
      <w:r w:rsidR="005A4A5C">
        <w:fldChar w:fldCharType="begin" w:fldLock="1"/>
      </w:r>
      <w:r w:rsidR="005A4A5C">
        <w:instrText>ADDIN CSL_CITATION { "citationItems" : [ { "id" : "ITEM-1", "itemData" : { "DOI" : "10.1038/s41593-018-0104-6", "ISSN" : "1097-6256", "abstract" : "Changing one\u2019s mind on the basis of new evidence is a hallmark of cognitive flexibility. To revise our confidence in a previous decision, we should use new evidence to update beliefs about choice accuracy. How this process unfolds in the human brain, however, remains unknown. Here we manipulated whether additional sensory evidence supports or negates a previous motion direction discrimination judgment while recording markers of neural activity in the human brain using fMRI. A signature of post-decision evidence (change in log-odds correct) was selectively observed in the activity of posterior medial frontal cortex. In contrast, distinct activity profiles in anterior prefrontal cortex mediated the impact of post-decision evidence on subjective confidence, independently of changes in decision value. Together our findings reveal candidate neural mediators of post-decisional changes of mind in the human brain and indicate possible targets for ameliorating deficits in cognitive flexibility.", "author" : [ { "dropping-particle" : "", "family" : "Fleming", "given" : "Stephen M.", "non-dropping-particle" : "", "parse-names" : false, "suffix" : "" }, { "dropping-particle" : "", "family" : "Putten", "given" : "Elisabeth J.", "non-dropping-particle" : "van der", "parse-names" : false, "suffix" : "" }, { "dropping-particle" : "", "family" : "Daw", "given" : "Nathaniel D.", "non-dropping-particle" : "", "parse-names" : false, "suffix" : "" } ], "container-title" : "Nature Neuroscience", "id" : "ITEM-1", "issue" : "4", "issued" : { "date-parts" : [ [ "2018", "4", "12" ] ] }, "page" : "617-624", "publisher" : "Nature Publishing Group", "title" : "Neural mediators of changes of mind about perceptual decisions", "type" : "article-journal", "volume" : "21" }, "uris" : [ "http://www.mendeley.com/documents/?uuid=ea2dffaf-0b80-3217-9d84-18b3015fa26c" ] } ], "mendeley" : { "formattedCitation" : "(Stephen M. Fleming, van der Putten, &amp; Daw, 2018)", "manualFormatting" : "Stephen M. Fleming, van der Putten, &amp; Daw, 2018", "plainTextFormattedCitation" : "(Stephen M. Fleming, van der Putten, &amp; Daw, 2018)", "previouslyFormattedCitation" : "(Stephen M. Fleming, van der Putten, &amp; Daw, 2018)" }, "properties" : {  }, "schema" : "https://github.com/citation-style-language/schema/raw/master/csl-citation.json" }</w:instrText>
      </w:r>
      <w:r w:rsidR="005A4A5C">
        <w:fldChar w:fldCharType="separate"/>
      </w:r>
      <w:r w:rsidR="005A4A5C" w:rsidRPr="005A4A5C">
        <w:rPr>
          <w:noProof/>
        </w:rPr>
        <w:t>Stephen M. Fleming, van der Putten, &amp; Daw, 2018</w:t>
      </w:r>
      <w:r w:rsidR="005A4A5C">
        <w:fldChar w:fldCharType="end"/>
      </w:r>
      <w:r>
        <w:t>:</w:t>
      </w:r>
    </w:p>
    <w:p w14:paraId="42DD95EC" w14:textId="743DB9B2" w:rsidR="00114EE6" w:rsidRDefault="005A4A5C" w:rsidP="00C537AF">
      <w:pPr>
        <w:pStyle w:val="ListParagraph"/>
        <w:numPr>
          <w:ilvl w:val="0"/>
          <w:numId w:val="16"/>
        </w:numPr>
        <w:bidi w:val="0"/>
        <w:spacing w:line="480" w:lineRule="auto"/>
      </w:pPr>
      <w:r>
        <w:rPr>
          <w:i/>
          <w:iCs/>
        </w:rPr>
        <w:lastRenderedPageBreak/>
        <w:t>F</w:t>
      </w:r>
      <w:r w:rsidR="00114EE6" w:rsidRPr="00C406DA">
        <w:rPr>
          <w:i/>
          <w:iCs/>
        </w:rPr>
        <w:t>rontopolar cortex</w:t>
      </w:r>
      <w:r w:rsidR="00114EE6">
        <w:t xml:space="preserve"> (</w:t>
      </w:r>
      <w:r w:rsidR="00C406DA">
        <w:t xml:space="preserve">FPC, </w:t>
      </w:r>
      <w:r w:rsidR="00114EE6">
        <w:t xml:space="preserve">defined anatomically). We will use a connectivity based parcellation </w:t>
      </w:r>
      <w:r w:rsidR="00114EE6">
        <w:fldChar w:fldCharType="begin" w:fldLock="1"/>
      </w:r>
      <w:r w:rsidR="00114EE6">
        <w:instrText>ADDIN CSL_CITATION { "citationItems" : [ { "id" : "ITEM-1",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"ITEM-1",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"(Neubert et al., 2014)", "plainTextFormattedCitation" : "(Neubert et al., 2014)", "previouslyFormattedCitation" : "(Neubert et al., 2014)" }, "properties" : {  }, "schema" : "https://github.com/citation-style-language/schema/raw/master/csl-citation.json" }</w:instrText>
      </w:r>
      <w:r w:rsidR="00114EE6">
        <w:fldChar w:fldCharType="separate"/>
      </w:r>
      <w:r w:rsidR="00114EE6" w:rsidRPr="00114EE6">
        <w:rPr>
          <w:noProof/>
        </w:rPr>
        <w:t>(Neubert et al., 2014)</w:t>
      </w:r>
      <w:r w:rsidR="00114EE6">
        <w:fldChar w:fldCharType="end"/>
      </w:r>
      <w:r w:rsidR="00114EE6">
        <w:t xml:space="preserve"> to define a general FPC region of interest as the </w:t>
      </w:r>
      <w:r w:rsidR="003E2375">
        <w:t>total area spanned by</w:t>
      </w:r>
      <w:r w:rsidR="00114EE6">
        <w:t xml:space="preserve"> areas FPl,</w:t>
      </w:r>
      <w:r w:rsidR="00102D86">
        <w:t xml:space="preserve"> </w:t>
      </w:r>
      <w:r w:rsidR="00114EE6">
        <w:t xml:space="preserve"> FPm and BA46.</w:t>
      </w:r>
      <w:r w:rsidR="003E2573">
        <w:t xml:space="preserve"> The right hemisphere mask will be mirrored to create a bilateral mask. </w:t>
      </w:r>
    </w:p>
    <w:p w14:paraId="25D33FDF" w14:textId="51BCEAD1" w:rsidR="00C406DA" w:rsidRDefault="005A4A5C" w:rsidP="00C537AF">
      <w:pPr>
        <w:pStyle w:val="ListParagraph"/>
        <w:numPr>
          <w:ilvl w:val="0"/>
          <w:numId w:val="16"/>
        </w:numPr>
        <w:bidi w:val="0"/>
        <w:spacing w:line="480" w:lineRule="auto"/>
        <w:rPr>
          <w:i/>
          <w:iCs/>
        </w:rPr>
      </w:pPr>
      <w:r>
        <w:rPr>
          <w:i/>
          <w:iCs/>
        </w:rPr>
        <w:t>V</w:t>
      </w:r>
      <w:r w:rsidR="00C406DA" w:rsidRPr="00C406DA">
        <w:rPr>
          <w:i/>
          <w:iCs/>
        </w:rPr>
        <w:t>entromedial prefrontal cortex</w:t>
      </w:r>
      <w:r w:rsidR="00C406DA">
        <w:rPr>
          <w:i/>
          <w:iCs/>
        </w:rPr>
        <w:t xml:space="preserve"> </w:t>
      </w:r>
      <w:r w:rsidR="00C406DA">
        <w:t>(vmPFC</w:t>
      </w:r>
      <w:r w:rsidR="003E2573">
        <w:t xml:space="preserve">). The vmPFC ROI will be defined as a </w:t>
      </w:r>
      <w:commentRangeStart w:id="4"/>
      <w:r w:rsidR="003E2573">
        <w:t xml:space="preserve">8-mm sphere </w:t>
      </w:r>
      <w:commentRangeEnd w:id="4"/>
      <w:r w:rsidR="003E2573">
        <w:rPr>
          <w:rStyle w:val="CommentReference"/>
        </w:rPr>
        <w:commentReference w:id="4"/>
      </w:r>
      <w:r w:rsidR="003E2573">
        <w:t>around MNI coordinate</w:t>
      </w:r>
      <w:r>
        <w:t>s</w:t>
      </w:r>
      <w:r w:rsidR="003E2573">
        <w:t xml:space="preserve"> [0,46,-7], </w:t>
      </w:r>
      <w:r>
        <w:t>obtained</w:t>
      </w:r>
      <w:r w:rsidR="003E2573">
        <w:t xml:space="preserve"> from a meta-analysis of subjective-value related activations </w:t>
      </w:r>
      <w:r w:rsidR="003E2573">
        <w:rPr>
          <w:i/>
          <w:iCs/>
        </w:rPr>
        <w:fldChar w:fldCharType="begin" w:fldLock="1"/>
      </w:r>
      <w:r w:rsidR="003E2573">
        <w:rPr>
          <w:i/>
          <w:iCs/>
        </w:rPr>
        <w:instrText>ADDIN CSL_CITATION { "citationItems" : [ { "id" : "ITEM-1", "itemData" : { "DOI" : "10.1016/j.neuroimage.2013.02.063",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"8", "1" ] ] }, "page" : "412-427", "title" : "The valuation system: A coordinate-based meta-analysis of BOLD fMRI experiments examining neural correlates of subjective value", "type" : "article-journal", "volume" : "76" }, "uris" : [ "http://www.mendeley.com/documents/?uuid=712b2d9e-2056-3d69-92c0-53501a9135d0" ] } ], "mendeley" : { "formattedCitation" : "(Bartra, McGuire, &amp; Kable, 2013)", "plainTextFormattedCitation" : "(Bartra, McGuire, &amp; Kable, 2013)", "previouslyFormattedCitation" : "(Bartra, McGuire, &amp; Kable, 2013)" }, "properties" : {  }, "schema" : "https://github.com/citation-style-language/schema/raw/master/csl-citation.json" }</w:instrText>
      </w:r>
      <w:r w:rsidR="003E2573">
        <w:rPr>
          <w:i/>
          <w:iCs/>
        </w:rPr>
        <w:fldChar w:fldCharType="separate"/>
      </w:r>
      <w:r w:rsidR="003E2573" w:rsidRPr="003E2573">
        <w:rPr>
          <w:iCs/>
          <w:noProof/>
        </w:rPr>
        <w:t>(Bartra, McGuire, &amp; Kable, 2013)</w:t>
      </w:r>
      <w:r w:rsidR="003E2573">
        <w:rPr>
          <w:i/>
          <w:iCs/>
        </w:rPr>
        <w:fldChar w:fldCharType="end"/>
      </w:r>
      <w:r w:rsidR="007D4A99">
        <w:rPr>
          <w:i/>
          <w:iCs/>
        </w:rPr>
        <w:t xml:space="preserve"> </w:t>
      </w:r>
      <w:r w:rsidR="007D4A99">
        <w:t>and aligned to the cortical midline surface.</w:t>
      </w:r>
    </w:p>
    <w:p w14:paraId="691F0821" w14:textId="43F2B248" w:rsidR="00DD39A4" w:rsidRPr="00DD39A4" w:rsidRDefault="005A4A5C" w:rsidP="00C537AF">
      <w:pPr>
        <w:pStyle w:val="ListParagraph"/>
        <w:numPr>
          <w:ilvl w:val="0"/>
          <w:numId w:val="16"/>
        </w:numPr>
        <w:bidi w:val="0"/>
        <w:spacing w:line="480" w:lineRule="auto"/>
        <w:rPr>
          <w:i/>
          <w:iCs/>
        </w:rPr>
      </w:pPr>
      <w:r>
        <w:rPr>
          <w:i/>
          <w:iCs/>
        </w:rPr>
        <w:t>B</w:t>
      </w:r>
      <w:r w:rsidR="00AF41A8">
        <w:rPr>
          <w:i/>
          <w:iCs/>
        </w:rPr>
        <w:t>ilateral striatum.</w:t>
      </w:r>
      <w:r w:rsidR="00AF41A8">
        <w:t xml:space="preserve"> The striatum ROIs will be </w:t>
      </w:r>
      <w:r w:rsidR="007D2446">
        <w:t>specified anatomically from the Oxford-Imanova Striatal Strctural Atlas included with FSL</w:t>
      </w:r>
      <w:r>
        <w:t xml:space="preserve"> (http://fsl.fmrib.ox.ac.uk)</w:t>
      </w:r>
      <w:r w:rsidR="007D2446">
        <w:t>.</w:t>
      </w:r>
    </w:p>
    <w:p w14:paraId="11B9FB9E" w14:textId="49C7E340" w:rsidR="00AF41A8" w:rsidRDefault="005A4A5C" w:rsidP="00C537AF">
      <w:pPr>
        <w:pStyle w:val="ListParagraph"/>
        <w:numPr>
          <w:ilvl w:val="0"/>
          <w:numId w:val="16"/>
        </w:numPr>
        <w:bidi w:val="0"/>
        <w:spacing w:line="480" w:lineRule="auto"/>
        <w:rPr>
          <w:i/>
          <w:iCs/>
        </w:rPr>
      </w:pPr>
      <w:r>
        <w:rPr>
          <w:i/>
          <w:iCs/>
        </w:rPr>
        <w:t xml:space="preserve">Posterior medial frontal cortex (pMFC). </w:t>
      </w:r>
      <w:r>
        <w:t xml:space="preserve">The pMFC ROI will be defined as a 8-mm sphere around MNI coordinates [0, 17, 46], obtained from a functional MRI study on decision confidence </w:t>
      </w:r>
      <w:r>
        <w:fldChar w:fldCharType="begin" w:fldLock="1"/>
      </w:r>
      <w:r>
        <w: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"plainTextFormattedCitation" : "(Stephen M Fleming, Huijgen, &amp; Dolan, 2012)", "previouslyFormattedCitation" : "(Stephen M Fleming, Huijgen, &amp; Dolan, 2012)" }, "properties" : {  }, "schema" : "https://github.com/citation-style-language/schema/raw/master/csl-citation.json" }</w:instrText>
      </w:r>
      <w:r>
        <w:fldChar w:fldCharType="separate"/>
      </w:r>
      <w:r w:rsidRPr="005A4A5C">
        <w:rPr>
          <w:noProof/>
        </w:rPr>
        <w:t>(Stephen M Fleming, Huijgen, &amp; Dolan, 2012)</w:t>
      </w:r>
      <w:r>
        <w:fldChar w:fldCharType="end"/>
      </w:r>
      <w:r>
        <w:rPr>
          <w:i/>
          <w:iCs/>
        </w:rPr>
        <w:t>.</w:t>
      </w:r>
    </w:p>
    <w:p w14:paraId="6F668C6A" w14:textId="3CF707E0" w:rsidR="005A4A5C" w:rsidRDefault="005A4A5C" w:rsidP="00C537AF">
      <w:pPr>
        <w:pStyle w:val="ListParagraph"/>
        <w:numPr>
          <w:ilvl w:val="0"/>
          <w:numId w:val="16"/>
        </w:numPr>
        <w:bidi w:val="0"/>
        <w:spacing w:line="480" w:lineRule="auto"/>
        <w:rPr>
          <w:i/>
          <w:iCs/>
        </w:rPr>
      </w:pPr>
      <w:r>
        <w:rPr>
          <w:i/>
          <w:iCs/>
        </w:rPr>
        <w:t xml:space="preserve">Precuneus. </w:t>
      </w:r>
      <w:r>
        <w:t xml:space="preserve">The precuneus ROI will be </w:t>
      </w:r>
      <w:r w:rsidR="00E9115C">
        <w:t xml:space="preserve">defined as a 8-mm sphere around MNI coordinates [0,-57,18], based on a Voxel Based Morphometry studies of metacognitive efficiency </w:t>
      </w:r>
      <w:r w:rsidR="00E9115C">
        <w:fldChar w:fldCharType="begin" w:fldLock="1"/>
      </w:r>
      <w:r w:rsidR="00E911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"mendeley" : { "formattedCitation" : "(S.M. Fleming et al., 2009; Mccurdy et al., 2013)", "manualFormatting" : "(Fleming et al., 2010; Mccurdy et al., 2013)", "plainTextFormattedCitation" : "(S.M. Fleming et al., 2009; Mccurdy et al., 2013)", "previouslyFormattedCitation" : "(S.M. Fleming et al., 2009; Mccurdy et al., 2013)" }, "properties" : {  }, "schema" : "https://github.com/citation-style-language/schema/raw/master/csl-citation.json" }</w:instrText>
      </w:r>
      <w:r w:rsidR="00E9115C">
        <w:fldChar w:fldCharType="separate"/>
      </w:r>
      <w:r w:rsidR="00E9115C" w:rsidRPr="00E9115C">
        <w:rPr>
          <w:noProof/>
        </w:rPr>
        <w:t>(Fleming et al., 20</w:t>
      </w:r>
      <w:r w:rsidR="00E9115C">
        <w:rPr>
          <w:noProof/>
        </w:rPr>
        <w:t>10</w:t>
      </w:r>
      <w:r w:rsidR="00E9115C" w:rsidRPr="00E9115C">
        <w:rPr>
          <w:noProof/>
        </w:rPr>
        <w:t>; Mccurdy et al., 2013)</w:t>
      </w:r>
      <w:r w:rsidR="00E9115C">
        <w:fldChar w:fldCharType="end"/>
      </w:r>
      <w:r w:rsidR="00E9115C">
        <w:rPr>
          <w:i/>
          <w:iCs/>
        </w:rPr>
        <w:t xml:space="preserve"> </w:t>
      </w:r>
      <w:r w:rsidR="00E9115C">
        <w:t>and aligned to the cortical midline surface.</w:t>
      </w:r>
    </w:p>
    <w:p w14:paraId="76C8381D" w14:textId="0298C062" w:rsidR="00836AFE" w:rsidRDefault="00836AFE" w:rsidP="00C537AF">
      <w:pPr>
        <w:bidi w:val="0"/>
        <w:spacing w:line="480" w:lineRule="auto"/>
      </w:pPr>
      <w:r>
        <w:t xml:space="preserve">For the FPC ROI, a small-volume correction will be applied to individual voxels within the ROI for all contrasts and analyses, univariate and multivariate. </w:t>
      </w:r>
    </w:p>
    <w:p w14:paraId="6BF5F430" w14:textId="140F9512" w:rsidR="00764333" w:rsidRPr="00764333" w:rsidRDefault="00836AFE" w:rsidP="00C537AF">
      <w:pPr>
        <w:bidi w:val="0"/>
        <w:spacing w:line="480" w:lineRule="auto"/>
      </w:pPr>
      <w:r>
        <w:t xml:space="preserve">For all other ROIs, a GLM model will be fitted to the mean time course of voxels within the region for the univariate analysis. For the multivariate analysis, only the sphere </w:t>
      </w:r>
      <w:r w:rsidR="00931F52">
        <w:t>around</w:t>
      </w:r>
      <w:r>
        <w:t xml:space="preserve"> the centre voxel will be considered</w:t>
      </w:r>
      <w:r w:rsidR="00872BC5">
        <w:t xml:space="preserve"> as an a-priori ROI</w:t>
      </w:r>
      <w:r>
        <w:t xml:space="preserve">. </w:t>
      </w:r>
    </w:p>
    <w:p w14:paraId="63B1C660" w14:textId="338A9CB3" w:rsidR="00705092" w:rsidRDefault="00705092" w:rsidP="00C537AF">
      <w:pPr>
        <w:pStyle w:val="Heading3"/>
        <w:bidi w:val="0"/>
        <w:spacing w:line="480" w:lineRule="auto"/>
      </w:pPr>
      <w:r>
        <w:lastRenderedPageBreak/>
        <w:t>Univariate Analysis</w:t>
      </w:r>
    </w:p>
    <w:p w14:paraId="0137461E" w14:textId="77777777" w:rsidR="00931F52" w:rsidRDefault="00931F52" w:rsidP="00C537AF">
      <w:pPr>
        <w:pStyle w:val="Heading4"/>
        <w:bidi w:val="0"/>
        <w:spacing w:line="480" w:lineRule="auto"/>
      </w:pPr>
      <w:r>
        <w:t>Design Matrix</w:t>
      </w:r>
    </w:p>
    <w:p w14:paraId="722142B4" w14:textId="6FB3B8AA" w:rsidR="00931F52" w:rsidRDefault="00924956" w:rsidP="00C537AF">
      <w:pPr>
        <w:bidi w:val="0"/>
        <w:spacing w:line="480" w:lineRule="auto"/>
      </w:pPr>
      <w:r>
        <w:t xml:space="preserve">The design matrix for the univariate GLM analysis will consist of </w:t>
      </w:r>
      <w:r w:rsidR="00931F52">
        <w:t xml:space="preserve">16 regressors of interest. There will be 8 regressors for every combination of </w:t>
      </w:r>
      <w:r w:rsidR="00931F52" w:rsidRPr="00931F52">
        <w:rPr>
          <w:i/>
          <w:iCs/>
        </w:rPr>
        <w:t>task x condition x response</w:t>
      </w:r>
      <w:r w:rsidR="00931F52">
        <w:t xml:space="preserve">: For example, there will be a regressor for detection trials where a signal was present ('Yes') and the subject reported seeing a signal ('Yes'; Y_Y). A boxcar regressor with nonzero entries at the 4000 millisecond response interval for the relevant trials will be convolved with the canonical hemodynamic response function (HRF). </w:t>
      </w:r>
    </w:p>
    <w:p w14:paraId="585764A6" w14:textId="261DEE9C" w:rsidR="00931F52" w:rsidRDefault="00931F52" w:rsidP="00C537AF">
      <w:pPr>
        <w:bidi w:val="0"/>
        <w:spacing w:line="480" w:lineRule="auto"/>
      </w:pPr>
      <w:r>
        <w:t>Each of these primary regressors will be accompanied by a parametric modulator, indicating the reported confidence for each trial. Together, this makes a total of 16 regressors:</w:t>
      </w:r>
    </w:p>
    <w:tbl>
      <w:tblPr>
        <w:tblStyle w:val="TableGrid"/>
        <w:tblW w:w="0" w:type="auto"/>
        <w:tblLook w:val="04A0" w:firstRow="1" w:lastRow="0" w:firstColumn="1" w:lastColumn="0" w:noHBand="0" w:noVBand="1"/>
      </w:tblPr>
      <w:tblGrid>
        <w:gridCol w:w="440"/>
        <w:gridCol w:w="1672"/>
        <w:gridCol w:w="1701"/>
        <w:gridCol w:w="1797"/>
        <w:gridCol w:w="1797"/>
      </w:tblGrid>
      <w:tr w:rsidR="00931F52" w14:paraId="32AB1F0D" w14:textId="77777777" w:rsidTr="00931F52">
        <w:tc>
          <w:tcPr>
            <w:tcW w:w="440" w:type="dxa"/>
            <w:tcBorders>
              <w:top w:val="nil"/>
              <w:left w:val="nil"/>
              <w:bottom w:val="single" w:sz="4" w:space="0" w:color="auto"/>
              <w:right w:val="nil"/>
            </w:tcBorders>
            <w:vAlign w:val="center"/>
          </w:tcPr>
          <w:p w14:paraId="555B65D0" w14:textId="77777777" w:rsidR="00931F52" w:rsidRDefault="00931F52" w:rsidP="00C537AF">
            <w:pPr>
              <w:bidi w:val="0"/>
              <w:spacing w:line="480" w:lineRule="auto"/>
              <w:jc w:val="center"/>
              <w:rPr>
                <w:i/>
                <w:iCs/>
              </w:rPr>
            </w:pPr>
          </w:p>
        </w:tc>
        <w:tc>
          <w:tcPr>
            <w:tcW w:w="1672" w:type="dxa"/>
            <w:tcBorders>
              <w:top w:val="nil"/>
              <w:left w:val="nil"/>
              <w:bottom w:val="single" w:sz="4" w:space="0" w:color="auto"/>
              <w:right w:val="nil"/>
            </w:tcBorders>
            <w:vAlign w:val="center"/>
          </w:tcPr>
          <w:p w14:paraId="2E5DB774" w14:textId="77777777" w:rsidR="00931F52" w:rsidRPr="00931F52" w:rsidRDefault="00931F52" w:rsidP="00C537AF">
            <w:pPr>
              <w:bidi w:val="0"/>
              <w:spacing w:line="480" w:lineRule="auto"/>
              <w:jc w:val="center"/>
              <w:rPr>
                <w:i/>
                <w:iCs/>
              </w:rPr>
            </w:pPr>
          </w:p>
        </w:tc>
        <w:tc>
          <w:tcPr>
            <w:tcW w:w="1701" w:type="dxa"/>
            <w:tcBorders>
              <w:top w:val="nil"/>
              <w:left w:val="nil"/>
              <w:bottom w:val="single" w:sz="4" w:space="0" w:color="auto"/>
              <w:right w:val="nil"/>
            </w:tcBorders>
            <w:vAlign w:val="center"/>
          </w:tcPr>
          <w:p w14:paraId="5C539D47" w14:textId="7EDFBB9F" w:rsidR="00931F52" w:rsidRPr="00931F52" w:rsidRDefault="00931F52" w:rsidP="00C537AF">
            <w:pPr>
              <w:bidi w:val="0"/>
              <w:spacing w:line="480" w:lineRule="auto"/>
              <w:jc w:val="center"/>
              <w:rPr>
                <w:b/>
                <w:bCs/>
              </w:rPr>
            </w:pPr>
            <w:r w:rsidRPr="00931F52">
              <w:rPr>
                <w:b/>
                <w:bCs/>
              </w:rPr>
              <w:t>Task</w:t>
            </w:r>
          </w:p>
        </w:tc>
        <w:tc>
          <w:tcPr>
            <w:tcW w:w="1797" w:type="dxa"/>
            <w:tcBorders>
              <w:top w:val="nil"/>
              <w:left w:val="nil"/>
              <w:bottom w:val="single" w:sz="4" w:space="0" w:color="auto"/>
              <w:right w:val="nil"/>
            </w:tcBorders>
            <w:vAlign w:val="center"/>
          </w:tcPr>
          <w:p w14:paraId="0EC59938" w14:textId="48AFB0C9" w:rsidR="00931F52" w:rsidRPr="00931F52" w:rsidRDefault="00931F52" w:rsidP="00C537AF">
            <w:pPr>
              <w:bidi w:val="0"/>
              <w:spacing w:line="480" w:lineRule="auto"/>
              <w:jc w:val="center"/>
              <w:rPr>
                <w:b/>
                <w:bCs/>
              </w:rPr>
            </w:pPr>
            <w:r w:rsidRPr="00931F52">
              <w:rPr>
                <w:b/>
                <w:bCs/>
              </w:rPr>
              <w:t>Stimulus</w:t>
            </w:r>
          </w:p>
        </w:tc>
        <w:tc>
          <w:tcPr>
            <w:tcW w:w="1797" w:type="dxa"/>
            <w:tcBorders>
              <w:top w:val="nil"/>
              <w:left w:val="nil"/>
              <w:bottom w:val="single" w:sz="4" w:space="0" w:color="auto"/>
              <w:right w:val="nil"/>
            </w:tcBorders>
            <w:vAlign w:val="center"/>
          </w:tcPr>
          <w:p w14:paraId="4D93A673" w14:textId="3F87C196" w:rsidR="00931F52" w:rsidRPr="00931F52" w:rsidRDefault="00931F52" w:rsidP="00C537AF">
            <w:pPr>
              <w:bidi w:val="0"/>
              <w:spacing w:line="480" w:lineRule="auto"/>
              <w:jc w:val="center"/>
              <w:rPr>
                <w:b/>
                <w:bCs/>
              </w:rPr>
            </w:pPr>
            <w:r w:rsidRPr="00931F52">
              <w:rPr>
                <w:b/>
                <w:bCs/>
              </w:rPr>
              <w:t>Response</w:t>
            </w:r>
          </w:p>
        </w:tc>
      </w:tr>
      <w:tr w:rsidR="00931F52" w14:paraId="0E556C52" w14:textId="77777777" w:rsidTr="00931F52">
        <w:tc>
          <w:tcPr>
            <w:tcW w:w="440" w:type="dxa"/>
            <w:tcBorders>
              <w:top w:val="single" w:sz="4" w:space="0" w:color="auto"/>
            </w:tcBorders>
            <w:shd w:val="clear" w:color="auto" w:fill="DEEAF6" w:themeFill="accent5" w:themeFillTint="33"/>
            <w:vAlign w:val="center"/>
          </w:tcPr>
          <w:p w14:paraId="58615AF8" w14:textId="6C8DA04B" w:rsidR="00931F52" w:rsidRPr="00931F52" w:rsidRDefault="00931F52" w:rsidP="00C537AF">
            <w:pPr>
              <w:bidi w:val="0"/>
              <w:spacing w:line="480" w:lineRule="auto"/>
              <w:rPr>
                <w:i/>
                <w:iCs/>
              </w:rPr>
            </w:pPr>
            <w:r>
              <w:rPr>
                <w:i/>
                <w:iCs/>
              </w:rPr>
              <w:t>1</w:t>
            </w:r>
          </w:p>
        </w:tc>
        <w:tc>
          <w:tcPr>
            <w:tcW w:w="1672" w:type="dxa"/>
            <w:tcBorders>
              <w:top w:val="single" w:sz="4" w:space="0" w:color="auto"/>
            </w:tcBorders>
            <w:shd w:val="clear" w:color="auto" w:fill="DEEAF6" w:themeFill="accent5" w:themeFillTint="33"/>
            <w:vAlign w:val="center"/>
          </w:tcPr>
          <w:p w14:paraId="27678416" w14:textId="0B51B38A" w:rsidR="00931F52" w:rsidRPr="00931F52" w:rsidRDefault="00931F52" w:rsidP="00C537AF">
            <w:pPr>
              <w:bidi w:val="0"/>
              <w:spacing w:line="480" w:lineRule="auto"/>
              <w:jc w:val="center"/>
              <w:rPr>
                <w:i/>
                <w:iCs/>
              </w:rPr>
            </w:pPr>
            <w:r w:rsidRPr="00931F52">
              <w:rPr>
                <w:i/>
                <w:iCs/>
              </w:rPr>
              <w:t>CW_CW</w:t>
            </w:r>
          </w:p>
        </w:tc>
        <w:tc>
          <w:tcPr>
            <w:tcW w:w="1701" w:type="dxa"/>
            <w:vMerge w:val="restart"/>
            <w:tcBorders>
              <w:top w:val="single" w:sz="4" w:space="0" w:color="auto"/>
            </w:tcBorders>
            <w:shd w:val="clear" w:color="auto" w:fill="DEEAF6" w:themeFill="accent5" w:themeFillTint="33"/>
            <w:vAlign w:val="center"/>
          </w:tcPr>
          <w:p w14:paraId="4942FCE9" w14:textId="68C77FEB" w:rsidR="00931F52" w:rsidRDefault="00931F52" w:rsidP="00C537AF">
            <w:pPr>
              <w:bidi w:val="0"/>
              <w:spacing w:line="480" w:lineRule="auto"/>
              <w:jc w:val="center"/>
            </w:pPr>
            <w:r>
              <w:t>Discrimination</w:t>
            </w:r>
          </w:p>
        </w:tc>
        <w:tc>
          <w:tcPr>
            <w:tcW w:w="1797" w:type="dxa"/>
            <w:vMerge w:val="restart"/>
            <w:tcBorders>
              <w:top w:val="single" w:sz="4" w:space="0" w:color="auto"/>
            </w:tcBorders>
            <w:shd w:val="clear" w:color="auto" w:fill="DEEAF6" w:themeFill="accent5" w:themeFillTint="33"/>
            <w:vAlign w:val="center"/>
          </w:tcPr>
          <w:p w14:paraId="41EB2198" w14:textId="2B04AEE5" w:rsidR="00931F52" w:rsidRDefault="00931F52" w:rsidP="00C537AF">
            <w:pPr>
              <w:bidi w:val="0"/>
              <w:spacing w:line="480" w:lineRule="auto"/>
              <w:jc w:val="center"/>
            </w:pPr>
            <w:r>
              <w:t>Clockwise</w:t>
            </w:r>
          </w:p>
        </w:tc>
        <w:tc>
          <w:tcPr>
            <w:tcW w:w="1797" w:type="dxa"/>
            <w:vMerge w:val="restart"/>
            <w:tcBorders>
              <w:top w:val="single" w:sz="4" w:space="0" w:color="auto"/>
            </w:tcBorders>
            <w:shd w:val="clear" w:color="auto" w:fill="DEEAF6" w:themeFill="accent5" w:themeFillTint="33"/>
            <w:vAlign w:val="center"/>
          </w:tcPr>
          <w:p w14:paraId="374605DF" w14:textId="6BFF6A78" w:rsidR="00931F52" w:rsidRDefault="00931F52" w:rsidP="00C537AF">
            <w:pPr>
              <w:bidi w:val="0"/>
              <w:spacing w:line="480" w:lineRule="auto"/>
              <w:jc w:val="center"/>
            </w:pPr>
            <w:r>
              <w:t>Clockwise</w:t>
            </w:r>
          </w:p>
        </w:tc>
      </w:tr>
      <w:tr w:rsidR="00931F52" w14:paraId="6ABFC24B" w14:textId="77777777" w:rsidTr="00931F52">
        <w:tc>
          <w:tcPr>
            <w:tcW w:w="440" w:type="dxa"/>
            <w:shd w:val="clear" w:color="auto" w:fill="DEEAF6" w:themeFill="accent5" w:themeFillTint="33"/>
            <w:vAlign w:val="center"/>
          </w:tcPr>
          <w:p w14:paraId="56DF9342" w14:textId="561A69C3" w:rsidR="00931F52" w:rsidRPr="00931F52" w:rsidRDefault="00931F52" w:rsidP="00C537AF">
            <w:pPr>
              <w:bidi w:val="0"/>
              <w:spacing w:line="480" w:lineRule="auto"/>
              <w:rPr>
                <w:i/>
                <w:iCs/>
              </w:rPr>
            </w:pPr>
            <w:r>
              <w:rPr>
                <w:i/>
                <w:iCs/>
              </w:rPr>
              <w:t>2</w:t>
            </w:r>
          </w:p>
        </w:tc>
        <w:tc>
          <w:tcPr>
            <w:tcW w:w="1672" w:type="dxa"/>
            <w:shd w:val="clear" w:color="auto" w:fill="DEEAF6" w:themeFill="accent5" w:themeFillTint="33"/>
            <w:vAlign w:val="center"/>
          </w:tcPr>
          <w:p w14:paraId="7E29367D" w14:textId="494B13C2" w:rsidR="00931F52" w:rsidRPr="00931F52" w:rsidRDefault="00931F52" w:rsidP="00C537AF">
            <w:pPr>
              <w:bidi w:val="0"/>
              <w:spacing w:line="480" w:lineRule="auto"/>
              <w:jc w:val="center"/>
              <w:rPr>
                <w:i/>
                <w:iCs/>
              </w:rPr>
            </w:pPr>
            <w:r>
              <w:rPr>
                <w:i/>
                <w:iCs/>
              </w:rPr>
              <w:t>CW_CCW_conf</w:t>
            </w:r>
          </w:p>
        </w:tc>
        <w:tc>
          <w:tcPr>
            <w:tcW w:w="1701" w:type="dxa"/>
            <w:vMerge/>
            <w:shd w:val="clear" w:color="auto" w:fill="DEEAF6" w:themeFill="accent5" w:themeFillTint="33"/>
            <w:vAlign w:val="center"/>
          </w:tcPr>
          <w:p w14:paraId="0E1C5C2A" w14:textId="4761C7B6" w:rsidR="00931F52" w:rsidRDefault="00931F52" w:rsidP="00C537AF">
            <w:pPr>
              <w:bidi w:val="0"/>
              <w:spacing w:line="480" w:lineRule="auto"/>
              <w:jc w:val="center"/>
            </w:pPr>
          </w:p>
        </w:tc>
        <w:tc>
          <w:tcPr>
            <w:tcW w:w="1797" w:type="dxa"/>
            <w:vMerge/>
            <w:shd w:val="clear" w:color="auto" w:fill="DEEAF6" w:themeFill="accent5" w:themeFillTint="33"/>
            <w:vAlign w:val="center"/>
          </w:tcPr>
          <w:p w14:paraId="3728AAE9" w14:textId="3322569E" w:rsidR="00931F52" w:rsidRDefault="00931F52" w:rsidP="00C537AF">
            <w:pPr>
              <w:bidi w:val="0"/>
              <w:spacing w:line="480" w:lineRule="auto"/>
              <w:jc w:val="center"/>
            </w:pPr>
          </w:p>
        </w:tc>
        <w:tc>
          <w:tcPr>
            <w:tcW w:w="1797" w:type="dxa"/>
            <w:vMerge/>
            <w:shd w:val="clear" w:color="auto" w:fill="DEEAF6" w:themeFill="accent5" w:themeFillTint="33"/>
            <w:vAlign w:val="center"/>
          </w:tcPr>
          <w:p w14:paraId="28B1410C" w14:textId="77777777" w:rsidR="00931F52" w:rsidRDefault="00931F52" w:rsidP="00C537AF">
            <w:pPr>
              <w:bidi w:val="0"/>
              <w:spacing w:line="480" w:lineRule="auto"/>
              <w:jc w:val="center"/>
            </w:pPr>
          </w:p>
        </w:tc>
      </w:tr>
      <w:tr w:rsidR="00931F52" w14:paraId="612020BC" w14:textId="77777777" w:rsidTr="00931F52">
        <w:tc>
          <w:tcPr>
            <w:tcW w:w="440" w:type="dxa"/>
            <w:shd w:val="clear" w:color="auto" w:fill="FBE4D5" w:themeFill="accent2" w:themeFillTint="33"/>
            <w:vAlign w:val="center"/>
          </w:tcPr>
          <w:p w14:paraId="44185CE6" w14:textId="1677C135" w:rsidR="00931F52" w:rsidRPr="00931F52" w:rsidRDefault="00931F52" w:rsidP="00C537AF">
            <w:pPr>
              <w:bidi w:val="0"/>
              <w:spacing w:line="480" w:lineRule="auto"/>
              <w:rPr>
                <w:i/>
                <w:iCs/>
              </w:rPr>
            </w:pPr>
            <w:r>
              <w:rPr>
                <w:i/>
                <w:iCs/>
              </w:rPr>
              <w:t>3</w:t>
            </w:r>
          </w:p>
        </w:tc>
        <w:tc>
          <w:tcPr>
            <w:tcW w:w="1672" w:type="dxa"/>
            <w:shd w:val="clear" w:color="auto" w:fill="FBE4D5" w:themeFill="accent2" w:themeFillTint="33"/>
            <w:vAlign w:val="center"/>
          </w:tcPr>
          <w:p w14:paraId="598DB473" w14:textId="58EA1AB2" w:rsidR="00931F52" w:rsidRPr="00931F52" w:rsidRDefault="00931F52" w:rsidP="00C537AF">
            <w:pPr>
              <w:bidi w:val="0"/>
              <w:spacing w:line="480" w:lineRule="auto"/>
              <w:jc w:val="center"/>
              <w:rPr>
                <w:i/>
                <w:iCs/>
              </w:rPr>
            </w:pPr>
            <w:r>
              <w:rPr>
                <w:i/>
                <w:iCs/>
              </w:rPr>
              <w:t>CW_CCW</w:t>
            </w:r>
          </w:p>
        </w:tc>
        <w:tc>
          <w:tcPr>
            <w:tcW w:w="1701" w:type="dxa"/>
            <w:vMerge w:val="restart"/>
            <w:shd w:val="clear" w:color="auto" w:fill="FBE4D5" w:themeFill="accent2" w:themeFillTint="33"/>
            <w:vAlign w:val="center"/>
          </w:tcPr>
          <w:p w14:paraId="2C508DA0" w14:textId="3716565A" w:rsidR="00931F52" w:rsidRDefault="00931F52" w:rsidP="00C537AF">
            <w:pPr>
              <w:bidi w:val="0"/>
              <w:spacing w:line="480" w:lineRule="auto"/>
              <w:jc w:val="center"/>
            </w:pPr>
            <w:r>
              <w:t>Discrimination</w:t>
            </w:r>
          </w:p>
        </w:tc>
        <w:tc>
          <w:tcPr>
            <w:tcW w:w="1797" w:type="dxa"/>
            <w:vMerge w:val="restart"/>
            <w:shd w:val="clear" w:color="auto" w:fill="FBE4D5" w:themeFill="accent2" w:themeFillTint="33"/>
            <w:vAlign w:val="center"/>
          </w:tcPr>
          <w:p w14:paraId="39B3FABE" w14:textId="5A8A693B" w:rsidR="00931F52" w:rsidRDefault="00931F52" w:rsidP="00C537AF">
            <w:pPr>
              <w:bidi w:val="0"/>
              <w:spacing w:line="480" w:lineRule="auto"/>
              <w:jc w:val="center"/>
            </w:pPr>
            <w:r>
              <w:t>Clockwise</w:t>
            </w:r>
          </w:p>
        </w:tc>
        <w:tc>
          <w:tcPr>
            <w:tcW w:w="1797" w:type="dxa"/>
            <w:vMerge w:val="restart"/>
            <w:shd w:val="clear" w:color="auto" w:fill="FBE4D5" w:themeFill="accent2" w:themeFillTint="33"/>
            <w:vAlign w:val="center"/>
          </w:tcPr>
          <w:p w14:paraId="66A4C1B4" w14:textId="3C66F86B" w:rsidR="00931F52" w:rsidRDefault="00931F52" w:rsidP="00C537AF">
            <w:pPr>
              <w:bidi w:val="0"/>
              <w:spacing w:line="480" w:lineRule="auto"/>
              <w:jc w:val="center"/>
            </w:pPr>
            <w:r>
              <w:t>Counterclockwise</w:t>
            </w:r>
          </w:p>
        </w:tc>
      </w:tr>
      <w:tr w:rsidR="00931F52" w14:paraId="5839B1FD" w14:textId="77777777" w:rsidTr="00931F52">
        <w:tc>
          <w:tcPr>
            <w:tcW w:w="440" w:type="dxa"/>
            <w:shd w:val="clear" w:color="auto" w:fill="FBE4D5" w:themeFill="accent2" w:themeFillTint="33"/>
            <w:vAlign w:val="center"/>
          </w:tcPr>
          <w:p w14:paraId="1AA0635F" w14:textId="56B98855" w:rsidR="00931F52" w:rsidRPr="00931F52" w:rsidRDefault="00931F52" w:rsidP="00C537AF">
            <w:pPr>
              <w:bidi w:val="0"/>
              <w:spacing w:line="480" w:lineRule="auto"/>
              <w:rPr>
                <w:i/>
                <w:iCs/>
              </w:rPr>
            </w:pPr>
            <w:r>
              <w:rPr>
                <w:i/>
                <w:iCs/>
              </w:rPr>
              <w:t>4</w:t>
            </w:r>
          </w:p>
        </w:tc>
        <w:tc>
          <w:tcPr>
            <w:tcW w:w="1672" w:type="dxa"/>
            <w:shd w:val="clear" w:color="auto" w:fill="FBE4D5" w:themeFill="accent2" w:themeFillTint="33"/>
            <w:vAlign w:val="center"/>
          </w:tcPr>
          <w:p w14:paraId="2894B1D4" w14:textId="54BC4BEC" w:rsidR="00931F52" w:rsidRPr="00931F52" w:rsidRDefault="00931F52" w:rsidP="00C537AF">
            <w:pPr>
              <w:bidi w:val="0"/>
              <w:spacing w:line="480" w:lineRule="auto"/>
              <w:jc w:val="center"/>
              <w:rPr>
                <w:i/>
                <w:iCs/>
              </w:rPr>
            </w:pPr>
            <w:r>
              <w:rPr>
                <w:i/>
                <w:iCs/>
              </w:rPr>
              <w:t>CW_CCW_conf</w:t>
            </w:r>
          </w:p>
        </w:tc>
        <w:tc>
          <w:tcPr>
            <w:tcW w:w="1701" w:type="dxa"/>
            <w:vMerge/>
            <w:vAlign w:val="center"/>
          </w:tcPr>
          <w:p w14:paraId="6B76CA36" w14:textId="77777777" w:rsidR="00931F52" w:rsidRDefault="00931F52" w:rsidP="00C537AF">
            <w:pPr>
              <w:bidi w:val="0"/>
              <w:spacing w:line="480" w:lineRule="auto"/>
              <w:jc w:val="center"/>
            </w:pPr>
          </w:p>
        </w:tc>
        <w:tc>
          <w:tcPr>
            <w:tcW w:w="1797" w:type="dxa"/>
            <w:vMerge/>
            <w:vAlign w:val="center"/>
          </w:tcPr>
          <w:p w14:paraId="4CC5A069" w14:textId="77777777" w:rsidR="00931F52" w:rsidRDefault="00931F52" w:rsidP="00C537AF">
            <w:pPr>
              <w:bidi w:val="0"/>
              <w:spacing w:line="480" w:lineRule="auto"/>
              <w:jc w:val="center"/>
            </w:pPr>
          </w:p>
        </w:tc>
        <w:tc>
          <w:tcPr>
            <w:tcW w:w="1797" w:type="dxa"/>
            <w:vMerge/>
            <w:vAlign w:val="center"/>
          </w:tcPr>
          <w:p w14:paraId="1E2D3147" w14:textId="77777777" w:rsidR="00931F52" w:rsidRDefault="00931F52" w:rsidP="00C537AF">
            <w:pPr>
              <w:bidi w:val="0"/>
              <w:spacing w:line="480" w:lineRule="auto"/>
              <w:jc w:val="center"/>
            </w:pPr>
          </w:p>
        </w:tc>
      </w:tr>
      <w:tr w:rsidR="00931F52" w14:paraId="7E14D2CC" w14:textId="77777777" w:rsidTr="00931F52">
        <w:tc>
          <w:tcPr>
            <w:tcW w:w="440" w:type="dxa"/>
            <w:shd w:val="clear" w:color="auto" w:fill="FBE4D5" w:themeFill="accent2" w:themeFillTint="33"/>
            <w:vAlign w:val="center"/>
          </w:tcPr>
          <w:p w14:paraId="23C4AF34" w14:textId="4D5236C6" w:rsidR="00931F52" w:rsidRPr="00931F52" w:rsidRDefault="00931F52" w:rsidP="00C537AF">
            <w:pPr>
              <w:bidi w:val="0"/>
              <w:spacing w:line="480" w:lineRule="auto"/>
              <w:rPr>
                <w:i/>
                <w:iCs/>
              </w:rPr>
            </w:pPr>
            <w:r>
              <w:rPr>
                <w:i/>
                <w:iCs/>
              </w:rPr>
              <w:t>5</w:t>
            </w:r>
          </w:p>
        </w:tc>
        <w:tc>
          <w:tcPr>
            <w:tcW w:w="1672" w:type="dxa"/>
            <w:shd w:val="clear" w:color="auto" w:fill="FBE4D5" w:themeFill="accent2" w:themeFillTint="33"/>
            <w:vAlign w:val="center"/>
          </w:tcPr>
          <w:p w14:paraId="386E23B5" w14:textId="139633C0" w:rsidR="00931F52" w:rsidRPr="00931F52" w:rsidRDefault="00931F52" w:rsidP="00C537AF">
            <w:pPr>
              <w:bidi w:val="0"/>
              <w:spacing w:line="480" w:lineRule="auto"/>
              <w:jc w:val="center"/>
              <w:rPr>
                <w:i/>
                <w:iCs/>
              </w:rPr>
            </w:pPr>
            <w:r w:rsidRPr="00931F52">
              <w:rPr>
                <w:i/>
                <w:iCs/>
              </w:rPr>
              <w:t>CW_CW</w:t>
            </w:r>
          </w:p>
        </w:tc>
        <w:tc>
          <w:tcPr>
            <w:tcW w:w="1701" w:type="dxa"/>
            <w:vMerge w:val="restart"/>
            <w:shd w:val="clear" w:color="auto" w:fill="FBE4D5" w:themeFill="accent2" w:themeFillTint="33"/>
            <w:vAlign w:val="center"/>
          </w:tcPr>
          <w:p w14:paraId="745CA6B3" w14:textId="044BFBCF" w:rsidR="00931F52" w:rsidRDefault="00931F52" w:rsidP="00C537AF">
            <w:pPr>
              <w:bidi w:val="0"/>
              <w:spacing w:line="480" w:lineRule="auto"/>
              <w:jc w:val="center"/>
            </w:pPr>
            <w:r>
              <w:t>Discrimination</w:t>
            </w:r>
          </w:p>
        </w:tc>
        <w:tc>
          <w:tcPr>
            <w:tcW w:w="1797" w:type="dxa"/>
            <w:vMerge w:val="restart"/>
            <w:shd w:val="clear" w:color="auto" w:fill="FBE4D5" w:themeFill="accent2" w:themeFillTint="33"/>
            <w:vAlign w:val="center"/>
          </w:tcPr>
          <w:p w14:paraId="3ECFAF4F" w14:textId="173616E7" w:rsidR="00931F52" w:rsidRDefault="00931F52" w:rsidP="00C537AF">
            <w:pPr>
              <w:bidi w:val="0"/>
              <w:spacing w:line="480" w:lineRule="auto"/>
              <w:jc w:val="center"/>
            </w:pPr>
            <w:r>
              <w:t>Counterclockwise</w:t>
            </w:r>
          </w:p>
        </w:tc>
        <w:tc>
          <w:tcPr>
            <w:tcW w:w="1797" w:type="dxa"/>
            <w:vMerge w:val="restart"/>
            <w:shd w:val="clear" w:color="auto" w:fill="FBE4D5" w:themeFill="accent2" w:themeFillTint="33"/>
            <w:vAlign w:val="center"/>
          </w:tcPr>
          <w:p w14:paraId="06948335" w14:textId="34B724DD" w:rsidR="00931F52" w:rsidRDefault="00931F52" w:rsidP="00C537AF">
            <w:pPr>
              <w:bidi w:val="0"/>
              <w:spacing w:line="480" w:lineRule="auto"/>
              <w:jc w:val="center"/>
            </w:pPr>
            <w:r>
              <w:t>Clockwise</w:t>
            </w:r>
          </w:p>
        </w:tc>
      </w:tr>
      <w:tr w:rsidR="00931F52" w14:paraId="2A72152B" w14:textId="77777777" w:rsidTr="00931F52">
        <w:tc>
          <w:tcPr>
            <w:tcW w:w="440" w:type="dxa"/>
            <w:shd w:val="clear" w:color="auto" w:fill="FBE4D5" w:themeFill="accent2" w:themeFillTint="33"/>
            <w:vAlign w:val="center"/>
          </w:tcPr>
          <w:p w14:paraId="584E4FE8" w14:textId="7BF5C087" w:rsidR="00931F52" w:rsidRPr="00931F52" w:rsidRDefault="00931F52" w:rsidP="00C537AF">
            <w:pPr>
              <w:bidi w:val="0"/>
              <w:spacing w:line="480" w:lineRule="auto"/>
              <w:rPr>
                <w:i/>
                <w:iCs/>
              </w:rPr>
            </w:pPr>
            <w:r>
              <w:rPr>
                <w:i/>
                <w:iCs/>
              </w:rPr>
              <w:t>6</w:t>
            </w:r>
          </w:p>
        </w:tc>
        <w:tc>
          <w:tcPr>
            <w:tcW w:w="1672" w:type="dxa"/>
            <w:shd w:val="clear" w:color="auto" w:fill="FBE4D5" w:themeFill="accent2" w:themeFillTint="33"/>
            <w:vAlign w:val="center"/>
          </w:tcPr>
          <w:p w14:paraId="7FE7D38B" w14:textId="43ABF105" w:rsidR="00931F52" w:rsidRPr="00931F52" w:rsidRDefault="00931F52" w:rsidP="00C537AF">
            <w:pPr>
              <w:bidi w:val="0"/>
              <w:spacing w:line="480" w:lineRule="auto"/>
              <w:jc w:val="center"/>
              <w:rPr>
                <w:i/>
                <w:iCs/>
              </w:rPr>
            </w:pPr>
            <w:r>
              <w:rPr>
                <w:i/>
                <w:iCs/>
              </w:rPr>
              <w:t>CW_CW_conf</w:t>
            </w:r>
          </w:p>
        </w:tc>
        <w:tc>
          <w:tcPr>
            <w:tcW w:w="1701" w:type="dxa"/>
            <w:vMerge/>
            <w:shd w:val="clear" w:color="auto" w:fill="FBE4D5" w:themeFill="accent2" w:themeFillTint="33"/>
            <w:vAlign w:val="center"/>
          </w:tcPr>
          <w:p w14:paraId="7BAB6A03"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527FE22F"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10632ED0" w14:textId="77777777" w:rsidR="00931F52" w:rsidRDefault="00931F52" w:rsidP="00C537AF">
            <w:pPr>
              <w:bidi w:val="0"/>
              <w:spacing w:line="480" w:lineRule="auto"/>
              <w:jc w:val="center"/>
            </w:pPr>
          </w:p>
        </w:tc>
      </w:tr>
      <w:tr w:rsidR="00931F52" w14:paraId="574A927F" w14:textId="77777777" w:rsidTr="00931F52">
        <w:tc>
          <w:tcPr>
            <w:tcW w:w="440" w:type="dxa"/>
            <w:shd w:val="clear" w:color="auto" w:fill="D9E2F3" w:themeFill="accent1" w:themeFillTint="33"/>
            <w:vAlign w:val="center"/>
          </w:tcPr>
          <w:p w14:paraId="2316EA25" w14:textId="65540C04" w:rsidR="00931F52" w:rsidRPr="00931F52" w:rsidRDefault="00931F52" w:rsidP="00C537AF">
            <w:pPr>
              <w:bidi w:val="0"/>
              <w:spacing w:line="480" w:lineRule="auto"/>
              <w:rPr>
                <w:i/>
                <w:iCs/>
              </w:rPr>
            </w:pPr>
            <w:r>
              <w:rPr>
                <w:i/>
                <w:iCs/>
              </w:rPr>
              <w:t>7</w:t>
            </w:r>
          </w:p>
        </w:tc>
        <w:tc>
          <w:tcPr>
            <w:tcW w:w="1672" w:type="dxa"/>
            <w:shd w:val="clear" w:color="auto" w:fill="D9E2F3" w:themeFill="accent1" w:themeFillTint="33"/>
            <w:vAlign w:val="center"/>
          </w:tcPr>
          <w:p w14:paraId="75A2D814" w14:textId="6E90963D" w:rsidR="00931F52" w:rsidRPr="00931F52" w:rsidRDefault="00931F52" w:rsidP="00C537AF">
            <w:pPr>
              <w:bidi w:val="0"/>
              <w:spacing w:line="480" w:lineRule="auto"/>
              <w:jc w:val="center"/>
              <w:rPr>
                <w:i/>
                <w:iCs/>
              </w:rPr>
            </w:pPr>
            <w:r>
              <w:rPr>
                <w:i/>
                <w:iCs/>
              </w:rPr>
              <w:t>CCW_CCW</w:t>
            </w:r>
          </w:p>
        </w:tc>
        <w:tc>
          <w:tcPr>
            <w:tcW w:w="1701" w:type="dxa"/>
            <w:vMerge w:val="restart"/>
            <w:shd w:val="clear" w:color="auto" w:fill="D9E2F3" w:themeFill="accent1" w:themeFillTint="33"/>
            <w:vAlign w:val="center"/>
          </w:tcPr>
          <w:p w14:paraId="03485FB8" w14:textId="2C6FC039" w:rsidR="00931F52" w:rsidRDefault="00931F52" w:rsidP="00C537AF">
            <w:pPr>
              <w:bidi w:val="0"/>
              <w:spacing w:line="480" w:lineRule="auto"/>
              <w:jc w:val="center"/>
            </w:pPr>
            <w:r>
              <w:t>Discrimination</w:t>
            </w:r>
          </w:p>
        </w:tc>
        <w:tc>
          <w:tcPr>
            <w:tcW w:w="1797" w:type="dxa"/>
            <w:vMerge w:val="restart"/>
            <w:shd w:val="clear" w:color="auto" w:fill="D9E2F3" w:themeFill="accent1" w:themeFillTint="33"/>
            <w:vAlign w:val="center"/>
          </w:tcPr>
          <w:p w14:paraId="360DCB74" w14:textId="1453D149" w:rsidR="00931F52" w:rsidRDefault="00931F52" w:rsidP="00C537AF">
            <w:pPr>
              <w:bidi w:val="0"/>
              <w:spacing w:line="480" w:lineRule="auto"/>
              <w:jc w:val="center"/>
            </w:pPr>
            <w:r>
              <w:t>Counterclockwise</w:t>
            </w:r>
          </w:p>
        </w:tc>
        <w:tc>
          <w:tcPr>
            <w:tcW w:w="1797" w:type="dxa"/>
            <w:vMerge w:val="restart"/>
            <w:shd w:val="clear" w:color="auto" w:fill="D9E2F3" w:themeFill="accent1" w:themeFillTint="33"/>
            <w:vAlign w:val="center"/>
          </w:tcPr>
          <w:p w14:paraId="6735238F" w14:textId="3F1DEFFF" w:rsidR="00931F52" w:rsidRDefault="00931F52" w:rsidP="00C537AF">
            <w:pPr>
              <w:bidi w:val="0"/>
              <w:spacing w:line="480" w:lineRule="auto"/>
              <w:jc w:val="center"/>
            </w:pPr>
            <w:r>
              <w:t>Counterclockwise</w:t>
            </w:r>
          </w:p>
        </w:tc>
      </w:tr>
      <w:tr w:rsidR="00931F52" w14:paraId="332B0455" w14:textId="77777777" w:rsidTr="00931F52">
        <w:tc>
          <w:tcPr>
            <w:tcW w:w="440" w:type="dxa"/>
            <w:shd w:val="clear" w:color="auto" w:fill="D9E2F3" w:themeFill="accent1" w:themeFillTint="33"/>
            <w:vAlign w:val="center"/>
          </w:tcPr>
          <w:p w14:paraId="3498FF79" w14:textId="7E61DC5A" w:rsidR="00931F52" w:rsidRPr="00931F52" w:rsidRDefault="00931F52" w:rsidP="00C537AF">
            <w:pPr>
              <w:bidi w:val="0"/>
              <w:spacing w:line="480" w:lineRule="auto"/>
              <w:rPr>
                <w:i/>
                <w:iCs/>
              </w:rPr>
            </w:pPr>
            <w:r>
              <w:rPr>
                <w:i/>
                <w:iCs/>
              </w:rPr>
              <w:t>8</w:t>
            </w:r>
          </w:p>
        </w:tc>
        <w:tc>
          <w:tcPr>
            <w:tcW w:w="1672" w:type="dxa"/>
            <w:shd w:val="clear" w:color="auto" w:fill="D9E2F3" w:themeFill="accent1" w:themeFillTint="33"/>
            <w:vAlign w:val="center"/>
          </w:tcPr>
          <w:p w14:paraId="62E2EB71" w14:textId="3BE08F42" w:rsidR="00931F52" w:rsidRPr="00931F52" w:rsidRDefault="00931F52" w:rsidP="00C537AF">
            <w:pPr>
              <w:bidi w:val="0"/>
              <w:spacing w:line="480" w:lineRule="auto"/>
              <w:jc w:val="center"/>
              <w:rPr>
                <w:i/>
                <w:iCs/>
              </w:rPr>
            </w:pPr>
            <w:r>
              <w:rPr>
                <w:i/>
                <w:iCs/>
              </w:rPr>
              <w:t>CCW_CCW_conf</w:t>
            </w:r>
          </w:p>
        </w:tc>
        <w:tc>
          <w:tcPr>
            <w:tcW w:w="1701" w:type="dxa"/>
            <w:vMerge/>
            <w:shd w:val="clear" w:color="auto" w:fill="D9E2F3" w:themeFill="accent1" w:themeFillTint="33"/>
            <w:vAlign w:val="center"/>
          </w:tcPr>
          <w:p w14:paraId="366F2C63"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04F9D400"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71FCABE8" w14:textId="77777777" w:rsidR="00931F52" w:rsidRDefault="00931F52" w:rsidP="00C537AF">
            <w:pPr>
              <w:bidi w:val="0"/>
              <w:spacing w:line="480" w:lineRule="auto"/>
              <w:jc w:val="center"/>
            </w:pPr>
          </w:p>
        </w:tc>
      </w:tr>
      <w:tr w:rsidR="00931F52" w14:paraId="2EF3E601" w14:textId="77777777" w:rsidTr="00931F52">
        <w:tc>
          <w:tcPr>
            <w:tcW w:w="440" w:type="dxa"/>
            <w:shd w:val="clear" w:color="auto" w:fill="D9E2F3" w:themeFill="accent1" w:themeFillTint="33"/>
            <w:vAlign w:val="center"/>
          </w:tcPr>
          <w:p w14:paraId="2FA96D78" w14:textId="0B4F7710" w:rsidR="00931F52" w:rsidRDefault="00931F52" w:rsidP="00C537AF">
            <w:pPr>
              <w:bidi w:val="0"/>
              <w:spacing w:line="480" w:lineRule="auto"/>
              <w:rPr>
                <w:i/>
                <w:iCs/>
              </w:rPr>
            </w:pPr>
            <w:r>
              <w:rPr>
                <w:i/>
                <w:iCs/>
              </w:rPr>
              <w:t>9</w:t>
            </w:r>
          </w:p>
        </w:tc>
        <w:tc>
          <w:tcPr>
            <w:tcW w:w="1672" w:type="dxa"/>
            <w:shd w:val="clear" w:color="auto" w:fill="D9E2F3" w:themeFill="accent1" w:themeFillTint="33"/>
            <w:vAlign w:val="center"/>
          </w:tcPr>
          <w:p w14:paraId="11D95329" w14:textId="45972E6B" w:rsidR="00931F52" w:rsidRDefault="00931F52" w:rsidP="00C537AF">
            <w:pPr>
              <w:bidi w:val="0"/>
              <w:spacing w:line="480" w:lineRule="auto"/>
              <w:jc w:val="center"/>
              <w:rPr>
                <w:i/>
                <w:iCs/>
              </w:rPr>
            </w:pPr>
            <w:r>
              <w:rPr>
                <w:i/>
                <w:iCs/>
              </w:rPr>
              <w:t>Y_Y</w:t>
            </w:r>
          </w:p>
        </w:tc>
        <w:tc>
          <w:tcPr>
            <w:tcW w:w="1701" w:type="dxa"/>
            <w:vMerge w:val="restart"/>
            <w:shd w:val="clear" w:color="auto" w:fill="D9E2F3" w:themeFill="accent1" w:themeFillTint="33"/>
            <w:vAlign w:val="center"/>
          </w:tcPr>
          <w:p w14:paraId="59581912" w14:textId="33D41482" w:rsidR="00931F52" w:rsidRDefault="00931F52" w:rsidP="00C537AF">
            <w:pPr>
              <w:bidi w:val="0"/>
              <w:spacing w:line="480" w:lineRule="auto"/>
              <w:jc w:val="center"/>
            </w:pPr>
            <w:r>
              <w:t>Detection</w:t>
            </w:r>
          </w:p>
        </w:tc>
        <w:tc>
          <w:tcPr>
            <w:tcW w:w="1797" w:type="dxa"/>
            <w:vMerge w:val="restart"/>
            <w:shd w:val="clear" w:color="auto" w:fill="D9E2F3" w:themeFill="accent1" w:themeFillTint="33"/>
            <w:vAlign w:val="center"/>
          </w:tcPr>
          <w:p w14:paraId="23C6A4D4" w14:textId="4A5B7862" w:rsidR="00931F52" w:rsidRDefault="00931F52" w:rsidP="00C537AF">
            <w:pPr>
              <w:bidi w:val="0"/>
              <w:spacing w:line="480" w:lineRule="auto"/>
              <w:jc w:val="center"/>
            </w:pPr>
            <w:r>
              <w:t>Signal</w:t>
            </w:r>
          </w:p>
        </w:tc>
        <w:tc>
          <w:tcPr>
            <w:tcW w:w="1797" w:type="dxa"/>
            <w:vMerge w:val="restart"/>
            <w:shd w:val="clear" w:color="auto" w:fill="D9E2F3" w:themeFill="accent1" w:themeFillTint="33"/>
            <w:vAlign w:val="center"/>
          </w:tcPr>
          <w:p w14:paraId="16AE11F7" w14:textId="02FC74A5" w:rsidR="00931F52" w:rsidRDefault="00931F52" w:rsidP="00C537AF">
            <w:pPr>
              <w:bidi w:val="0"/>
              <w:spacing w:line="480" w:lineRule="auto"/>
              <w:jc w:val="center"/>
            </w:pPr>
            <w:r>
              <w:t>Yes</w:t>
            </w:r>
          </w:p>
        </w:tc>
      </w:tr>
      <w:tr w:rsidR="00931F52" w14:paraId="24BF25A3" w14:textId="77777777" w:rsidTr="00931F52">
        <w:tc>
          <w:tcPr>
            <w:tcW w:w="440" w:type="dxa"/>
            <w:shd w:val="clear" w:color="auto" w:fill="D9E2F3" w:themeFill="accent1" w:themeFillTint="33"/>
            <w:vAlign w:val="center"/>
          </w:tcPr>
          <w:p w14:paraId="4B63A94F" w14:textId="11B9F795" w:rsidR="00931F52" w:rsidRDefault="00931F52" w:rsidP="00C537AF">
            <w:pPr>
              <w:bidi w:val="0"/>
              <w:spacing w:line="480" w:lineRule="auto"/>
              <w:rPr>
                <w:i/>
                <w:iCs/>
              </w:rPr>
            </w:pPr>
            <w:r>
              <w:rPr>
                <w:i/>
                <w:iCs/>
              </w:rPr>
              <w:t>10</w:t>
            </w:r>
          </w:p>
        </w:tc>
        <w:tc>
          <w:tcPr>
            <w:tcW w:w="1672" w:type="dxa"/>
            <w:shd w:val="clear" w:color="auto" w:fill="D9E2F3" w:themeFill="accent1" w:themeFillTint="33"/>
            <w:vAlign w:val="center"/>
          </w:tcPr>
          <w:p w14:paraId="49631ADC" w14:textId="74E5EAF8" w:rsidR="00931F52" w:rsidRDefault="00931F52" w:rsidP="00C537AF">
            <w:pPr>
              <w:bidi w:val="0"/>
              <w:spacing w:line="480" w:lineRule="auto"/>
              <w:jc w:val="center"/>
              <w:rPr>
                <w:i/>
                <w:iCs/>
              </w:rPr>
            </w:pPr>
            <w:r>
              <w:rPr>
                <w:i/>
                <w:iCs/>
              </w:rPr>
              <w:t>Y_Y_conf</w:t>
            </w:r>
          </w:p>
        </w:tc>
        <w:tc>
          <w:tcPr>
            <w:tcW w:w="1701" w:type="dxa"/>
            <w:vMerge/>
            <w:shd w:val="clear" w:color="auto" w:fill="D9E2F3" w:themeFill="accent1" w:themeFillTint="33"/>
            <w:vAlign w:val="center"/>
          </w:tcPr>
          <w:p w14:paraId="7A0A379F"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7504B676"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50D8B5B1" w14:textId="77777777" w:rsidR="00931F52" w:rsidRDefault="00931F52" w:rsidP="00C537AF">
            <w:pPr>
              <w:bidi w:val="0"/>
              <w:spacing w:line="480" w:lineRule="auto"/>
              <w:jc w:val="center"/>
            </w:pPr>
          </w:p>
        </w:tc>
      </w:tr>
      <w:tr w:rsidR="00931F52" w14:paraId="46B30029" w14:textId="77777777" w:rsidTr="00931F52">
        <w:tc>
          <w:tcPr>
            <w:tcW w:w="440" w:type="dxa"/>
            <w:shd w:val="clear" w:color="auto" w:fill="FBE4D5" w:themeFill="accent2" w:themeFillTint="33"/>
            <w:vAlign w:val="center"/>
          </w:tcPr>
          <w:p w14:paraId="3CE3D33F" w14:textId="6D25DA44" w:rsidR="00931F52" w:rsidRDefault="00931F52" w:rsidP="00C537AF">
            <w:pPr>
              <w:bidi w:val="0"/>
              <w:spacing w:line="480" w:lineRule="auto"/>
              <w:rPr>
                <w:i/>
                <w:iCs/>
              </w:rPr>
            </w:pPr>
            <w:r>
              <w:rPr>
                <w:i/>
                <w:iCs/>
              </w:rPr>
              <w:t>11</w:t>
            </w:r>
          </w:p>
        </w:tc>
        <w:tc>
          <w:tcPr>
            <w:tcW w:w="1672" w:type="dxa"/>
            <w:shd w:val="clear" w:color="auto" w:fill="FBE4D5" w:themeFill="accent2" w:themeFillTint="33"/>
            <w:vAlign w:val="center"/>
          </w:tcPr>
          <w:p w14:paraId="0B2BFCD2" w14:textId="269AAD80" w:rsidR="00931F52" w:rsidRDefault="00931F52" w:rsidP="00C537AF">
            <w:pPr>
              <w:bidi w:val="0"/>
              <w:spacing w:line="480" w:lineRule="auto"/>
              <w:jc w:val="center"/>
              <w:rPr>
                <w:i/>
                <w:iCs/>
              </w:rPr>
            </w:pPr>
            <w:r>
              <w:rPr>
                <w:i/>
                <w:iCs/>
              </w:rPr>
              <w:t>Y_N</w:t>
            </w:r>
          </w:p>
        </w:tc>
        <w:tc>
          <w:tcPr>
            <w:tcW w:w="1701" w:type="dxa"/>
            <w:vMerge w:val="restart"/>
            <w:shd w:val="clear" w:color="auto" w:fill="FBE4D5" w:themeFill="accent2" w:themeFillTint="33"/>
            <w:vAlign w:val="center"/>
          </w:tcPr>
          <w:p w14:paraId="318EAB1A" w14:textId="27AE564E" w:rsidR="00931F52" w:rsidRDefault="00931F52" w:rsidP="00C537AF">
            <w:pPr>
              <w:bidi w:val="0"/>
              <w:spacing w:line="480" w:lineRule="auto"/>
              <w:jc w:val="center"/>
            </w:pPr>
            <w:r>
              <w:t>Detection</w:t>
            </w:r>
          </w:p>
        </w:tc>
        <w:tc>
          <w:tcPr>
            <w:tcW w:w="1797" w:type="dxa"/>
            <w:vMerge w:val="restart"/>
            <w:shd w:val="clear" w:color="auto" w:fill="FBE4D5" w:themeFill="accent2" w:themeFillTint="33"/>
            <w:vAlign w:val="center"/>
          </w:tcPr>
          <w:p w14:paraId="4946E1BB" w14:textId="769E768C" w:rsidR="00931F52" w:rsidRDefault="00931F52" w:rsidP="00C537AF">
            <w:pPr>
              <w:bidi w:val="0"/>
              <w:spacing w:line="480" w:lineRule="auto"/>
              <w:jc w:val="center"/>
            </w:pPr>
            <w:r>
              <w:t>Signal</w:t>
            </w:r>
          </w:p>
        </w:tc>
        <w:tc>
          <w:tcPr>
            <w:tcW w:w="1797" w:type="dxa"/>
            <w:vMerge w:val="restart"/>
            <w:shd w:val="clear" w:color="auto" w:fill="FBE4D5" w:themeFill="accent2" w:themeFillTint="33"/>
            <w:vAlign w:val="center"/>
          </w:tcPr>
          <w:p w14:paraId="3F4EA23E" w14:textId="2B182DCD" w:rsidR="00931F52" w:rsidRDefault="00931F52" w:rsidP="00C537AF">
            <w:pPr>
              <w:bidi w:val="0"/>
              <w:spacing w:line="480" w:lineRule="auto"/>
              <w:jc w:val="center"/>
            </w:pPr>
            <w:r>
              <w:t>No</w:t>
            </w:r>
          </w:p>
        </w:tc>
      </w:tr>
      <w:tr w:rsidR="00931F52" w14:paraId="4F8A3EE0" w14:textId="77777777" w:rsidTr="00931F52">
        <w:tc>
          <w:tcPr>
            <w:tcW w:w="440" w:type="dxa"/>
            <w:shd w:val="clear" w:color="auto" w:fill="FBE4D5" w:themeFill="accent2" w:themeFillTint="33"/>
            <w:vAlign w:val="center"/>
          </w:tcPr>
          <w:p w14:paraId="4E0857B8" w14:textId="238683C4" w:rsidR="00931F52" w:rsidRDefault="00931F52" w:rsidP="00C537AF">
            <w:pPr>
              <w:bidi w:val="0"/>
              <w:spacing w:line="480" w:lineRule="auto"/>
              <w:rPr>
                <w:i/>
                <w:iCs/>
              </w:rPr>
            </w:pPr>
            <w:r>
              <w:rPr>
                <w:i/>
                <w:iCs/>
              </w:rPr>
              <w:t>12</w:t>
            </w:r>
          </w:p>
        </w:tc>
        <w:tc>
          <w:tcPr>
            <w:tcW w:w="1672" w:type="dxa"/>
            <w:shd w:val="clear" w:color="auto" w:fill="FBE4D5" w:themeFill="accent2" w:themeFillTint="33"/>
            <w:vAlign w:val="center"/>
          </w:tcPr>
          <w:p w14:paraId="311A0D3B" w14:textId="03C9195E" w:rsidR="00931F52" w:rsidRDefault="00931F52" w:rsidP="00C537AF">
            <w:pPr>
              <w:bidi w:val="0"/>
              <w:spacing w:line="480" w:lineRule="auto"/>
              <w:jc w:val="center"/>
              <w:rPr>
                <w:i/>
                <w:iCs/>
              </w:rPr>
            </w:pPr>
            <w:r>
              <w:rPr>
                <w:i/>
                <w:iCs/>
              </w:rPr>
              <w:t>Y_N_conf</w:t>
            </w:r>
          </w:p>
        </w:tc>
        <w:tc>
          <w:tcPr>
            <w:tcW w:w="1701" w:type="dxa"/>
            <w:vMerge/>
            <w:shd w:val="clear" w:color="auto" w:fill="FBE4D5" w:themeFill="accent2" w:themeFillTint="33"/>
            <w:vAlign w:val="center"/>
          </w:tcPr>
          <w:p w14:paraId="4F7A4CAD" w14:textId="4E13B4B7" w:rsidR="00931F52" w:rsidRDefault="00931F52" w:rsidP="00C537AF">
            <w:pPr>
              <w:bidi w:val="0"/>
              <w:spacing w:line="480" w:lineRule="auto"/>
              <w:jc w:val="center"/>
            </w:pPr>
          </w:p>
        </w:tc>
        <w:tc>
          <w:tcPr>
            <w:tcW w:w="1797" w:type="dxa"/>
            <w:vMerge/>
            <w:shd w:val="clear" w:color="auto" w:fill="FBE4D5" w:themeFill="accent2" w:themeFillTint="33"/>
            <w:vAlign w:val="center"/>
          </w:tcPr>
          <w:p w14:paraId="21DC6430"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1EFC4906" w14:textId="77777777" w:rsidR="00931F52" w:rsidRDefault="00931F52" w:rsidP="00C537AF">
            <w:pPr>
              <w:bidi w:val="0"/>
              <w:spacing w:line="480" w:lineRule="auto"/>
              <w:jc w:val="center"/>
            </w:pPr>
          </w:p>
        </w:tc>
      </w:tr>
      <w:tr w:rsidR="00931F52" w14:paraId="278981C5" w14:textId="77777777" w:rsidTr="00931F52">
        <w:tc>
          <w:tcPr>
            <w:tcW w:w="440" w:type="dxa"/>
            <w:shd w:val="clear" w:color="auto" w:fill="FBE4D5" w:themeFill="accent2" w:themeFillTint="33"/>
            <w:vAlign w:val="center"/>
          </w:tcPr>
          <w:p w14:paraId="64F79ACF" w14:textId="7600CCAB" w:rsidR="00931F52" w:rsidRDefault="00931F52" w:rsidP="00C537AF">
            <w:pPr>
              <w:bidi w:val="0"/>
              <w:spacing w:line="480" w:lineRule="auto"/>
              <w:rPr>
                <w:i/>
                <w:iCs/>
              </w:rPr>
            </w:pPr>
            <w:r>
              <w:rPr>
                <w:i/>
                <w:iCs/>
              </w:rPr>
              <w:t>13</w:t>
            </w:r>
          </w:p>
        </w:tc>
        <w:tc>
          <w:tcPr>
            <w:tcW w:w="1672" w:type="dxa"/>
            <w:shd w:val="clear" w:color="auto" w:fill="FBE4D5" w:themeFill="accent2" w:themeFillTint="33"/>
            <w:vAlign w:val="center"/>
          </w:tcPr>
          <w:p w14:paraId="09FAE665" w14:textId="6B7A3803" w:rsidR="00931F52" w:rsidRDefault="00931F52" w:rsidP="00C537AF">
            <w:pPr>
              <w:bidi w:val="0"/>
              <w:spacing w:line="480" w:lineRule="auto"/>
              <w:jc w:val="center"/>
              <w:rPr>
                <w:i/>
                <w:iCs/>
              </w:rPr>
            </w:pPr>
            <w:r>
              <w:rPr>
                <w:i/>
                <w:iCs/>
              </w:rPr>
              <w:t>N_Y</w:t>
            </w:r>
          </w:p>
        </w:tc>
        <w:tc>
          <w:tcPr>
            <w:tcW w:w="1701" w:type="dxa"/>
            <w:vMerge w:val="restart"/>
            <w:shd w:val="clear" w:color="auto" w:fill="FBE4D5" w:themeFill="accent2" w:themeFillTint="33"/>
            <w:vAlign w:val="center"/>
          </w:tcPr>
          <w:p w14:paraId="79657972" w14:textId="77777777" w:rsidR="00931F52" w:rsidRDefault="00931F52" w:rsidP="00C537AF">
            <w:pPr>
              <w:bidi w:val="0"/>
              <w:spacing w:line="480" w:lineRule="auto"/>
              <w:jc w:val="center"/>
            </w:pPr>
            <w:r>
              <w:t>Detection</w:t>
            </w:r>
          </w:p>
        </w:tc>
        <w:tc>
          <w:tcPr>
            <w:tcW w:w="1797" w:type="dxa"/>
            <w:vMerge w:val="restart"/>
            <w:shd w:val="clear" w:color="auto" w:fill="FBE4D5" w:themeFill="accent2" w:themeFillTint="33"/>
            <w:vAlign w:val="center"/>
          </w:tcPr>
          <w:p w14:paraId="44F0F290" w14:textId="6170075F" w:rsidR="00931F52" w:rsidRDefault="00931F52" w:rsidP="00C537AF">
            <w:pPr>
              <w:bidi w:val="0"/>
              <w:spacing w:line="480" w:lineRule="auto"/>
              <w:jc w:val="center"/>
            </w:pPr>
            <w:r>
              <w:t>Noise</w:t>
            </w:r>
          </w:p>
        </w:tc>
        <w:tc>
          <w:tcPr>
            <w:tcW w:w="1797" w:type="dxa"/>
            <w:vMerge w:val="restart"/>
            <w:shd w:val="clear" w:color="auto" w:fill="FBE4D5" w:themeFill="accent2" w:themeFillTint="33"/>
            <w:vAlign w:val="center"/>
          </w:tcPr>
          <w:p w14:paraId="6A966ABB" w14:textId="77777777" w:rsidR="00931F52" w:rsidRDefault="00931F52" w:rsidP="00C537AF">
            <w:pPr>
              <w:bidi w:val="0"/>
              <w:spacing w:line="480" w:lineRule="auto"/>
              <w:jc w:val="center"/>
            </w:pPr>
            <w:r>
              <w:t>Yes</w:t>
            </w:r>
          </w:p>
        </w:tc>
      </w:tr>
      <w:tr w:rsidR="00931F52" w14:paraId="0728F68A" w14:textId="77777777" w:rsidTr="00931F52">
        <w:tc>
          <w:tcPr>
            <w:tcW w:w="440" w:type="dxa"/>
            <w:shd w:val="clear" w:color="auto" w:fill="FBE4D5" w:themeFill="accent2" w:themeFillTint="33"/>
            <w:vAlign w:val="center"/>
          </w:tcPr>
          <w:p w14:paraId="61442361" w14:textId="22492E7E" w:rsidR="00931F52" w:rsidRDefault="00931F52" w:rsidP="00C537AF">
            <w:pPr>
              <w:bidi w:val="0"/>
              <w:spacing w:line="480" w:lineRule="auto"/>
              <w:rPr>
                <w:i/>
                <w:iCs/>
              </w:rPr>
            </w:pPr>
            <w:r>
              <w:rPr>
                <w:i/>
                <w:iCs/>
              </w:rPr>
              <w:lastRenderedPageBreak/>
              <w:t>14</w:t>
            </w:r>
          </w:p>
        </w:tc>
        <w:tc>
          <w:tcPr>
            <w:tcW w:w="1672" w:type="dxa"/>
            <w:shd w:val="clear" w:color="auto" w:fill="FBE4D5" w:themeFill="accent2" w:themeFillTint="33"/>
            <w:vAlign w:val="center"/>
          </w:tcPr>
          <w:p w14:paraId="0E0E1EA7" w14:textId="1784DC11" w:rsidR="00931F52" w:rsidRDefault="00931F52" w:rsidP="00C537AF">
            <w:pPr>
              <w:bidi w:val="0"/>
              <w:spacing w:line="480" w:lineRule="auto"/>
              <w:jc w:val="center"/>
              <w:rPr>
                <w:i/>
                <w:iCs/>
              </w:rPr>
            </w:pPr>
            <w:r>
              <w:rPr>
                <w:i/>
                <w:iCs/>
              </w:rPr>
              <w:t>N_Y_conf</w:t>
            </w:r>
          </w:p>
        </w:tc>
        <w:tc>
          <w:tcPr>
            <w:tcW w:w="1701" w:type="dxa"/>
            <w:vMerge/>
            <w:shd w:val="clear" w:color="auto" w:fill="FBE4D5" w:themeFill="accent2" w:themeFillTint="33"/>
            <w:vAlign w:val="center"/>
          </w:tcPr>
          <w:p w14:paraId="4EBA9B0C"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67DB05E8"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587E7A5C" w14:textId="77777777" w:rsidR="00931F52" w:rsidRDefault="00931F52" w:rsidP="00C537AF">
            <w:pPr>
              <w:bidi w:val="0"/>
              <w:spacing w:line="480" w:lineRule="auto"/>
              <w:jc w:val="center"/>
            </w:pPr>
          </w:p>
        </w:tc>
      </w:tr>
      <w:tr w:rsidR="00931F52" w14:paraId="5E276DA6" w14:textId="77777777" w:rsidTr="00931F52">
        <w:tc>
          <w:tcPr>
            <w:tcW w:w="440" w:type="dxa"/>
            <w:shd w:val="clear" w:color="auto" w:fill="D9E2F3" w:themeFill="accent1" w:themeFillTint="33"/>
            <w:vAlign w:val="center"/>
          </w:tcPr>
          <w:p w14:paraId="21D7B908" w14:textId="0A34D3E7" w:rsidR="00931F52" w:rsidRDefault="00931F52" w:rsidP="00C537AF">
            <w:pPr>
              <w:bidi w:val="0"/>
              <w:spacing w:line="480" w:lineRule="auto"/>
              <w:rPr>
                <w:i/>
                <w:iCs/>
              </w:rPr>
            </w:pPr>
            <w:r>
              <w:rPr>
                <w:i/>
                <w:iCs/>
              </w:rPr>
              <w:t>15</w:t>
            </w:r>
          </w:p>
        </w:tc>
        <w:tc>
          <w:tcPr>
            <w:tcW w:w="1672" w:type="dxa"/>
            <w:shd w:val="clear" w:color="auto" w:fill="D9E2F3" w:themeFill="accent1" w:themeFillTint="33"/>
            <w:vAlign w:val="center"/>
          </w:tcPr>
          <w:p w14:paraId="6BE2227F" w14:textId="0DE5584F" w:rsidR="00931F52" w:rsidRDefault="00931F52" w:rsidP="00C537AF">
            <w:pPr>
              <w:bidi w:val="0"/>
              <w:spacing w:line="480" w:lineRule="auto"/>
              <w:jc w:val="center"/>
              <w:rPr>
                <w:i/>
                <w:iCs/>
              </w:rPr>
            </w:pPr>
            <w:r>
              <w:rPr>
                <w:i/>
                <w:iCs/>
              </w:rPr>
              <w:t>N_N</w:t>
            </w:r>
          </w:p>
        </w:tc>
        <w:tc>
          <w:tcPr>
            <w:tcW w:w="1701" w:type="dxa"/>
            <w:vMerge w:val="restart"/>
            <w:shd w:val="clear" w:color="auto" w:fill="D9E2F3" w:themeFill="accent1" w:themeFillTint="33"/>
            <w:vAlign w:val="center"/>
          </w:tcPr>
          <w:p w14:paraId="5D5263FC" w14:textId="77777777" w:rsidR="00931F52" w:rsidRDefault="00931F52" w:rsidP="00C537AF">
            <w:pPr>
              <w:bidi w:val="0"/>
              <w:spacing w:line="480" w:lineRule="auto"/>
              <w:jc w:val="center"/>
            </w:pPr>
            <w:r>
              <w:t>Detection</w:t>
            </w:r>
          </w:p>
        </w:tc>
        <w:tc>
          <w:tcPr>
            <w:tcW w:w="1797" w:type="dxa"/>
            <w:vMerge w:val="restart"/>
            <w:shd w:val="clear" w:color="auto" w:fill="D9E2F3" w:themeFill="accent1" w:themeFillTint="33"/>
            <w:vAlign w:val="center"/>
          </w:tcPr>
          <w:p w14:paraId="3CD2B282" w14:textId="7D6EC40F" w:rsidR="00931F52" w:rsidRDefault="00931F52" w:rsidP="00C537AF">
            <w:pPr>
              <w:bidi w:val="0"/>
              <w:spacing w:line="480" w:lineRule="auto"/>
              <w:jc w:val="center"/>
            </w:pPr>
            <w:r>
              <w:t>Noise</w:t>
            </w:r>
          </w:p>
        </w:tc>
        <w:tc>
          <w:tcPr>
            <w:tcW w:w="1797" w:type="dxa"/>
            <w:vMerge w:val="restart"/>
            <w:shd w:val="clear" w:color="auto" w:fill="D9E2F3" w:themeFill="accent1" w:themeFillTint="33"/>
            <w:vAlign w:val="center"/>
          </w:tcPr>
          <w:p w14:paraId="7A16F7A5" w14:textId="6E71A8C5" w:rsidR="00931F52" w:rsidRDefault="00931F52" w:rsidP="00C537AF">
            <w:pPr>
              <w:bidi w:val="0"/>
              <w:spacing w:line="480" w:lineRule="auto"/>
              <w:jc w:val="center"/>
            </w:pPr>
            <w:r>
              <w:t>No</w:t>
            </w:r>
          </w:p>
        </w:tc>
      </w:tr>
      <w:tr w:rsidR="00931F52" w14:paraId="67A90627" w14:textId="77777777" w:rsidTr="00931F52">
        <w:tc>
          <w:tcPr>
            <w:tcW w:w="440" w:type="dxa"/>
            <w:shd w:val="clear" w:color="auto" w:fill="D9E2F3" w:themeFill="accent1" w:themeFillTint="33"/>
            <w:vAlign w:val="center"/>
          </w:tcPr>
          <w:p w14:paraId="29A66B1F" w14:textId="13CDDF5D" w:rsidR="00931F52" w:rsidRDefault="00931F52" w:rsidP="00C537AF">
            <w:pPr>
              <w:bidi w:val="0"/>
              <w:spacing w:line="480" w:lineRule="auto"/>
              <w:rPr>
                <w:i/>
                <w:iCs/>
              </w:rPr>
            </w:pPr>
            <w:r>
              <w:rPr>
                <w:i/>
                <w:iCs/>
              </w:rPr>
              <w:t>16</w:t>
            </w:r>
          </w:p>
        </w:tc>
        <w:tc>
          <w:tcPr>
            <w:tcW w:w="1672" w:type="dxa"/>
            <w:shd w:val="clear" w:color="auto" w:fill="D9E2F3" w:themeFill="accent1" w:themeFillTint="33"/>
            <w:vAlign w:val="center"/>
          </w:tcPr>
          <w:p w14:paraId="70685ABA" w14:textId="7B3A86BA" w:rsidR="00931F52" w:rsidRDefault="00931F52" w:rsidP="00C537AF">
            <w:pPr>
              <w:bidi w:val="0"/>
              <w:spacing w:line="480" w:lineRule="auto"/>
              <w:jc w:val="center"/>
              <w:rPr>
                <w:i/>
                <w:iCs/>
              </w:rPr>
            </w:pPr>
            <w:r>
              <w:rPr>
                <w:i/>
                <w:iCs/>
              </w:rPr>
              <w:t>N_N_conf</w:t>
            </w:r>
          </w:p>
        </w:tc>
        <w:tc>
          <w:tcPr>
            <w:tcW w:w="1701" w:type="dxa"/>
            <w:vMerge/>
            <w:shd w:val="clear" w:color="auto" w:fill="D9E2F3" w:themeFill="accent1" w:themeFillTint="33"/>
            <w:vAlign w:val="center"/>
          </w:tcPr>
          <w:p w14:paraId="6E6D82EF" w14:textId="77777777" w:rsidR="00931F52" w:rsidRDefault="00931F52" w:rsidP="00C537AF">
            <w:pPr>
              <w:bidi w:val="0"/>
              <w:spacing w:line="480" w:lineRule="auto"/>
            </w:pPr>
          </w:p>
        </w:tc>
        <w:tc>
          <w:tcPr>
            <w:tcW w:w="1797" w:type="dxa"/>
            <w:vMerge/>
            <w:shd w:val="clear" w:color="auto" w:fill="D9E2F3" w:themeFill="accent1" w:themeFillTint="33"/>
            <w:vAlign w:val="center"/>
          </w:tcPr>
          <w:p w14:paraId="7A450448" w14:textId="77777777" w:rsidR="00931F52" w:rsidRDefault="00931F52" w:rsidP="00C537AF">
            <w:pPr>
              <w:bidi w:val="0"/>
              <w:spacing w:line="480" w:lineRule="auto"/>
            </w:pPr>
          </w:p>
        </w:tc>
        <w:tc>
          <w:tcPr>
            <w:tcW w:w="1797" w:type="dxa"/>
            <w:vMerge/>
            <w:shd w:val="clear" w:color="auto" w:fill="D9E2F3" w:themeFill="accent1" w:themeFillTint="33"/>
            <w:vAlign w:val="center"/>
          </w:tcPr>
          <w:p w14:paraId="44C228EE" w14:textId="77777777" w:rsidR="00931F52" w:rsidRDefault="00931F52" w:rsidP="00C537AF">
            <w:pPr>
              <w:bidi w:val="0"/>
              <w:spacing w:line="480" w:lineRule="auto"/>
            </w:pPr>
          </w:p>
        </w:tc>
      </w:tr>
    </w:tbl>
    <w:p w14:paraId="2239B73A" w14:textId="045AAB7B" w:rsidR="00931F52" w:rsidRDefault="00931F52" w:rsidP="00C537AF">
      <w:pPr>
        <w:bidi w:val="0"/>
        <w:spacing w:line="480" w:lineRule="auto"/>
      </w:pPr>
    </w:p>
    <w:p w14:paraId="25713A58" w14:textId="4B05AD84" w:rsidR="00931F52" w:rsidRDefault="00931F52" w:rsidP="00C537AF">
      <w:pPr>
        <w:bidi w:val="0"/>
        <w:spacing w:line="480" w:lineRule="auto"/>
      </w:pPr>
      <w:r>
        <w:t>Blue and red cells represent correct and incorrect responses, respectively.</w:t>
      </w:r>
    </w:p>
    <w:p w14:paraId="00921558" w14:textId="53C84E67" w:rsidR="00931F52" w:rsidRDefault="00931F52" w:rsidP="00C537AF">
      <w:pPr>
        <w:bidi w:val="0"/>
        <w:spacing w:line="480" w:lineRule="auto"/>
      </w:pPr>
      <w:r>
        <w:t xml:space="preserve">In addition, the design matrix will include a run-wise constant term regressor, a motor response regressor for each of the three response buttons, a motion regressor and physiological measures regressors.  </w:t>
      </w:r>
    </w:p>
    <w:p w14:paraId="4E8EE0F6" w14:textId="7368A84A" w:rsidR="00B2705E" w:rsidRDefault="001C3B6C" w:rsidP="00C537AF">
      <w:pPr>
        <w:bidi w:val="0"/>
        <w:spacing w:line="480" w:lineRule="auto"/>
      </w:pPr>
      <w:r>
        <w:t xml:space="preserve">Our primary analysis will focus on correct responses only. </w:t>
      </w:r>
      <w:r w:rsidR="00B2705E">
        <w:t>We will apply the following contrasts to the voxel-wise beta estimates:</w:t>
      </w:r>
    </w:p>
    <w:p w14:paraId="304B1230" w14:textId="77777777" w:rsidR="00B2705E" w:rsidRDefault="00B2705E" w:rsidP="00C537AF">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C537AF">
      <w:pPr>
        <w:bidi w:val="0"/>
        <w:spacing w:line="480" w:lineRule="auto"/>
      </w:pPr>
    </w:p>
    <w:tbl>
      <w:tblPr>
        <w:tblStyle w:val="GridTable1Light"/>
        <w:tblW w:w="0" w:type="auto"/>
        <w:tblLook w:val="04A0" w:firstRow="1" w:lastRow="0" w:firstColumn="1" w:lastColumn="0" w:noHBand="0" w:noVBand="1"/>
      </w:tblPr>
      <w:tblGrid>
        <w:gridCol w:w="4020"/>
        <w:gridCol w:w="4282"/>
      </w:tblGrid>
      <w:tr w:rsidR="00C856BB" w14:paraId="1C4B0BE8" w14:textId="77777777" w:rsidTr="00C85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5EF3E91D" w14:textId="1CC23A8E" w:rsidR="00C856BB" w:rsidRDefault="00C856BB" w:rsidP="00C537AF">
            <w:pPr>
              <w:bidi w:val="0"/>
              <w:spacing w:line="480" w:lineRule="auto"/>
            </w:pPr>
            <w:r>
              <w:t>Contrast</w:t>
            </w:r>
          </w:p>
        </w:tc>
        <w:tc>
          <w:tcPr>
            <w:tcW w:w="7513" w:type="dxa"/>
          </w:tcPr>
          <w:p w14:paraId="4E42D6ED" w14:textId="42BF6CB6" w:rsidR="00C856BB" w:rsidRDefault="00C856BB" w:rsidP="00C537AF">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r>
      <w:tr w:rsidR="00C856BB" w14:paraId="789A7373"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624D9912" w14:textId="77777777" w:rsidR="00C856BB" w:rsidRDefault="00C856BB" w:rsidP="00C537AF">
            <w:pPr>
              <w:pStyle w:val="ListParagraph"/>
              <w:numPr>
                <w:ilvl w:val="0"/>
                <w:numId w:val="15"/>
              </w:numPr>
              <w:bidi w:val="0"/>
              <w:spacing w:line="480" w:lineRule="auto"/>
              <w:rPr>
                <w:b w:val="0"/>
                <w:bCs w:val="0"/>
              </w:rPr>
            </w:pPr>
            <w:r>
              <w:rPr>
                <w:b w:val="0"/>
                <w:bCs w:val="0"/>
              </w:rPr>
              <w:t>Task</w:t>
            </w:r>
          </w:p>
          <w:p w14:paraId="03959220" w14:textId="70D48DCB" w:rsidR="00C856BB" w:rsidRPr="00001B8C" w:rsidRDefault="00C856BB" w:rsidP="00C537AF">
            <w:pPr>
              <w:pStyle w:val="ListParagraph"/>
              <w:bidi w:val="0"/>
              <w:spacing w:line="480" w:lineRule="auto"/>
              <w:rPr>
                <w:b w:val="0"/>
                <w:bCs w:val="0"/>
              </w:rPr>
            </w:pPr>
            <w:r>
              <w:rPr>
                <w:b w:val="0"/>
                <w:bCs w:val="0"/>
              </w:rPr>
              <w:t>([1 0 1 0 1 0 1 0 -1 0 -1 0 -1 0 -1 0])</w:t>
            </w:r>
          </w:p>
        </w:tc>
        <w:tc>
          <w:tcPr>
            <w:tcW w:w="7513" w:type="dxa"/>
          </w:tcPr>
          <w:p w14:paraId="1C137D57" w14:textId="2D5CA090" w:rsidR="00C856BB" w:rsidRDefault="00C856BB" w:rsidP="00C537AF">
            <w:pPr>
              <w:bidi w:val="0"/>
              <w:spacing w:line="480" w:lineRule="auto"/>
              <w:cnfStyle w:val="000000000000" w:firstRow="0" w:lastRow="0" w:firstColumn="0" w:lastColumn="0" w:oddVBand="0" w:evenVBand="0" w:oddHBand="0" w:evenHBand="0" w:firstRowFirstColumn="0" w:firstRowLastColumn="0" w:lastRowFirstColumn="0" w:lastRowLastColumn="0"/>
            </w:pPr>
            <w:r>
              <w:t>Brain r</w:t>
            </w:r>
            <w:r w:rsidR="002C1D6E">
              <w:t>egions showing a main effect of</w:t>
            </w:r>
            <w:r>
              <w:t xml:space="preserve"> task.</w:t>
            </w:r>
          </w:p>
        </w:tc>
      </w:tr>
      <w:tr w:rsidR="001C3B6C" w14:paraId="5D4FFAB6"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334F3A17" w14:textId="66482C92" w:rsidR="001C3B6C" w:rsidRDefault="001C3B6C" w:rsidP="001C3B6C">
            <w:pPr>
              <w:pStyle w:val="ListParagraph"/>
              <w:numPr>
                <w:ilvl w:val="0"/>
                <w:numId w:val="15"/>
              </w:numPr>
              <w:bidi w:val="0"/>
              <w:spacing w:line="480" w:lineRule="auto"/>
              <w:rPr>
                <w:b w:val="0"/>
                <w:bCs w:val="0"/>
              </w:rPr>
            </w:pPr>
            <w:r>
              <w:rPr>
                <w:b w:val="0"/>
                <w:bCs w:val="0"/>
              </w:rPr>
              <w:t xml:space="preserve">Correct rejections – Hits </w:t>
            </w:r>
          </w:p>
          <w:p w14:paraId="45B2FC18" w14:textId="0934E38D" w:rsidR="001C3B6C" w:rsidRPr="00001B8C" w:rsidRDefault="001C3B6C" w:rsidP="001C3B6C">
            <w:pPr>
              <w:pStyle w:val="ListParagraph"/>
              <w:bidi w:val="0"/>
              <w:spacing w:line="480" w:lineRule="auto"/>
              <w:rPr>
                <w:b w:val="0"/>
                <w:bCs w:val="0"/>
              </w:rPr>
            </w:pPr>
            <w:r>
              <w:rPr>
                <w:b w:val="0"/>
                <w:bCs w:val="0"/>
              </w:rPr>
              <w:t>([0 0 0 0 0 0 0 0 -1 0 0 0 0 0 1 0])</w:t>
            </w:r>
          </w:p>
        </w:tc>
        <w:tc>
          <w:tcPr>
            <w:tcW w:w="7513" w:type="dxa"/>
          </w:tcPr>
          <w:p w14:paraId="7E7E0513" w14:textId="1962A8A5"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detection task.</w:t>
            </w:r>
          </w:p>
        </w:tc>
      </w:tr>
      <w:tr w:rsidR="001C3B6C" w14:paraId="07FFC248"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78FA520C" w14:textId="6242F8DB" w:rsidR="001C3B6C" w:rsidRDefault="001C3B6C" w:rsidP="001C3B6C">
            <w:pPr>
              <w:pStyle w:val="ListParagraph"/>
              <w:numPr>
                <w:ilvl w:val="0"/>
                <w:numId w:val="15"/>
              </w:numPr>
              <w:bidi w:val="0"/>
              <w:spacing w:line="480" w:lineRule="auto"/>
              <w:rPr>
                <w:b w:val="0"/>
                <w:bCs w:val="0"/>
              </w:rPr>
            </w:pPr>
            <w:r>
              <w:rPr>
                <w:b w:val="0"/>
                <w:bCs w:val="0"/>
              </w:rPr>
              <w:t>Clockwise tilt – counterclockwise tilt (correct responses only)</w:t>
            </w:r>
            <w:r>
              <w:rPr>
                <w:b w:val="0"/>
                <w:bCs w:val="0"/>
              </w:rPr>
              <w:br/>
              <w:t>([-1 0 0 0 0 0 1 0 0 0 0 0 0 0 0 0])</w:t>
            </w:r>
          </w:p>
        </w:tc>
        <w:tc>
          <w:tcPr>
            <w:tcW w:w="7513" w:type="dxa"/>
          </w:tcPr>
          <w:p w14:paraId="362A85B4" w14:textId="2EB80FF0"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discrimination task.</w:t>
            </w:r>
          </w:p>
        </w:tc>
      </w:tr>
      <w:tr w:rsidR="00DC0797" w14:paraId="2767A0F5"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458AFE30" w14:textId="77777777" w:rsidR="00DC0797" w:rsidRDefault="00DC0797" w:rsidP="00DC0797">
            <w:pPr>
              <w:pStyle w:val="ListParagraph"/>
              <w:numPr>
                <w:ilvl w:val="0"/>
                <w:numId w:val="15"/>
              </w:numPr>
              <w:bidi w:val="0"/>
              <w:spacing w:line="480" w:lineRule="auto"/>
              <w:rPr>
                <w:b w:val="0"/>
                <w:bCs w:val="0"/>
              </w:rPr>
            </w:pPr>
            <w:r>
              <w:rPr>
                <w:b w:val="0"/>
                <w:bCs w:val="0"/>
              </w:rPr>
              <w:t>Confidence (correct responses only)</w:t>
            </w:r>
          </w:p>
          <w:p w14:paraId="510D899A" w14:textId="00463F26" w:rsidR="00DC0797" w:rsidRDefault="00DC0797" w:rsidP="00DC0797">
            <w:pPr>
              <w:pStyle w:val="ListParagraph"/>
              <w:bidi w:val="0"/>
              <w:spacing w:line="480" w:lineRule="auto"/>
              <w:rPr>
                <w:b w:val="0"/>
                <w:bCs w:val="0"/>
              </w:rPr>
            </w:pPr>
            <w:r>
              <w:rPr>
                <w:b w:val="0"/>
                <w:bCs w:val="0"/>
              </w:rPr>
              <w:t>([0 1 0 0 0 0 0 1 0 1 0 0 0 0 0 1])</w:t>
            </w:r>
          </w:p>
        </w:tc>
        <w:tc>
          <w:tcPr>
            <w:tcW w:w="7513" w:type="dxa"/>
          </w:tcPr>
          <w:p w14:paraId="0F64C1B3" w14:textId="21F141C4" w:rsidR="00DC0797" w:rsidRDefault="00DC0797" w:rsidP="00DC0797">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 on BOLD signal.</w:t>
            </w:r>
          </w:p>
        </w:tc>
      </w:tr>
      <w:tr w:rsidR="00DC0797" w14:paraId="397A2CB0"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3F74AF15" w14:textId="77777777" w:rsidR="00DC0797" w:rsidRDefault="00DC0797" w:rsidP="00DC0797">
            <w:pPr>
              <w:pStyle w:val="ListParagraph"/>
              <w:numPr>
                <w:ilvl w:val="0"/>
                <w:numId w:val="15"/>
              </w:numPr>
              <w:bidi w:val="0"/>
              <w:spacing w:line="480" w:lineRule="auto"/>
              <w:rPr>
                <w:b w:val="0"/>
                <w:bCs w:val="0"/>
              </w:rPr>
            </w:pPr>
            <w:r>
              <w:rPr>
                <w:b w:val="0"/>
                <w:bCs w:val="0"/>
              </w:rPr>
              <w:t>Confidence-task interaction (correct responses only)</w:t>
            </w:r>
          </w:p>
          <w:p w14:paraId="72208E39" w14:textId="7A6D874D" w:rsidR="00DC0797" w:rsidRDefault="00DC0797" w:rsidP="00DC0797">
            <w:pPr>
              <w:pStyle w:val="ListParagraph"/>
              <w:bidi w:val="0"/>
              <w:spacing w:line="480" w:lineRule="auto"/>
              <w:rPr>
                <w:b w:val="0"/>
                <w:bCs w:val="0"/>
              </w:rPr>
            </w:pPr>
            <w:r>
              <w:rPr>
                <w:b w:val="0"/>
                <w:bCs w:val="0"/>
              </w:rPr>
              <w:t>([0 1 0 0 0 0 0 1 0 -1 0 0 0 0 0 -1])</w:t>
            </w:r>
          </w:p>
        </w:tc>
        <w:tc>
          <w:tcPr>
            <w:tcW w:w="7513" w:type="dxa"/>
          </w:tcPr>
          <w:p w14:paraId="65FD1777" w14:textId="56EC8A89" w:rsidR="00DC0797" w:rsidRDefault="00DC0797" w:rsidP="00DC0797">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of confidence as a function of task.</w:t>
            </w:r>
          </w:p>
        </w:tc>
      </w:tr>
      <w:tr w:rsidR="001C3B6C" w14:paraId="2BF6881B"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73F5DA05" w14:textId="5CA7FF30" w:rsidR="001C3B6C" w:rsidRDefault="001C3B6C" w:rsidP="001C3B6C">
            <w:pPr>
              <w:pStyle w:val="ListParagraph"/>
              <w:numPr>
                <w:ilvl w:val="0"/>
                <w:numId w:val="15"/>
              </w:numPr>
              <w:bidi w:val="0"/>
              <w:spacing w:after="160" w:line="480" w:lineRule="auto"/>
              <w:rPr>
                <w:b w:val="0"/>
                <w:bCs w:val="0"/>
              </w:rPr>
            </w:pPr>
            <w:r>
              <w:rPr>
                <w:b w:val="0"/>
                <w:bCs w:val="0"/>
              </w:rPr>
              <w:t>Confidence in correct rejections – Confidence in hits</w:t>
            </w:r>
          </w:p>
          <w:p w14:paraId="047F46FB" w14:textId="738F39A3" w:rsidR="001C3B6C" w:rsidRPr="00001B8C" w:rsidRDefault="001C3B6C" w:rsidP="001C3B6C">
            <w:pPr>
              <w:pStyle w:val="ListParagraph"/>
              <w:bidi w:val="0"/>
              <w:spacing w:line="480" w:lineRule="auto"/>
              <w:rPr>
                <w:b w:val="0"/>
                <w:bCs w:val="0"/>
              </w:rPr>
            </w:pPr>
            <w:r>
              <w:rPr>
                <w:b w:val="0"/>
                <w:bCs w:val="0"/>
              </w:rPr>
              <w:t>([0 0 0 0 0 0 0 0 0 -1 0 0 0 0 0 1])</w:t>
            </w:r>
          </w:p>
        </w:tc>
        <w:tc>
          <w:tcPr>
            <w:tcW w:w="7513" w:type="dxa"/>
          </w:tcPr>
          <w:p w14:paraId="21D2AFE7" w14:textId="6AECB683"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detection task.</w:t>
            </w:r>
          </w:p>
        </w:tc>
      </w:tr>
      <w:tr w:rsidR="001C3B6C" w14:paraId="111A2B35" w14:textId="77777777" w:rsidTr="00C856BB">
        <w:tc>
          <w:tcPr>
            <w:cnfStyle w:val="001000000000" w:firstRow="0" w:lastRow="0" w:firstColumn="1" w:lastColumn="0" w:oddVBand="0" w:evenVBand="0" w:oddHBand="0" w:evenHBand="0" w:firstRowFirstColumn="0" w:firstRowLastColumn="0" w:lastRowFirstColumn="0" w:lastRowLastColumn="0"/>
            <w:tcW w:w="5807" w:type="dxa"/>
          </w:tcPr>
          <w:p w14:paraId="0905044A" w14:textId="627AFFD4" w:rsidR="001C3B6C" w:rsidRPr="00DC0797" w:rsidRDefault="001C3B6C" w:rsidP="00DC0797">
            <w:pPr>
              <w:pStyle w:val="ListParagraph"/>
              <w:numPr>
                <w:ilvl w:val="0"/>
                <w:numId w:val="15"/>
              </w:numPr>
              <w:bidi w:val="0"/>
              <w:spacing w:line="480" w:lineRule="auto"/>
              <w:rPr>
                <w:b w:val="0"/>
                <w:bCs w:val="0"/>
              </w:rPr>
            </w:pPr>
            <w:r w:rsidRPr="00DC0797">
              <w:rPr>
                <w:b w:val="0"/>
                <w:bCs w:val="0"/>
              </w:rPr>
              <w:t>Confidence in clockwise tilt – Confidence in counterclockwise tilt</w:t>
            </w:r>
          </w:p>
          <w:p w14:paraId="4EA50664" w14:textId="3D7D279E" w:rsidR="001C3B6C" w:rsidRPr="00BC1AC5" w:rsidRDefault="001C3B6C" w:rsidP="001C3B6C">
            <w:pPr>
              <w:pStyle w:val="ListParagraph"/>
              <w:bidi w:val="0"/>
              <w:spacing w:line="480" w:lineRule="auto"/>
              <w:rPr>
                <w:b w:val="0"/>
                <w:bCs w:val="0"/>
              </w:rPr>
            </w:pPr>
            <w:r>
              <w:rPr>
                <w:b w:val="0"/>
                <w:bCs w:val="0"/>
              </w:rPr>
              <w:t>([0 -1 0 0 0 0 0 1 0 0 0 0 0 0 0 0])</w:t>
            </w:r>
          </w:p>
        </w:tc>
        <w:tc>
          <w:tcPr>
            <w:tcW w:w="7513" w:type="dxa"/>
          </w:tcPr>
          <w:p w14:paraId="2BF30E0F" w14:textId="7C0808D2"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discrimination task.</w:t>
            </w:r>
          </w:p>
        </w:tc>
      </w:tr>
    </w:tbl>
    <w:p w14:paraId="3572FC69" w14:textId="77777777" w:rsidR="00B2705E" w:rsidRDefault="00B2705E" w:rsidP="00C537AF">
      <w:pPr>
        <w:bidi w:val="0"/>
        <w:spacing w:line="480" w:lineRule="auto"/>
      </w:pPr>
    </w:p>
    <w:p w14:paraId="6EB690AD" w14:textId="77777777" w:rsidR="00CB0443" w:rsidRDefault="00CB0443">
      <w:pPr>
        <w:rPr>
          <w:rFonts w:hint="cs"/>
          <w:rtl/>
        </w:rPr>
      </w:pPr>
      <w:r>
        <w:br w:type="page"/>
      </w:r>
    </w:p>
    <w:p w14:paraId="5EB43C05" w14:textId="77777777" w:rsidR="00CB0443" w:rsidRDefault="00CB0443" w:rsidP="00CB0443">
      <w:pPr>
        <w:bidi w:val="0"/>
        <w:spacing w:line="480" w:lineRule="auto"/>
      </w:pPr>
      <w:r>
        <w:lastRenderedPageBreak/>
        <w:t xml:space="preserve">Contrasts 4-7 will detect regions that modulate their response as a function of reported confidence in correct responses. These regions can be further classified into two groups: brain regions that represent confidence, and brain regions that exhibit differential activation as a function of transient metacognitive adequacy. While the first are expected to show a similar pattern for correct and incorrect responses, the second group is expected to show opposite signs of signal modulation as a function of response accuracy.  While high confidence in a correct response is more metacognitively adequate than low confidence, the opposite is true for incorrect responses, for which a low confidence rating will reflect higher metacognitive adequacy. </w:t>
      </w:r>
    </w:p>
    <w:p w14:paraId="27070E72" w14:textId="07CFBC4F" w:rsidR="00E879AF" w:rsidRDefault="00643F55" w:rsidP="00EE29BE">
      <w:pPr>
        <w:bidi w:val="0"/>
        <w:spacing w:line="480" w:lineRule="auto"/>
      </w:pPr>
      <w:r>
        <w:t>To this end, we will perform four additional contrasts within brain regions that showed significant modulation as a function of confidence in contrasts 4-7:</w:t>
      </w:r>
      <w:bookmarkStart w:id="5" w:name="_GoBack"/>
      <w:bookmarkEnd w:id="5"/>
    </w:p>
    <w:tbl>
      <w:tblPr>
        <w:tblStyle w:val="GridTable1Light"/>
        <w:tblW w:w="8926" w:type="dxa"/>
        <w:tblLook w:val="04A0" w:firstRow="1" w:lastRow="0" w:firstColumn="1" w:lastColumn="0" w:noHBand="0" w:noVBand="1"/>
      </w:tblPr>
      <w:tblGrid>
        <w:gridCol w:w="4248"/>
        <w:gridCol w:w="4678"/>
      </w:tblGrid>
      <w:tr w:rsidR="00EE29BE" w14:paraId="5315A452" w14:textId="233E038E" w:rsidTr="00EE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4C1FBD0" w14:textId="0B60D49F" w:rsidR="00EE29BE" w:rsidRPr="00EE29BE" w:rsidRDefault="00EE29BE" w:rsidP="00EE29BE">
            <w:pPr>
              <w:pStyle w:val="ListParagraph"/>
              <w:numPr>
                <w:ilvl w:val="0"/>
                <w:numId w:val="15"/>
              </w:numPr>
              <w:bidi w:val="0"/>
              <w:spacing w:line="480" w:lineRule="auto"/>
              <w:rPr>
                <w:b w:val="0"/>
                <w:bCs w:val="0"/>
              </w:rPr>
            </w:pPr>
            <w:r w:rsidRPr="00EE29BE">
              <w:rPr>
                <w:b w:val="0"/>
                <w:bCs w:val="0"/>
              </w:rPr>
              <w:t>Confidence (</w:t>
            </w:r>
            <w:r w:rsidRPr="00EE29BE">
              <w:rPr>
                <w:b w:val="0"/>
                <w:bCs w:val="0"/>
              </w:rPr>
              <w:t>in</w:t>
            </w:r>
            <w:r w:rsidRPr="00EE29BE">
              <w:rPr>
                <w:b w:val="0"/>
                <w:bCs w:val="0"/>
              </w:rPr>
              <w:t>correct responses only)</w:t>
            </w:r>
          </w:p>
          <w:p w14:paraId="30E63095" w14:textId="394A514D" w:rsidR="00EE29BE" w:rsidRDefault="00EE29BE" w:rsidP="00647773">
            <w:pPr>
              <w:pStyle w:val="ListParagraph"/>
              <w:bidi w:val="0"/>
              <w:spacing w:line="480" w:lineRule="auto"/>
              <w:rPr>
                <w:b w:val="0"/>
                <w:bCs w:val="0"/>
              </w:rPr>
            </w:pPr>
            <w:r>
              <w:rPr>
                <w:b w:val="0"/>
                <w:bCs w:val="0"/>
              </w:rPr>
              <w:t xml:space="preserve">([0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 </w:t>
            </w:r>
            <w:r>
              <w:rPr>
                <w:b w:val="0"/>
                <w:bCs w:val="0"/>
              </w:rPr>
              <w:t>0</w:t>
            </w:r>
            <w:r>
              <w:rPr>
                <w:b w:val="0"/>
                <w:bCs w:val="0"/>
              </w:rPr>
              <w:t xml:space="preserve"> 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 </w:t>
            </w:r>
            <w:r>
              <w:rPr>
                <w:b w:val="0"/>
                <w:bCs w:val="0"/>
              </w:rPr>
              <w:t>0</w:t>
            </w:r>
            <w:r>
              <w:rPr>
                <w:b w:val="0"/>
                <w:bCs w:val="0"/>
              </w:rPr>
              <w:t>])</w:t>
            </w:r>
          </w:p>
        </w:tc>
        <w:tc>
          <w:tcPr>
            <w:tcW w:w="4678" w:type="dxa"/>
          </w:tcPr>
          <w:p w14:paraId="1D1B2519" w14:textId="40E3E57B" w:rsidR="00EE29BE" w:rsidRPr="00EE29BE" w:rsidRDefault="00EE29BE" w:rsidP="00647773">
            <w:pPr>
              <w:bidi w:val="0"/>
              <w:spacing w:line="48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This contrast will only be performed within regions that showed statistically significant modulation of confidence in contrast number 4.</w:t>
            </w:r>
          </w:p>
        </w:tc>
      </w:tr>
      <w:tr w:rsidR="00EE29BE" w14:paraId="45429CD0" w14:textId="356AE0A3" w:rsidTr="00EE29BE">
        <w:tc>
          <w:tcPr>
            <w:cnfStyle w:val="001000000000" w:firstRow="0" w:lastRow="0" w:firstColumn="1" w:lastColumn="0" w:oddVBand="0" w:evenVBand="0" w:oddHBand="0" w:evenHBand="0" w:firstRowFirstColumn="0" w:firstRowLastColumn="0" w:lastRowFirstColumn="0" w:lastRowLastColumn="0"/>
            <w:tcW w:w="4248" w:type="dxa"/>
          </w:tcPr>
          <w:p w14:paraId="004DBF46" w14:textId="04AE19E4" w:rsidR="00EE29BE" w:rsidRDefault="00EE29BE" w:rsidP="00EE29BE">
            <w:pPr>
              <w:pStyle w:val="ListParagraph"/>
              <w:numPr>
                <w:ilvl w:val="0"/>
                <w:numId w:val="15"/>
              </w:numPr>
              <w:bidi w:val="0"/>
              <w:spacing w:line="480" w:lineRule="auto"/>
              <w:rPr>
                <w:b w:val="0"/>
                <w:bCs w:val="0"/>
              </w:rPr>
            </w:pPr>
            <w:r>
              <w:rPr>
                <w:b w:val="0"/>
                <w:bCs w:val="0"/>
              </w:rPr>
              <w:t>Confidence-task interaction (</w:t>
            </w:r>
            <w:r>
              <w:rPr>
                <w:b w:val="0"/>
                <w:bCs w:val="0"/>
              </w:rPr>
              <w:t>in</w:t>
            </w:r>
            <w:r>
              <w:rPr>
                <w:b w:val="0"/>
                <w:bCs w:val="0"/>
              </w:rPr>
              <w:t>correct responses only)</w:t>
            </w:r>
          </w:p>
          <w:p w14:paraId="41AF9FF8" w14:textId="3503608D" w:rsidR="00EE29BE" w:rsidRDefault="00EE29BE" w:rsidP="00647773">
            <w:pPr>
              <w:pStyle w:val="ListParagraph"/>
              <w:bidi w:val="0"/>
              <w:spacing w:line="480" w:lineRule="auto"/>
              <w:rPr>
                <w:b w:val="0"/>
                <w:bCs w:val="0"/>
              </w:rPr>
            </w:pPr>
            <w:r>
              <w:rPr>
                <w:b w:val="0"/>
                <w:bCs w:val="0"/>
              </w:rPr>
              <w:t xml:space="preserve">([0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 </w:t>
            </w:r>
            <w:r>
              <w:rPr>
                <w:b w:val="0"/>
                <w:bCs w:val="0"/>
              </w:rPr>
              <w:t>0</w:t>
            </w:r>
            <w:r>
              <w:rPr>
                <w:b w:val="0"/>
                <w:bCs w:val="0"/>
              </w:rPr>
              <w:t xml:space="preserve"> 0 </w:t>
            </w:r>
            <w:r>
              <w:rPr>
                <w:b w:val="0"/>
                <w:bCs w:val="0"/>
              </w:rPr>
              <w:t>0</w:t>
            </w:r>
            <w:r>
              <w:rPr>
                <w:b w:val="0"/>
                <w:bCs w:val="0"/>
              </w:rPr>
              <w:t xml:space="preserve"> 0 </w:t>
            </w:r>
            <w:r>
              <w:rPr>
                <w:b w:val="0"/>
                <w:bCs w:val="0"/>
              </w:rPr>
              <w:t>-1</w:t>
            </w:r>
            <w:r>
              <w:rPr>
                <w:b w:val="0"/>
                <w:bCs w:val="0"/>
              </w:rPr>
              <w:t xml:space="preserve"> 0 </w:t>
            </w:r>
            <w:r>
              <w:rPr>
                <w:b w:val="0"/>
                <w:bCs w:val="0"/>
              </w:rPr>
              <w:t xml:space="preserve">-1 </w:t>
            </w:r>
            <w:r>
              <w:rPr>
                <w:b w:val="0"/>
                <w:bCs w:val="0"/>
              </w:rPr>
              <w:t xml:space="preserve">0 </w:t>
            </w:r>
            <w:r>
              <w:rPr>
                <w:b w:val="0"/>
                <w:bCs w:val="0"/>
              </w:rPr>
              <w:t>0</w:t>
            </w:r>
            <w:r>
              <w:rPr>
                <w:b w:val="0"/>
                <w:bCs w:val="0"/>
              </w:rPr>
              <w:t>])</w:t>
            </w:r>
          </w:p>
        </w:tc>
        <w:tc>
          <w:tcPr>
            <w:tcW w:w="4678" w:type="dxa"/>
          </w:tcPr>
          <w:p w14:paraId="60389BAA" w14:textId="46FA753B"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 xml:space="preserve">This contrast will only be performed within regions that showed statistically significant modulation of </w:t>
            </w:r>
            <w:r>
              <w:t>confidence in contrast number 5.</w:t>
            </w:r>
          </w:p>
        </w:tc>
      </w:tr>
      <w:tr w:rsidR="00EE29BE" w14:paraId="565B59B1" w14:textId="76B8A96A" w:rsidTr="00EE29BE">
        <w:tc>
          <w:tcPr>
            <w:cnfStyle w:val="001000000000" w:firstRow="0" w:lastRow="0" w:firstColumn="1" w:lastColumn="0" w:oddVBand="0" w:evenVBand="0" w:oddHBand="0" w:evenHBand="0" w:firstRowFirstColumn="0" w:firstRowLastColumn="0" w:lastRowFirstColumn="0" w:lastRowLastColumn="0"/>
            <w:tcW w:w="4248" w:type="dxa"/>
          </w:tcPr>
          <w:p w14:paraId="2786B6F3" w14:textId="3EBB3ADB" w:rsidR="00EE29BE" w:rsidRDefault="00EE29BE" w:rsidP="00EE29BE">
            <w:pPr>
              <w:pStyle w:val="ListParagraph"/>
              <w:numPr>
                <w:ilvl w:val="0"/>
                <w:numId w:val="15"/>
              </w:numPr>
              <w:bidi w:val="0"/>
              <w:spacing w:after="160" w:line="480" w:lineRule="auto"/>
              <w:rPr>
                <w:b w:val="0"/>
                <w:bCs w:val="0"/>
              </w:rPr>
            </w:pPr>
            <w:r>
              <w:rPr>
                <w:b w:val="0"/>
                <w:bCs w:val="0"/>
              </w:rPr>
              <w:t xml:space="preserve">Confidence in </w:t>
            </w:r>
            <w:r>
              <w:rPr>
                <w:b w:val="0"/>
                <w:bCs w:val="0"/>
              </w:rPr>
              <w:t>misses</w:t>
            </w:r>
            <w:r>
              <w:rPr>
                <w:b w:val="0"/>
                <w:bCs w:val="0"/>
              </w:rPr>
              <w:t xml:space="preserve"> – Confidence in </w:t>
            </w:r>
            <w:r>
              <w:rPr>
                <w:b w:val="0"/>
                <w:bCs w:val="0"/>
              </w:rPr>
              <w:t>false positives</w:t>
            </w:r>
          </w:p>
          <w:p w14:paraId="76254484" w14:textId="0121DB2F" w:rsidR="00EE29BE" w:rsidRPr="00001B8C" w:rsidRDefault="00EE29BE" w:rsidP="00647773">
            <w:pPr>
              <w:pStyle w:val="ListParagraph"/>
              <w:bidi w:val="0"/>
              <w:spacing w:line="480" w:lineRule="auto"/>
              <w:rPr>
                <w:b w:val="0"/>
                <w:bCs w:val="0"/>
              </w:rPr>
            </w:pPr>
            <w:r>
              <w:rPr>
                <w:b w:val="0"/>
                <w:bCs w:val="0"/>
              </w:rPr>
              <w:t xml:space="preserve">([0 0 0 0 0 0 0 0 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w:t>
            </w:r>
            <w:r>
              <w:rPr>
                <w:b w:val="0"/>
                <w:bCs w:val="0"/>
              </w:rPr>
              <w:t xml:space="preserve"> 0</w:t>
            </w:r>
            <w:r>
              <w:rPr>
                <w:b w:val="0"/>
                <w:bCs w:val="0"/>
              </w:rPr>
              <w:t>])</w:t>
            </w:r>
          </w:p>
        </w:tc>
        <w:tc>
          <w:tcPr>
            <w:tcW w:w="4678" w:type="dxa"/>
          </w:tcPr>
          <w:p w14:paraId="25482D7D" w14:textId="79CD7590"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This contrast will only be performed within regions that showed statistically significant modulation of</w:t>
            </w:r>
            <w:r>
              <w:t xml:space="preserve"> confidence in contrast number 6</w:t>
            </w:r>
            <w:r w:rsidRPr="00EE29BE">
              <w:t>.</w:t>
            </w:r>
          </w:p>
        </w:tc>
      </w:tr>
      <w:tr w:rsidR="00EE29BE" w14:paraId="14645789" w14:textId="5D05D020" w:rsidTr="00EE29BE">
        <w:tc>
          <w:tcPr>
            <w:cnfStyle w:val="001000000000" w:firstRow="0" w:lastRow="0" w:firstColumn="1" w:lastColumn="0" w:oddVBand="0" w:evenVBand="0" w:oddHBand="0" w:evenHBand="0" w:firstRowFirstColumn="0" w:firstRowLastColumn="0" w:lastRowFirstColumn="0" w:lastRowLastColumn="0"/>
            <w:tcW w:w="4248" w:type="dxa"/>
          </w:tcPr>
          <w:p w14:paraId="098CB5F8" w14:textId="239EC69F" w:rsidR="00EE29BE" w:rsidRPr="00DC0797" w:rsidRDefault="00EE29BE" w:rsidP="00EE29BE">
            <w:pPr>
              <w:pStyle w:val="ListParagraph"/>
              <w:numPr>
                <w:ilvl w:val="0"/>
                <w:numId w:val="15"/>
              </w:numPr>
              <w:bidi w:val="0"/>
              <w:spacing w:line="480" w:lineRule="auto"/>
              <w:rPr>
                <w:b w:val="0"/>
                <w:bCs w:val="0"/>
              </w:rPr>
            </w:pPr>
            <w:r w:rsidRPr="00DC0797">
              <w:rPr>
                <w:b w:val="0"/>
                <w:bCs w:val="0"/>
              </w:rPr>
              <w:t>Confidence in clockwise tilt – Confidence in counterclockwise tilt</w:t>
            </w:r>
            <w:r>
              <w:rPr>
                <w:b w:val="0"/>
                <w:bCs w:val="0"/>
              </w:rPr>
              <w:t xml:space="preserve"> (incorrect responses only)</w:t>
            </w:r>
          </w:p>
          <w:p w14:paraId="762D9653" w14:textId="5569EE23" w:rsidR="00EE29BE" w:rsidRPr="00BC1AC5" w:rsidRDefault="00EE29BE" w:rsidP="00647773">
            <w:pPr>
              <w:pStyle w:val="ListParagraph"/>
              <w:bidi w:val="0"/>
              <w:spacing w:line="480" w:lineRule="auto"/>
              <w:rPr>
                <w:b w:val="0"/>
                <w:bCs w:val="0"/>
              </w:rPr>
            </w:pPr>
            <w:r>
              <w:rPr>
                <w:b w:val="0"/>
                <w:bCs w:val="0"/>
              </w:rPr>
              <w:t xml:space="preserve">([0 </w:t>
            </w:r>
            <w:r>
              <w:rPr>
                <w:b w:val="0"/>
                <w:bCs w:val="0"/>
              </w:rPr>
              <w:t>0</w:t>
            </w:r>
            <w:r>
              <w:rPr>
                <w:b w:val="0"/>
                <w:bCs w:val="0"/>
              </w:rPr>
              <w:t xml:space="preserve"> 0 </w:t>
            </w:r>
            <w:r>
              <w:rPr>
                <w:b w:val="0"/>
                <w:bCs w:val="0"/>
              </w:rPr>
              <w:t>1</w:t>
            </w:r>
            <w:r>
              <w:rPr>
                <w:b w:val="0"/>
                <w:bCs w:val="0"/>
              </w:rPr>
              <w:t xml:space="preserve"> 0 </w:t>
            </w:r>
            <w:r>
              <w:rPr>
                <w:b w:val="0"/>
                <w:bCs w:val="0"/>
              </w:rPr>
              <w:t>-1</w:t>
            </w:r>
            <w:r>
              <w:rPr>
                <w:b w:val="0"/>
                <w:bCs w:val="0"/>
              </w:rPr>
              <w:t xml:space="preserve"> 0 </w:t>
            </w:r>
            <w:r>
              <w:rPr>
                <w:b w:val="0"/>
                <w:bCs w:val="0"/>
              </w:rPr>
              <w:t>0</w:t>
            </w:r>
            <w:r>
              <w:rPr>
                <w:b w:val="0"/>
                <w:bCs w:val="0"/>
              </w:rPr>
              <w:t xml:space="preserve"> 0 0 0 0 0 0 0 0])</w:t>
            </w:r>
          </w:p>
        </w:tc>
        <w:tc>
          <w:tcPr>
            <w:tcW w:w="4678" w:type="dxa"/>
          </w:tcPr>
          <w:p w14:paraId="430E52E9" w14:textId="4B56F380"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This contrast will only be performed within regions that showed statistically significant modulation of</w:t>
            </w:r>
            <w:r>
              <w:t xml:space="preserve"> confidence in contrast number 7</w:t>
            </w:r>
            <w:r w:rsidRPr="00EE29BE">
              <w:t>.</w:t>
            </w:r>
          </w:p>
        </w:tc>
      </w:tr>
    </w:tbl>
    <w:p w14:paraId="17F82CA3" w14:textId="1D502779" w:rsidR="00EE29BE" w:rsidRDefault="00EE29BE" w:rsidP="00EE29BE">
      <w:pPr>
        <w:bidi w:val="0"/>
        <w:spacing w:line="480" w:lineRule="auto"/>
        <w:sectPr w:rsidR="00EE29BE" w:rsidSect="00CB0443">
          <w:pgSz w:w="11906" w:h="16838"/>
          <w:pgMar w:top="1440" w:right="1797" w:bottom="1440" w:left="1797" w:header="709" w:footer="709" w:gutter="0"/>
          <w:cols w:space="708"/>
          <w:bidi/>
          <w:rtlGutter/>
          <w:docGrid w:linePitch="360"/>
        </w:sectPr>
      </w:pPr>
    </w:p>
    <w:p w14:paraId="6B08D0D3" w14:textId="77777777" w:rsidR="00CB0443" w:rsidRDefault="00CB0443" w:rsidP="00C537AF">
      <w:pPr>
        <w:pStyle w:val="Heading3"/>
        <w:bidi w:val="0"/>
        <w:spacing w:line="480" w:lineRule="auto"/>
      </w:pPr>
    </w:p>
    <w:p w14:paraId="099B16D9" w14:textId="7082F548" w:rsidR="00984701" w:rsidRDefault="00C72FAF" w:rsidP="00CB0443">
      <w:pPr>
        <w:pStyle w:val="Heading3"/>
        <w:bidi w:val="0"/>
        <w:spacing w:line="480" w:lineRule="auto"/>
      </w:pPr>
      <w:r>
        <w:t>Between-subject correlations</w:t>
      </w:r>
    </w:p>
    <w:p w14:paraId="6A75918C" w14:textId="5A904C24" w:rsidR="00872795" w:rsidRPr="003716BB" w:rsidRDefault="00872795" w:rsidP="00C537AF">
      <w:pPr>
        <w:bidi w:val="0"/>
        <w:spacing w:line="480" w:lineRule="auto"/>
      </w:pPr>
      <w:r>
        <w:t xml:space="preserve">We will use voxel-based morphometry (VBM) to find brain structures that are associated with metacognitive efficiency for detection and for discrimination separately. Metacognitive efficiency will be defined as meta-d'/d' </w:t>
      </w:r>
      <w:r>
        <w:fldChar w:fldCharType="begin" w:fldLock="1"/>
      </w:r>
      <w:r>
        <w:instrText>ADDIN CSL_CITATION { "citationItems" : [ { "id" : "ITEM-1", "itemData" : { "DOI" : "10.1016/j.concog.2011.09.021", "abstract" : "a b s t r a c t How should we measure metacognitive (''type 2'') sensitivity, i.e. the efficacy with which observers' confidence ratings discriminate between their own correct and incorrect stimu-lus classifications? We argue that currently available methods are inadequate because they are influenced by factors such as response bias and type 1 sensitivity (i.e. ability to distin-guish stimuli). Extending the signal detection theory (SDT) approach of Galvin, Podd, Drga, and Whitmore (2003), we propose a method of measuring type 2 sensitivity that is free from these confounds. We call our measure meta-d 0 , which reflects how much information, in signal-to-noise units, is available for metacognition. Applying this novel method in a 2-interval forced choice visual task, we found that subjects' metacognitive sensitivity was close to, but significantly below, optimality. We discuss the theoretical implications of these findings, as well as related computational issues of the method. We also provide free Matlab code for implementing the analysis.", "author" : [ { "dropping-particle" : "", "family" : "Maniscalco", "given" : "Brian", "non-dropping-particle" : "", "parse-names" : false, "suffix" : "" }, { "dropping-particle" : "", "family" : "Lau", "given" : "Hakwan", "non-dropping-particle" : "", "parse-names" : false, "suffix" : "" } ], "container-title" : "Consciousness and Cognition", "id" : "ITEM-1", "issued" : { "date-parts" : [ [ "2012" ] ] }, "page" : "422-430", "title" : "A signal detection theoretic approach for estimating metacognitive sensitivity from confidence ratings", "type" : "article-journal", "volume" : "21" }, "uris" : [ "http://www.mendeley.com/documents/?uuid=314747cd-819d-3755-ae12-17c8dfbd1b0b" ] } ], "mendeley" : { "formattedCitation" : "(Maniscalco &amp; Lau, 2012)", "plainTextFormattedCitation" : "(Maniscalco &amp; Lau, 2012)", "previouslyFormattedCitation" : "(Maniscalco &amp; Lau, 2012)" }, "properties" : {  }, "schema" : "https://github.com/citation-style-language/schema/raw/master/csl-citation.json" }</w:instrText>
      </w:r>
      <w:r>
        <w:fldChar w:fldCharType="separate"/>
      </w:r>
      <w:r w:rsidRPr="00872795">
        <w:rPr>
          <w:noProof/>
        </w:rPr>
        <w:t>(Maniscalco &amp; Lau, 2012)</w:t>
      </w:r>
      <w:r>
        <w:fldChar w:fldCharType="end"/>
      </w:r>
      <w:r>
        <w:t xml:space="preserve">, and will be correlated against gray-matter volume as measured with T1-weighted anatomical images </w:t>
      </w:r>
      <w:r>
        <w:fldChar w:fldCharType="begin" w:fldLock="1"/>
      </w:r>
      <w:r w:rsidR="005A4A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"mendeley" : { "formattedCitation" : "(S.M. Fleming et al., 2009)", "plainTextFormattedCitation" : "(S.M. Fleming et al., 2009)", "previouslyFormattedCitation" : "(S.M. Fleming et al., 2009)" }, "properties" : {  }, "schema" : "https://github.com/citation-style-language/schema/raw/master/csl-citation.json" }</w:instrText>
      </w:r>
      <w:r>
        <w:fldChar w:fldCharType="separate"/>
      </w:r>
      <w:r w:rsidR="005A4A5C" w:rsidRPr="005A4A5C">
        <w:rPr>
          <w:noProof/>
        </w:rPr>
        <w:t>(S.M. Fleming et al., 2009)</w:t>
      </w:r>
      <w:r>
        <w:fldChar w:fldCharType="end"/>
      </w:r>
      <w:r>
        <w:t xml:space="preserve">. </w:t>
      </w:r>
      <w:r w:rsidR="004841C4">
        <w:t xml:space="preserve">For discrimination metacognition, </w:t>
      </w:r>
      <w:r w:rsidR="0026053B">
        <w:t>BA10 ([24,65, 18], [-20,53,12], [33,50,9]</w:t>
      </w:r>
      <w:r w:rsidR="004841C4">
        <w:t>, [-12,54,16]</w:t>
      </w:r>
      <w:r w:rsidR="0026053B">
        <w:t xml:space="preserve">), precuneus ([6,-57,18]) and BA46 ([36,39,21]) will be defined as </w:t>
      </w:r>
      <w:r w:rsidR="0026053B" w:rsidRPr="003716BB">
        <w:rPr>
          <w:i/>
          <w:iCs/>
        </w:rPr>
        <w:t>a</w:t>
      </w:r>
      <w:r w:rsidR="003716BB" w:rsidRPr="003716BB">
        <w:rPr>
          <w:i/>
          <w:iCs/>
        </w:rPr>
        <w:t xml:space="preserve"> </w:t>
      </w:r>
      <w:r w:rsidR="0026053B" w:rsidRPr="003716BB">
        <w:rPr>
          <w:i/>
          <w:iCs/>
        </w:rPr>
        <w:t>priori</w:t>
      </w:r>
      <w:r w:rsidR="0026053B">
        <w:t xml:space="preserve"> regions of interest based on Fleming and colleagues (2009)</w:t>
      </w:r>
      <w:r w:rsidR="004841C4">
        <w:t xml:space="preserve"> and McCurdy and colleagues (2013)</w:t>
      </w:r>
      <w:r w:rsidR="0026053B">
        <w:t xml:space="preserve">. </w:t>
      </w:r>
      <w:r w:rsidR="003716BB">
        <w:t xml:space="preserve">BA10 will be defined anatomically as an </w:t>
      </w:r>
      <w:r w:rsidR="003716BB" w:rsidRPr="003716BB">
        <w:rPr>
          <w:i/>
          <w:iCs/>
        </w:rPr>
        <w:t>a priori</w:t>
      </w:r>
      <w:r w:rsidR="003716BB">
        <w:t xml:space="preserve"> region of interest for metacognition in detection blocks.</w:t>
      </w:r>
    </w:p>
    <w:p w14:paraId="2488A8DB" w14:textId="1FFD63F3" w:rsidR="00C72FAF" w:rsidRDefault="00C72FAF" w:rsidP="00C537AF">
      <w:pPr>
        <w:pStyle w:val="Heading3"/>
        <w:bidi w:val="0"/>
        <w:spacing w:line="480" w:lineRule="auto"/>
      </w:pPr>
      <w:r>
        <w:t>Multivariate analysis</w:t>
      </w:r>
    </w:p>
    <w:p w14:paraId="796524DE" w14:textId="42E68A44" w:rsidR="00810D93" w:rsidRDefault="003E1E11" w:rsidP="00C537AF">
      <w:pPr>
        <w:bidi w:val="0"/>
        <w:spacing w:line="480" w:lineRule="auto"/>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follow the procedure described in Morales and colleagues (2018). </w:t>
      </w:r>
    </w:p>
    <w:p w14:paraId="215337B5" w14:textId="77777777" w:rsidR="00810D93" w:rsidRDefault="00810D93" w:rsidP="00C537AF">
      <w:pPr>
        <w:spacing w:line="480" w:lineRule="auto"/>
      </w:pPr>
      <w:r>
        <w:br w:type="page"/>
      </w:r>
    </w:p>
    <w:p w14:paraId="09B5C6B9" w14:textId="77777777" w:rsidR="00810D93" w:rsidRDefault="00810D93" w:rsidP="00C537AF">
      <w:pPr>
        <w:bidi w:val="0"/>
        <w:spacing w:line="480" w:lineRule="auto"/>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3487"/>
        <w:gridCol w:w="3487"/>
        <w:gridCol w:w="6488"/>
      </w:tblGrid>
      <w:tr w:rsidR="00F83584" w14:paraId="6147451B" w14:textId="77777777" w:rsidTr="00F83584">
        <w:tc>
          <w:tcPr>
            <w:tcW w:w="3487" w:type="dxa"/>
          </w:tcPr>
          <w:p w14:paraId="77D8DDD4" w14:textId="7A026327" w:rsidR="00F83584" w:rsidRDefault="00F83584" w:rsidP="00C537AF">
            <w:pPr>
              <w:bidi w:val="0"/>
              <w:spacing w:line="480" w:lineRule="auto"/>
            </w:pPr>
            <w:r>
              <w:lastRenderedPageBreak/>
              <w:t>Train</w:t>
            </w:r>
          </w:p>
        </w:tc>
        <w:tc>
          <w:tcPr>
            <w:tcW w:w="3487" w:type="dxa"/>
          </w:tcPr>
          <w:p w14:paraId="55C30932" w14:textId="27F5A67C" w:rsidR="00F83584" w:rsidRDefault="00F83584" w:rsidP="00C537AF">
            <w:pPr>
              <w:bidi w:val="0"/>
              <w:spacing w:line="480" w:lineRule="auto"/>
            </w:pPr>
            <w:r>
              <w:t>Test</w:t>
            </w:r>
          </w:p>
        </w:tc>
        <w:tc>
          <w:tcPr>
            <w:tcW w:w="6488" w:type="dxa"/>
          </w:tcPr>
          <w:p w14:paraId="3644B4AE" w14:textId="76041ECA" w:rsidR="00F83584" w:rsidRDefault="00F83584" w:rsidP="00C537AF">
            <w:pPr>
              <w:bidi w:val="0"/>
              <w:spacing w:line="480" w:lineRule="auto"/>
            </w:pPr>
            <w:r>
              <w:t>Interpretation</w:t>
            </w:r>
          </w:p>
        </w:tc>
      </w:tr>
      <w:tr w:rsidR="00F83584" w14:paraId="4AE390EE" w14:textId="77777777" w:rsidTr="00F83584">
        <w:tc>
          <w:tcPr>
            <w:tcW w:w="3487" w:type="dxa"/>
          </w:tcPr>
          <w:p w14:paraId="063314B3" w14:textId="02CED1E5" w:rsidR="00F83584" w:rsidRDefault="00F83584" w:rsidP="00C537AF">
            <w:pPr>
              <w:bidi w:val="0"/>
              <w:spacing w:line="480" w:lineRule="auto"/>
            </w:pPr>
            <w:r>
              <w:t>High confidence vs. Low confidence</w:t>
            </w:r>
          </w:p>
        </w:tc>
        <w:tc>
          <w:tcPr>
            <w:tcW w:w="3487" w:type="dxa"/>
          </w:tcPr>
          <w:p w14:paraId="70ADBC1D" w14:textId="4DC02004" w:rsidR="00F83584" w:rsidRDefault="00F83584" w:rsidP="00C537AF">
            <w:pPr>
              <w:bidi w:val="0"/>
              <w:spacing w:line="480" w:lineRule="auto"/>
            </w:pPr>
            <w:r>
              <w:t>High confidence vs. Low confidence</w:t>
            </w:r>
          </w:p>
        </w:tc>
        <w:tc>
          <w:tcPr>
            <w:tcW w:w="6488" w:type="dxa"/>
          </w:tcPr>
          <w:p w14:paraId="5416A15D" w14:textId="701325D6" w:rsidR="00F83584" w:rsidRDefault="00F83584" w:rsidP="00C537AF">
            <w:pPr>
              <w:bidi w:val="0"/>
              <w:spacing w:line="480" w:lineRule="auto"/>
            </w:pPr>
            <w:r>
              <w:t>Spatially multivariate signal predicting confidence reports.</w:t>
            </w:r>
          </w:p>
        </w:tc>
      </w:tr>
      <w:tr w:rsidR="00F83584" w14:paraId="19140CAC" w14:textId="77777777" w:rsidTr="00F83584">
        <w:tc>
          <w:tcPr>
            <w:tcW w:w="3487" w:type="dxa"/>
          </w:tcPr>
          <w:p w14:paraId="173BD5F4" w14:textId="7D2DABEE" w:rsidR="00F83584" w:rsidRDefault="00F83584" w:rsidP="00C537AF">
            <w:pPr>
              <w:bidi w:val="0"/>
              <w:spacing w:line="480" w:lineRule="auto"/>
            </w:pPr>
            <w:r>
              <w:t>Within discrimination: high confidence vs. Low confidence</w:t>
            </w:r>
          </w:p>
        </w:tc>
        <w:tc>
          <w:tcPr>
            <w:tcW w:w="3487" w:type="dxa"/>
          </w:tcPr>
          <w:p w14:paraId="6D8BB3CD" w14:textId="256B76E3" w:rsidR="00F83584" w:rsidRDefault="00F83584" w:rsidP="00C537AF">
            <w:pPr>
              <w:bidi w:val="0"/>
              <w:spacing w:line="480" w:lineRule="auto"/>
            </w:pPr>
            <w:r>
              <w:t>Within discrimination: high confidence vs. low confidence</w:t>
            </w:r>
          </w:p>
        </w:tc>
        <w:tc>
          <w:tcPr>
            <w:tcW w:w="6488" w:type="dxa"/>
          </w:tcPr>
          <w:p w14:paraId="237DA839" w14:textId="0EF89F5E" w:rsidR="00F83584" w:rsidRDefault="00F83584" w:rsidP="00C537AF">
            <w:pPr>
              <w:bidi w:val="0"/>
              <w:spacing w:line="480" w:lineRule="auto"/>
            </w:pPr>
            <w:r>
              <w:t>Spatially multivariate signal predicting confidence reports in discrimination.</w:t>
            </w:r>
          </w:p>
        </w:tc>
      </w:tr>
      <w:tr w:rsidR="00F83584" w14:paraId="4CE65CF9" w14:textId="77777777" w:rsidTr="00F83584">
        <w:tc>
          <w:tcPr>
            <w:tcW w:w="3487" w:type="dxa"/>
          </w:tcPr>
          <w:p w14:paraId="3136E64C" w14:textId="332F51C5" w:rsidR="00F83584" w:rsidRDefault="00F83584" w:rsidP="00F83584">
            <w:pPr>
              <w:bidi w:val="0"/>
              <w:spacing w:line="480" w:lineRule="auto"/>
            </w:pPr>
            <w:r>
              <w:t>Within detection: high confidence vs. Low confidence</w:t>
            </w:r>
          </w:p>
        </w:tc>
        <w:tc>
          <w:tcPr>
            <w:tcW w:w="3487" w:type="dxa"/>
          </w:tcPr>
          <w:p w14:paraId="222DB3D9" w14:textId="241317D9" w:rsidR="00F83584" w:rsidRDefault="00F83584" w:rsidP="00F83584">
            <w:pPr>
              <w:bidi w:val="0"/>
              <w:spacing w:line="480" w:lineRule="auto"/>
            </w:pPr>
            <w:r>
              <w:t>Within detection: high confidence vs. low confidence</w:t>
            </w:r>
          </w:p>
        </w:tc>
        <w:tc>
          <w:tcPr>
            <w:tcW w:w="6488" w:type="dxa"/>
          </w:tcPr>
          <w:p w14:paraId="4E595530" w14:textId="6665AEB5" w:rsidR="00F83584" w:rsidRDefault="00F83584" w:rsidP="00F83584">
            <w:pPr>
              <w:bidi w:val="0"/>
              <w:spacing w:line="480" w:lineRule="auto"/>
            </w:pPr>
            <w:r>
              <w:t>Spatially multivariate signal predicting confidence reports in detection.</w:t>
            </w:r>
          </w:p>
        </w:tc>
      </w:tr>
      <w:tr w:rsidR="00DC0797" w14:paraId="5E3E894C" w14:textId="77777777" w:rsidTr="00F83584">
        <w:tc>
          <w:tcPr>
            <w:tcW w:w="3487" w:type="dxa"/>
          </w:tcPr>
          <w:p w14:paraId="10B28068" w14:textId="0FB0E9BF" w:rsidR="00DC0797" w:rsidRDefault="00DC0797" w:rsidP="00DC0797">
            <w:pPr>
              <w:bidi w:val="0"/>
              <w:spacing w:line="480" w:lineRule="auto"/>
            </w:pPr>
            <w:r>
              <w:t>Within discrimination: high confidence vs. Low confidence</w:t>
            </w:r>
          </w:p>
        </w:tc>
        <w:tc>
          <w:tcPr>
            <w:tcW w:w="3487" w:type="dxa"/>
          </w:tcPr>
          <w:p w14:paraId="2AF4CEF4" w14:textId="32979F22" w:rsidR="00DC0797" w:rsidRDefault="00DC0797" w:rsidP="00DC0797">
            <w:pPr>
              <w:bidi w:val="0"/>
              <w:spacing w:line="480" w:lineRule="auto"/>
            </w:pPr>
            <w:r>
              <w:t>Within detection: high confidence vs. low confidence</w:t>
            </w:r>
          </w:p>
        </w:tc>
        <w:tc>
          <w:tcPr>
            <w:tcW w:w="6488" w:type="dxa"/>
            <w:vMerge w:val="restart"/>
          </w:tcPr>
          <w:p w14:paraId="0CB430D3" w14:textId="12EBB373" w:rsidR="00DC0797" w:rsidRDefault="00DC0797" w:rsidP="00DC0797">
            <w:pPr>
              <w:bidi w:val="0"/>
              <w:spacing w:line="480" w:lineRule="auto"/>
            </w:pPr>
            <w:r>
              <w:t>Task invariant multivariate signal predicting confidence reports in detection and discrimination.</w:t>
            </w:r>
          </w:p>
        </w:tc>
      </w:tr>
      <w:tr w:rsidR="00DC0797" w14:paraId="227C4D47" w14:textId="77777777" w:rsidTr="00F83584">
        <w:tc>
          <w:tcPr>
            <w:tcW w:w="3487" w:type="dxa"/>
          </w:tcPr>
          <w:p w14:paraId="67274174" w14:textId="4D2B1DBF" w:rsidR="00DC0797" w:rsidRDefault="00DC0797" w:rsidP="00DC0797">
            <w:pPr>
              <w:bidi w:val="0"/>
              <w:spacing w:line="480" w:lineRule="auto"/>
            </w:pPr>
            <w:r>
              <w:t>Within detection: high confidence vs. low confidence</w:t>
            </w:r>
          </w:p>
        </w:tc>
        <w:tc>
          <w:tcPr>
            <w:tcW w:w="3487" w:type="dxa"/>
          </w:tcPr>
          <w:p w14:paraId="6806DDB3" w14:textId="1095D9F6" w:rsidR="00DC0797" w:rsidRDefault="00DC0797" w:rsidP="00DC0797">
            <w:pPr>
              <w:bidi w:val="0"/>
              <w:spacing w:line="480" w:lineRule="auto"/>
            </w:pPr>
            <w:r>
              <w:t>Within discrimination: high confidence vs. Low confidence</w:t>
            </w:r>
          </w:p>
        </w:tc>
        <w:tc>
          <w:tcPr>
            <w:tcW w:w="6488" w:type="dxa"/>
            <w:vMerge/>
          </w:tcPr>
          <w:p w14:paraId="6A73FEB5" w14:textId="4C79B402" w:rsidR="00DC0797" w:rsidRDefault="00DC0797" w:rsidP="00DC0797">
            <w:pPr>
              <w:bidi w:val="0"/>
              <w:spacing w:line="480" w:lineRule="auto"/>
            </w:pPr>
          </w:p>
        </w:tc>
      </w:tr>
    </w:tbl>
    <w:p w14:paraId="2BF20F63" w14:textId="1BCFE5D3" w:rsidR="00810D93" w:rsidRDefault="00810D93" w:rsidP="00C537AF">
      <w:pPr>
        <w:bidi w:val="0"/>
        <w:spacing w:line="480" w:lineRule="auto"/>
      </w:pPr>
    </w:p>
    <w:p w14:paraId="11B09411" w14:textId="77777777" w:rsidR="00810D93" w:rsidRDefault="00810D93" w:rsidP="00C537AF">
      <w:pPr>
        <w:spacing w:line="480" w:lineRule="auto"/>
      </w:pPr>
      <w:r>
        <w:br w:type="page"/>
      </w:r>
    </w:p>
    <w:p w14:paraId="5F035A13" w14:textId="77777777" w:rsidR="00810D93" w:rsidRDefault="00810D93" w:rsidP="00C537AF">
      <w:pPr>
        <w:bidi w:val="0"/>
        <w:spacing w:line="480" w:lineRule="auto"/>
        <w:sectPr w:rsidR="00810D93" w:rsidSect="00810D93">
          <w:pgSz w:w="16838" w:h="11906" w:orient="landscape" w:code="9"/>
          <w:pgMar w:top="1797" w:right="1440" w:bottom="1797" w:left="1440" w:header="709" w:footer="709" w:gutter="0"/>
          <w:cols w:space="708"/>
          <w:bidi/>
          <w:rtlGutter/>
          <w:docGrid w:linePitch="360"/>
        </w:sectPr>
      </w:pPr>
    </w:p>
    <w:p w14:paraId="087F6EF2" w14:textId="3E2CFD6F" w:rsidR="00C72FAF" w:rsidRDefault="00C72FAF" w:rsidP="00C537AF">
      <w:pPr>
        <w:bidi w:val="0"/>
        <w:spacing w:line="480" w:lineRule="auto"/>
      </w:pPr>
    </w:p>
    <w:p w14:paraId="34E3CF70" w14:textId="77777777" w:rsidR="00872795" w:rsidRPr="00872795" w:rsidRDefault="00872795" w:rsidP="00C537AF">
      <w:pPr>
        <w:bidi w:val="0"/>
        <w:spacing w:line="480" w:lineRule="auto"/>
      </w:pPr>
    </w:p>
    <w:p w14:paraId="263EE7D8" w14:textId="0675B968" w:rsidR="00E9115C" w:rsidRPr="00E9115C" w:rsidRDefault="00631FF1" w:rsidP="00C537AF">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E9115C" w:rsidRPr="00E9115C">
        <w:rPr>
          <w:rFonts w:ascii="Calibri" w:hAnsi="Calibri" w:cs="Calibri"/>
          <w:noProof/>
          <w:szCs w:val="24"/>
        </w:rPr>
        <w:t xml:space="preserve">Bartra, O., McGuire, J. T., &amp; Kable, J. W. (2013). The valuation system: A coordinate-based meta-analysis of BOLD fMRI experiments examining neural correlates of subjective value. </w:t>
      </w:r>
      <w:r w:rsidR="00E9115C" w:rsidRPr="00E9115C">
        <w:rPr>
          <w:rFonts w:ascii="Calibri" w:hAnsi="Calibri" w:cs="Calibri"/>
          <w:i/>
          <w:iCs/>
          <w:noProof/>
          <w:szCs w:val="24"/>
        </w:rPr>
        <w:t>NeuroImage</w:t>
      </w:r>
      <w:r w:rsidR="00E9115C" w:rsidRPr="00E9115C">
        <w:rPr>
          <w:rFonts w:ascii="Calibri" w:hAnsi="Calibri" w:cs="Calibri"/>
          <w:noProof/>
          <w:szCs w:val="24"/>
        </w:rPr>
        <w:t xml:space="preserve">, </w:t>
      </w:r>
      <w:r w:rsidR="00E9115C" w:rsidRPr="00E9115C">
        <w:rPr>
          <w:rFonts w:ascii="Calibri" w:hAnsi="Calibri" w:cs="Calibri"/>
          <w:i/>
          <w:iCs/>
          <w:noProof/>
          <w:szCs w:val="24"/>
        </w:rPr>
        <w:t>76</w:t>
      </w:r>
      <w:r w:rsidR="00E9115C" w:rsidRPr="00E9115C">
        <w:rPr>
          <w:rFonts w:ascii="Calibri" w:hAnsi="Calibri" w:cs="Calibri"/>
          <w:noProof/>
          <w:szCs w:val="24"/>
        </w:rPr>
        <w:t>, 412–427. https://doi.org/10.1016/j.neuroimage.2013.02.063</w:t>
      </w:r>
    </w:p>
    <w:p w14:paraId="565116DE"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Boorman, E. D., Behrens, T. E., &amp; Rushworth, M. F. (2011). Counterfactual Choice and Learning in a Neural Network Centered on Human Lateral Frontopolar Cortex. </w:t>
      </w:r>
      <w:r w:rsidRPr="00E9115C">
        <w:rPr>
          <w:rFonts w:ascii="Calibri" w:hAnsi="Calibri" w:cs="Calibri"/>
          <w:i/>
          <w:iCs/>
          <w:noProof/>
          <w:szCs w:val="24"/>
        </w:rPr>
        <w:t>PLoS Biology</w:t>
      </w:r>
      <w:r w:rsidRPr="00E9115C">
        <w:rPr>
          <w:rFonts w:ascii="Calibri" w:hAnsi="Calibri" w:cs="Calibri"/>
          <w:noProof/>
          <w:szCs w:val="24"/>
        </w:rPr>
        <w:t xml:space="preserve">, </w:t>
      </w:r>
      <w:r w:rsidRPr="00E9115C">
        <w:rPr>
          <w:rFonts w:ascii="Calibri" w:hAnsi="Calibri" w:cs="Calibri"/>
          <w:i/>
          <w:iCs/>
          <w:noProof/>
          <w:szCs w:val="24"/>
        </w:rPr>
        <w:t>9</w:t>
      </w:r>
      <w:r w:rsidRPr="00E9115C">
        <w:rPr>
          <w:rFonts w:ascii="Calibri" w:hAnsi="Calibri" w:cs="Calibri"/>
          <w:noProof/>
          <w:szCs w:val="24"/>
        </w:rPr>
        <w:t>(6), e1001093. https://doi.org/10.1371/journal.pbio.1001093</w:t>
      </w:r>
    </w:p>
    <w:p w14:paraId="7FE734D6"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De Martino, B., Fleming, S. M., Garrett, N., &amp; Dolan, R. J. (2013). Confidence in value-based choice. </w:t>
      </w:r>
      <w:r w:rsidRPr="00E9115C">
        <w:rPr>
          <w:rFonts w:ascii="Calibri" w:hAnsi="Calibri" w:cs="Calibri"/>
          <w:i/>
          <w:iCs/>
          <w:noProof/>
          <w:szCs w:val="24"/>
        </w:rPr>
        <w:t>Nature Neuroscience</w:t>
      </w:r>
      <w:r w:rsidRPr="00E9115C">
        <w:rPr>
          <w:rFonts w:ascii="Calibri" w:hAnsi="Calibri" w:cs="Calibri"/>
          <w:noProof/>
          <w:szCs w:val="24"/>
        </w:rPr>
        <w:t xml:space="preserve">, </w:t>
      </w:r>
      <w:r w:rsidRPr="00E9115C">
        <w:rPr>
          <w:rFonts w:ascii="Calibri" w:hAnsi="Calibri" w:cs="Calibri"/>
          <w:i/>
          <w:iCs/>
          <w:noProof/>
          <w:szCs w:val="24"/>
        </w:rPr>
        <w:t>16</w:t>
      </w:r>
      <w:r w:rsidRPr="00E9115C">
        <w:rPr>
          <w:rFonts w:ascii="Calibri" w:hAnsi="Calibri" w:cs="Calibri"/>
          <w:noProof/>
          <w:szCs w:val="24"/>
        </w:rPr>
        <w:t>(1), 105–110. https://doi.org/10.1038/nn.3279</w:t>
      </w:r>
    </w:p>
    <w:p w14:paraId="63E2EF0D"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Fleming, S. M., Huijgen, J., &amp; Dolan, R. J. (2012). Prefrontal contributions to metacognition in perceptual decision making. </w:t>
      </w:r>
      <w:r w:rsidRPr="00E9115C">
        <w:rPr>
          <w:rFonts w:ascii="Calibri" w:hAnsi="Calibri" w:cs="Calibri"/>
          <w:i/>
          <w:iCs/>
          <w:noProof/>
          <w:szCs w:val="24"/>
        </w:rPr>
        <w:t>The Journal of Neuroscience : The Official Journal of the Society for Neuroscience</w:t>
      </w:r>
      <w:r w:rsidRPr="00E9115C">
        <w:rPr>
          <w:rFonts w:ascii="Calibri" w:hAnsi="Calibri" w:cs="Calibri"/>
          <w:noProof/>
          <w:szCs w:val="24"/>
        </w:rPr>
        <w:t xml:space="preserve">, </w:t>
      </w:r>
      <w:r w:rsidRPr="00E9115C">
        <w:rPr>
          <w:rFonts w:ascii="Calibri" w:hAnsi="Calibri" w:cs="Calibri"/>
          <w:i/>
          <w:iCs/>
          <w:noProof/>
          <w:szCs w:val="24"/>
        </w:rPr>
        <w:t>32</w:t>
      </w:r>
      <w:r w:rsidRPr="00E9115C">
        <w:rPr>
          <w:rFonts w:ascii="Calibri" w:hAnsi="Calibri" w:cs="Calibri"/>
          <w:noProof/>
          <w:szCs w:val="24"/>
        </w:rPr>
        <w:t>(18), 6117–6125. https://doi.org/10.1523/JNEUROSCI.6489-11.2012</w:t>
      </w:r>
    </w:p>
    <w:p w14:paraId="13F9A290"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Fleming, S. M., van der Putten, E. J., &amp; Daw, N. D. (2018). Neural mediators of changes of mind about perceptual decisions. </w:t>
      </w:r>
      <w:r w:rsidRPr="00E9115C">
        <w:rPr>
          <w:rFonts w:ascii="Calibri" w:hAnsi="Calibri" w:cs="Calibri"/>
          <w:i/>
          <w:iCs/>
          <w:noProof/>
          <w:szCs w:val="24"/>
        </w:rPr>
        <w:t>Nature Neuroscience</w:t>
      </w:r>
      <w:r w:rsidRPr="00E9115C">
        <w:rPr>
          <w:rFonts w:ascii="Calibri" w:hAnsi="Calibri" w:cs="Calibri"/>
          <w:noProof/>
          <w:szCs w:val="24"/>
        </w:rPr>
        <w:t xml:space="preserve">, </w:t>
      </w:r>
      <w:r w:rsidRPr="00E9115C">
        <w:rPr>
          <w:rFonts w:ascii="Calibri" w:hAnsi="Calibri" w:cs="Calibri"/>
          <w:i/>
          <w:iCs/>
          <w:noProof/>
          <w:szCs w:val="24"/>
        </w:rPr>
        <w:t>21</w:t>
      </w:r>
      <w:r w:rsidRPr="00E9115C">
        <w:rPr>
          <w:rFonts w:ascii="Calibri" w:hAnsi="Calibri" w:cs="Calibri"/>
          <w:noProof/>
          <w:szCs w:val="24"/>
        </w:rPr>
        <w:t>(4), 617–624. https://doi.org/10.1038/s41593-018-0104-6</w:t>
      </w:r>
    </w:p>
    <w:p w14:paraId="6ADE23CF"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Fleming, S. M., Weil, R. S., Nagy, Z., Dolan, R. J., &amp; Rees, G. (2009). Relating Introspective Accuracy to Individual Differences in Brain Structure. </w:t>
      </w:r>
      <w:r w:rsidRPr="00E9115C">
        <w:rPr>
          <w:rFonts w:ascii="Calibri" w:hAnsi="Calibri" w:cs="Calibri"/>
          <w:i/>
          <w:iCs/>
          <w:noProof/>
          <w:szCs w:val="24"/>
        </w:rPr>
        <w:t>Science</w:t>
      </w:r>
      <w:r w:rsidRPr="00E9115C">
        <w:rPr>
          <w:rFonts w:ascii="Calibri" w:hAnsi="Calibri" w:cs="Calibri"/>
          <w:noProof/>
          <w:szCs w:val="24"/>
        </w:rPr>
        <w:t xml:space="preserve">, </w:t>
      </w:r>
      <w:r w:rsidRPr="00E9115C">
        <w:rPr>
          <w:rFonts w:ascii="Calibri" w:hAnsi="Calibri" w:cs="Calibri"/>
          <w:i/>
          <w:iCs/>
          <w:noProof/>
          <w:szCs w:val="24"/>
        </w:rPr>
        <w:t>324</w:t>
      </w:r>
      <w:r w:rsidRPr="00E9115C">
        <w:rPr>
          <w:rFonts w:ascii="Calibri" w:hAnsi="Calibri" w:cs="Calibri"/>
          <w:noProof/>
          <w:szCs w:val="24"/>
        </w:rPr>
        <w:t>(5928), 759–764. https://doi.org/10.1126/science.1169405</w:t>
      </w:r>
    </w:p>
    <w:p w14:paraId="6710B090"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Higham, P. A., Perfect, T. J., &amp; Bruno, D. (2009). Investigating strength and frequency effects in recognition memory using type-2 signal detection theory. </w:t>
      </w:r>
      <w:r w:rsidRPr="00E9115C">
        <w:rPr>
          <w:rFonts w:ascii="Calibri" w:hAnsi="Calibri" w:cs="Calibri"/>
          <w:i/>
          <w:iCs/>
          <w:noProof/>
          <w:szCs w:val="24"/>
        </w:rPr>
        <w:t>Journal of Experimental Psychology: Learning, Memory, and Cognition</w:t>
      </w:r>
      <w:r w:rsidRPr="00E9115C">
        <w:rPr>
          <w:rFonts w:ascii="Calibri" w:hAnsi="Calibri" w:cs="Calibri"/>
          <w:noProof/>
          <w:szCs w:val="24"/>
        </w:rPr>
        <w:t xml:space="preserve">, </w:t>
      </w:r>
      <w:r w:rsidRPr="00E9115C">
        <w:rPr>
          <w:rFonts w:ascii="Calibri" w:hAnsi="Calibri" w:cs="Calibri"/>
          <w:i/>
          <w:iCs/>
          <w:noProof/>
          <w:szCs w:val="24"/>
        </w:rPr>
        <w:t>35</w:t>
      </w:r>
      <w:r w:rsidRPr="00E9115C">
        <w:rPr>
          <w:rFonts w:ascii="Calibri" w:hAnsi="Calibri" w:cs="Calibri"/>
          <w:noProof/>
          <w:szCs w:val="24"/>
        </w:rPr>
        <w:t>(1), 57–80. https://doi.org/10.1037/a0013865</w:t>
      </w:r>
    </w:p>
    <w:p w14:paraId="0652619A"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lastRenderedPageBreak/>
        <w:t xml:space="preserve">Kanai, R., Walsh, V., &amp; Tseng, C. (2010). Subjective discriminability of invisibility: A framework for distinguishing perceptual and attentional failures of awareness. </w:t>
      </w:r>
      <w:r w:rsidRPr="00E9115C">
        <w:rPr>
          <w:rFonts w:ascii="Calibri" w:hAnsi="Calibri" w:cs="Calibri"/>
          <w:i/>
          <w:iCs/>
          <w:noProof/>
          <w:szCs w:val="24"/>
        </w:rPr>
        <w:t>Consciousness and Cognition</w:t>
      </w:r>
      <w:r w:rsidRPr="00E9115C">
        <w:rPr>
          <w:rFonts w:ascii="Calibri" w:hAnsi="Calibri" w:cs="Calibri"/>
          <w:noProof/>
          <w:szCs w:val="24"/>
        </w:rPr>
        <w:t xml:space="preserve">, </w:t>
      </w:r>
      <w:r w:rsidRPr="00E9115C">
        <w:rPr>
          <w:rFonts w:ascii="Calibri" w:hAnsi="Calibri" w:cs="Calibri"/>
          <w:i/>
          <w:iCs/>
          <w:noProof/>
          <w:szCs w:val="24"/>
        </w:rPr>
        <w:t>19</w:t>
      </w:r>
      <w:r w:rsidRPr="00E9115C">
        <w:rPr>
          <w:rFonts w:ascii="Calibri" w:hAnsi="Calibri" w:cs="Calibri"/>
          <w:noProof/>
          <w:szCs w:val="24"/>
        </w:rPr>
        <w:t>(4), 1045–1057. https://doi.org/10.1016/J.CONCOG.2010.06.003</w:t>
      </w:r>
    </w:p>
    <w:p w14:paraId="217709E5"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Maniscalco, B., &amp; Lau, H. (2012). A signal detection theoretic approach for estimating metacognitive sensitivity from confidence ratings. </w:t>
      </w:r>
      <w:r w:rsidRPr="00E9115C">
        <w:rPr>
          <w:rFonts w:ascii="Calibri" w:hAnsi="Calibri" w:cs="Calibri"/>
          <w:i/>
          <w:iCs/>
          <w:noProof/>
          <w:szCs w:val="24"/>
        </w:rPr>
        <w:t>Consciousness and Cognition</w:t>
      </w:r>
      <w:r w:rsidRPr="00E9115C">
        <w:rPr>
          <w:rFonts w:ascii="Calibri" w:hAnsi="Calibri" w:cs="Calibri"/>
          <w:noProof/>
          <w:szCs w:val="24"/>
        </w:rPr>
        <w:t xml:space="preserve">, </w:t>
      </w:r>
      <w:r w:rsidRPr="00E9115C">
        <w:rPr>
          <w:rFonts w:ascii="Calibri" w:hAnsi="Calibri" w:cs="Calibri"/>
          <w:i/>
          <w:iCs/>
          <w:noProof/>
          <w:szCs w:val="24"/>
        </w:rPr>
        <w:t>21</w:t>
      </w:r>
      <w:r w:rsidRPr="00E9115C">
        <w:rPr>
          <w:rFonts w:ascii="Calibri" w:hAnsi="Calibri" w:cs="Calibri"/>
          <w:noProof/>
          <w:szCs w:val="24"/>
        </w:rPr>
        <w:t>, 422–430. https://doi.org/10.1016/j.concog.2011.09.021</w:t>
      </w:r>
    </w:p>
    <w:p w14:paraId="6EC34B77"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5532F3B0"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E9115C">
        <w:rPr>
          <w:rFonts w:ascii="Calibri" w:hAnsi="Calibri" w:cs="Calibri"/>
          <w:i/>
          <w:iCs/>
          <w:noProof/>
          <w:szCs w:val="24"/>
        </w:rPr>
        <w:t>Attention, Perception, &amp; Psychophysics</w:t>
      </w:r>
      <w:r w:rsidRPr="00E9115C">
        <w:rPr>
          <w:rFonts w:ascii="Calibri" w:hAnsi="Calibri" w:cs="Calibri"/>
          <w:noProof/>
          <w:szCs w:val="24"/>
        </w:rPr>
        <w:t xml:space="preserve">, </w:t>
      </w:r>
      <w:r w:rsidRPr="00E9115C">
        <w:rPr>
          <w:rFonts w:ascii="Calibri" w:hAnsi="Calibri" w:cs="Calibri"/>
          <w:i/>
          <w:iCs/>
          <w:noProof/>
          <w:szCs w:val="24"/>
        </w:rPr>
        <w:t>76</w:t>
      </w:r>
      <w:r w:rsidRPr="00E9115C">
        <w:rPr>
          <w:rFonts w:ascii="Calibri" w:hAnsi="Calibri" w:cs="Calibri"/>
          <w:noProof/>
          <w:szCs w:val="24"/>
        </w:rPr>
        <w:t>(4), 1057–1068. https://doi.org/10.3758/s13414-014-0643-1</w:t>
      </w:r>
    </w:p>
    <w:p w14:paraId="1EBB90AA"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Miyamoto, K., Setsuie, R., Osada, T., &amp; Miyashita, Y. (2018). Reversible Silencing of the Frontopolar Cortex Selectively Impairs Metacognitive Judgment on Non-experience in Primates. </w:t>
      </w:r>
      <w:r w:rsidRPr="00E9115C">
        <w:rPr>
          <w:rFonts w:ascii="Calibri" w:hAnsi="Calibri" w:cs="Calibri"/>
          <w:i/>
          <w:iCs/>
          <w:noProof/>
          <w:szCs w:val="24"/>
        </w:rPr>
        <w:t>Neuron</w:t>
      </w:r>
      <w:r w:rsidRPr="00E9115C">
        <w:rPr>
          <w:rFonts w:ascii="Calibri" w:hAnsi="Calibri" w:cs="Calibri"/>
          <w:noProof/>
          <w:szCs w:val="24"/>
        </w:rPr>
        <w:t xml:space="preserve">, </w:t>
      </w:r>
      <w:r w:rsidRPr="00E9115C">
        <w:rPr>
          <w:rFonts w:ascii="Calibri" w:hAnsi="Calibri" w:cs="Calibri"/>
          <w:i/>
          <w:iCs/>
          <w:noProof/>
          <w:szCs w:val="24"/>
        </w:rPr>
        <w:t>97</w:t>
      </w:r>
      <w:r w:rsidRPr="00E9115C">
        <w:rPr>
          <w:rFonts w:ascii="Calibri" w:hAnsi="Calibri" w:cs="Calibri"/>
          <w:noProof/>
          <w:szCs w:val="24"/>
        </w:rPr>
        <w:t>(4), 980–989.e6. https://doi.org/10.1016/j.neuron.2017.12.040</w:t>
      </w:r>
    </w:p>
    <w:p w14:paraId="1CA9888D"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Morales, J., Lau, H., &amp; Fleming, S. M. (2018). Domain-General and Domain-Specific Patterns of Activity Supporting Metacognition in Human Prefrontal Cortex. </w:t>
      </w:r>
      <w:r w:rsidRPr="00E9115C">
        <w:rPr>
          <w:rFonts w:ascii="Calibri" w:hAnsi="Calibri" w:cs="Calibri"/>
          <w:i/>
          <w:iCs/>
          <w:noProof/>
          <w:szCs w:val="24"/>
        </w:rPr>
        <w:t>The Journal of Neuroscience : The Official Journal of the Society for Neuroscience</w:t>
      </w:r>
      <w:r w:rsidRPr="00E9115C">
        <w:rPr>
          <w:rFonts w:ascii="Calibri" w:hAnsi="Calibri" w:cs="Calibri"/>
          <w:noProof/>
          <w:szCs w:val="24"/>
        </w:rPr>
        <w:t xml:space="preserve">, </w:t>
      </w:r>
      <w:r w:rsidRPr="00E9115C">
        <w:rPr>
          <w:rFonts w:ascii="Calibri" w:hAnsi="Calibri" w:cs="Calibri"/>
          <w:i/>
          <w:iCs/>
          <w:noProof/>
          <w:szCs w:val="24"/>
        </w:rPr>
        <w:t>38</w:t>
      </w:r>
      <w:r w:rsidRPr="00E9115C">
        <w:rPr>
          <w:rFonts w:ascii="Calibri" w:hAnsi="Calibri" w:cs="Calibri"/>
          <w:noProof/>
          <w:szCs w:val="24"/>
        </w:rPr>
        <w:t>(14), 3534–3546. https://doi.org/10.1523/JNEUROSCI.2360-17.2018</w:t>
      </w:r>
    </w:p>
    <w:p w14:paraId="2EE844F1"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Neubert, F.-X., Mars, R. B., Thomas, A. G., Sallet, J., &amp; Rushworth, M. F. S. (2014). </w:t>
      </w:r>
      <w:r w:rsidRPr="00E9115C">
        <w:rPr>
          <w:rFonts w:ascii="Calibri" w:hAnsi="Calibri" w:cs="Calibri"/>
          <w:noProof/>
          <w:szCs w:val="24"/>
        </w:rPr>
        <w:lastRenderedPageBreak/>
        <w:t xml:space="preserve">Comparison of Human Ventral Frontal Cortex Areas for Cognitive Control and Language with Areas in Monkey Frontal Cortex. </w:t>
      </w:r>
      <w:r w:rsidRPr="00E9115C">
        <w:rPr>
          <w:rFonts w:ascii="Calibri" w:hAnsi="Calibri" w:cs="Calibri"/>
          <w:i/>
          <w:iCs/>
          <w:noProof/>
          <w:szCs w:val="24"/>
        </w:rPr>
        <w:t>Neuron</w:t>
      </w:r>
      <w:r w:rsidRPr="00E9115C">
        <w:rPr>
          <w:rFonts w:ascii="Calibri" w:hAnsi="Calibri" w:cs="Calibri"/>
          <w:noProof/>
          <w:szCs w:val="24"/>
        </w:rPr>
        <w:t xml:space="preserve">, </w:t>
      </w:r>
      <w:r w:rsidRPr="00E9115C">
        <w:rPr>
          <w:rFonts w:ascii="Calibri" w:hAnsi="Calibri" w:cs="Calibri"/>
          <w:i/>
          <w:iCs/>
          <w:noProof/>
          <w:szCs w:val="24"/>
        </w:rPr>
        <w:t>81</w:t>
      </w:r>
      <w:r w:rsidRPr="00E9115C">
        <w:rPr>
          <w:rFonts w:ascii="Calibri" w:hAnsi="Calibri" w:cs="Calibri"/>
          <w:noProof/>
          <w:szCs w:val="24"/>
        </w:rPr>
        <w:t>(3), 700–713. https://doi.org/10.1016/J.NEURON.2013.11.012</w:t>
      </w:r>
    </w:p>
    <w:p w14:paraId="1FA9A27A"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szCs w:val="24"/>
        </w:rPr>
      </w:pPr>
      <w:r w:rsidRPr="00E9115C">
        <w:rPr>
          <w:rFonts w:ascii="Calibri" w:hAnsi="Calibri" w:cs="Calibri"/>
          <w:noProof/>
          <w:szCs w:val="24"/>
        </w:rPr>
        <w:t xml:space="preserve">Norman, K. A., Polyn, S. M., Detre, G. J., &amp; Haxby, J. V. (2006). Beyond mind-reading: multi-voxel pattern analysis of fMRI data. </w:t>
      </w:r>
      <w:r w:rsidRPr="00E9115C">
        <w:rPr>
          <w:rFonts w:ascii="Calibri" w:hAnsi="Calibri" w:cs="Calibri"/>
          <w:i/>
          <w:iCs/>
          <w:noProof/>
          <w:szCs w:val="24"/>
        </w:rPr>
        <w:t>Trends in Cognitive Sciences</w:t>
      </w:r>
      <w:r w:rsidRPr="00E9115C">
        <w:rPr>
          <w:rFonts w:ascii="Calibri" w:hAnsi="Calibri" w:cs="Calibri"/>
          <w:noProof/>
          <w:szCs w:val="24"/>
        </w:rPr>
        <w:t xml:space="preserve">, </w:t>
      </w:r>
      <w:r w:rsidRPr="00E9115C">
        <w:rPr>
          <w:rFonts w:ascii="Calibri" w:hAnsi="Calibri" w:cs="Calibri"/>
          <w:i/>
          <w:iCs/>
          <w:noProof/>
          <w:szCs w:val="24"/>
        </w:rPr>
        <w:t>10</w:t>
      </w:r>
      <w:r w:rsidRPr="00E9115C">
        <w:rPr>
          <w:rFonts w:ascii="Calibri" w:hAnsi="Calibri" w:cs="Calibri"/>
          <w:noProof/>
          <w:szCs w:val="24"/>
        </w:rPr>
        <w:t>(9), 424–430. https://doi.org/10.1016/j.tics.2006.07.005</w:t>
      </w:r>
    </w:p>
    <w:p w14:paraId="49CADC64" w14:textId="77777777" w:rsidR="00E9115C" w:rsidRPr="00E9115C" w:rsidRDefault="00E9115C" w:rsidP="00C537AF">
      <w:pPr>
        <w:widowControl w:val="0"/>
        <w:autoSpaceDE w:val="0"/>
        <w:autoSpaceDN w:val="0"/>
        <w:bidi w:val="0"/>
        <w:adjustRightInd w:val="0"/>
        <w:spacing w:line="480" w:lineRule="auto"/>
        <w:ind w:left="480" w:hanging="480"/>
        <w:rPr>
          <w:rFonts w:ascii="Calibri" w:hAnsi="Calibri" w:cs="Calibri"/>
          <w:noProof/>
        </w:rPr>
      </w:pPr>
      <w:r w:rsidRPr="00E9115C">
        <w:rPr>
          <w:rFonts w:ascii="Calibri" w:hAnsi="Calibri" w:cs="Calibri"/>
          <w:noProof/>
          <w:szCs w:val="24"/>
        </w:rPr>
        <w:t xml:space="preserve">Yokoyama, O., Miura, N., Watanabe, J., Takemoto, A., Uchida, S., Sugiura, M., … Nakamura, K. (2010). Right frontopolar cortex activity correlates with reliability of retrospective rating of confidence in short-term recognition memory performance. </w:t>
      </w:r>
      <w:r w:rsidRPr="00E9115C">
        <w:rPr>
          <w:rFonts w:ascii="Calibri" w:hAnsi="Calibri" w:cs="Calibri"/>
          <w:i/>
          <w:iCs/>
          <w:noProof/>
          <w:szCs w:val="24"/>
        </w:rPr>
        <w:t>Neuroscience Research</w:t>
      </w:r>
      <w:r w:rsidRPr="00E9115C">
        <w:rPr>
          <w:rFonts w:ascii="Calibri" w:hAnsi="Calibri" w:cs="Calibri"/>
          <w:noProof/>
          <w:szCs w:val="24"/>
        </w:rPr>
        <w:t xml:space="preserve">, </w:t>
      </w:r>
      <w:r w:rsidRPr="00E9115C">
        <w:rPr>
          <w:rFonts w:ascii="Calibri" w:hAnsi="Calibri" w:cs="Calibri"/>
          <w:i/>
          <w:iCs/>
          <w:noProof/>
          <w:szCs w:val="24"/>
        </w:rPr>
        <w:t>68</w:t>
      </w:r>
      <w:r w:rsidRPr="00E9115C">
        <w:rPr>
          <w:rFonts w:ascii="Calibri" w:hAnsi="Calibri" w:cs="Calibri"/>
          <w:noProof/>
          <w:szCs w:val="24"/>
        </w:rPr>
        <w:t>(3), 199–206. https://doi.org/10.1016/J.NEURES.2010.07.2041</w:t>
      </w:r>
    </w:p>
    <w:p w14:paraId="2E1206FA" w14:textId="77777777" w:rsidR="00984701" w:rsidRPr="00984701" w:rsidRDefault="00631FF1" w:rsidP="00C537AF">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an Mazor" w:date="2018-07-18T12:47:00Z" w:initials="MM">
    <w:p w14:paraId="39A341B8" w14:textId="100C5923" w:rsidR="00F849BF" w:rsidRDefault="00F849BF">
      <w:pPr>
        <w:pStyle w:val="CommentText"/>
      </w:pPr>
      <w:r>
        <w:rPr>
          <w:rStyle w:val="CommentReference"/>
        </w:rPr>
        <w:annotationRef/>
      </w:r>
      <w:r>
        <w:t>Which probably also means that we remove this bit.</w:t>
      </w:r>
    </w:p>
  </w:comment>
  <w:comment w:id="1" w:author="Matan Mazor" w:date="2018-07-18T12:48:00Z" w:initials="MM">
    <w:p w14:paraId="44C44B89" w14:textId="3E19A250" w:rsidR="00F849BF" w:rsidRDefault="00F849BF">
      <w:pPr>
        <w:pStyle w:val="CommentText"/>
      </w:pPr>
      <w:r>
        <w:rPr>
          <w:rStyle w:val="CommentReference"/>
        </w:rPr>
        <w:annotationRef/>
      </w:r>
      <w:r>
        <w:t>Following the project presentation, worthwhile reconsidering how central the counterfactual reasoning  idea should be in the document.</w:t>
      </w:r>
    </w:p>
  </w:comment>
  <w:comment w:id="2" w:author="Matan Mazor" w:date="2018-07-18T12:49:00Z" w:initials="MM">
    <w:p w14:paraId="7874B70B" w14:textId="3DBF1BF9" w:rsidR="00F849BF" w:rsidRDefault="00F849BF">
      <w:pPr>
        <w:pStyle w:val="CommentText"/>
        <w:rPr>
          <w:rtl/>
        </w:rPr>
      </w:pPr>
      <w:r>
        <w:rPr>
          <w:rStyle w:val="CommentReference"/>
        </w:rPr>
        <w:annotationRef/>
      </w:r>
      <w:r>
        <w:t>Given that the phi coefficient is so unstable with low number of trials, I think we should reconsider this as well.</w:t>
      </w:r>
    </w:p>
  </w:comment>
  <w:comment w:id="3" w:author="Matan Mazor" w:date="2018-07-24T13:05:00Z" w:initials="MM">
    <w:p w14:paraId="72E2A450" w14:textId="680DEF00" w:rsidR="001F31F5" w:rsidRDefault="001F31F5">
      <w:pPr>
        <w:pStyle w:val="CommentText"/>
        <w:rPr>
          <w:rtl/>
        </w:rPr>
      </w:pPr>
      <w:r>
        <w:rPr>
          <w:rStyle w:val="CommentReference"/>
        </w:rPr>
        <w:annotationRef/>
      </w:r>
      <w:r>
        <w:t xml:space="preserve">I couldn't find what was the smoothing kernel in your </w:t>
      </w:r>
      <w:r w:rsidR="009A3027">
        <w:t xml:space="preserve">change of mind paper, but it was 8mm in the JNS paper. </w:t>
      </w:r>
    </w:p>
  </w:comment>
  <w:comment w:id="4" w:author="Matan Mazor" w:date="2018-07-26T11:11:00Z" w:initials="MM">
    <w:p w14:paraId="5AB77D1C" w14:textId="45B78BC1" w:rsidR="003E2573" w:rsidRDefault="003E2573">
      <w:pPr>
        <w:pStyle w:val="CommentText"/>
      </w:pPr>
      <w:r>
        <w:rPr>
          <w:rStyle w:val="CommentReference"/>
        </w:rPr>
        <w:annotationRef/>
      </w:r>
      <w:r>
        <w:t>Does 8-mm sphere mean 8-mm radius or 8-mm diameter?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341B8" w15:done="0"/>
  <w15:commentEx w15:paraId="44C44B89" w15:done="0"/>
  <w15:commentEx w15:paraId="7874B70B" w15:done="0"/>
  <w15:commentEx w15:paraId="72E2A450" w15:done="0"/>
  <w15:commentEx w15:paraId="5AB77D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341B8" w16cid:durableId="1EF9B574"/>
  <w16cid:commentId w16cid:paraId="44C44B89" w16cid:durableId="1EF9B590"/>
  <w16cid:commentId w16cid:paraId="7874B70B" w16cid:durableId="1EF9B5DB"/>
  <w16cid:commentId w16cid:paraId="72E2A450" w16cid:durableId="1F01A294"/>
  <w16cid:commentId w16cid:paraId="5AB77D1C" w16cid:durableId="1F042A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0D"/>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50B8B"/>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F707C7"/>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667C63"/>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D537F"/>
    <w:multiLevelType w:val="hybridMultilevel"/>
    <w:tmpl w:val="0F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D1176"/>
    <w:multiLevelType w:val="hybridMultilevel"/>
    <w:tmpl w:val="7B74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A66C1"/>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5"/>
  </w:num>
  <w:num w:numId="15">
    <w:abstractNumId w:val="2"/>
  </w:num>
  <w:num w:numId="16">
    <w:abstractNumId w:val="10"/>
  </w:num>
  <w:num w:numId="17">
    <w:abstractNumId w:val="7"/>
  </w:num>
  <w:num w:numId="18">
    <w:abstractNumId w:val="11"/>
  </w:num>
  <w:num w:numId="19">
    <w:abstractNumId w:val="8"/>
  </w:num>
  <w:num w:numId="20">
    <w:abstractNumId w:val="4"/>
  </w:num>
  <w:num w:numId="21">
    <w:abstractNumId w:val="6"/>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Windows Live" w15:userId="360af3352abae8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44842"/>
    <w:rsid w:val="00046FF8"/>
    <w:rsid w:val="000B51B9"/>
    <w:rsid w:val="00102D86"/>
    <w:rsid w:val="00110463"/>
    <w:rsid w:val="00114EE6"/>
    <w:rsid w:val="001966D5"/>
    <w:rsid w:val="001B3233"/>
    <w:rsid w:val="001C3B6C"/>
    <w:rsid w:val="001D3839"/>
    <w:rsid w:val="001D4EA2"/>
    <w:rsid w:val="001D5AEE"/>
    <w:rsid w:val="001F31F5"/>
    <w:rsid w:val="00204461"/>
    <w:rsid w:val="00240F20"/>
    <w:rsid w:val="0026053B"/>
    <w:rsid w:val="00274FDA"/>
    <w:rsid w:val="002C1D6E"/>
    <w:rsid w:val="002C6D51"/>
    <w:rsid w:val="00303CC8"/>
    <w:rsid w:val="0035486A"/>
    <w:rsid w:val="003716BB"/>
    <w:rsid w:val="00392FE0"/>
    <w:rsid w:val="003C4989"/>
    <w:rsid w:val="003D04B9"/>
    <w:rsid w:val="003E1E11"/>
    <w:rsid w:val="003E2375"/>
    <w:rsid w:val="003E2573"/>
    <w:rsid w:val="0041227A"/>
    <w:rsid w:val="0041580D"/>
    <w:rsid w:val="004162F9"/>
    <w:rsid w:val="004170EB"/>
    <w:rsid w:val="004841C4"/>
    <w:rsid w:val="00494E95"/>
    <w:rsid w:val="004B502F"/>
    <w:rsid w:val="004C6A02"/>
    <w:rsid w:val="00500573"/>
    <w:rsid w:val="00522763"/>
    <w:rsid w:val="00527882"/>
    <w:rsid w:val="00545B3B"/>
    <w:rsid w:val="00582853"/>
    <w:rsid w:val="005844CA"/>
    <w:rsid w:val="005A4A5C"/>
    <w:rsid w:val="005A6A7E"/>
    <w:rsid w:val="005C70E9"/>
    <w:rsid w:val="005D6F71"/>
    <w:rsid w:val="00601DCE"/>
    <w:rsid w:val="006141E9"/>
    <w:rsid w:val="006206DE"/>
    <w:rsid w:val="00631FF1"/>
    <w:rsid w:val="00643F55"/>
    <w:rsid w:val="006476BA"/>
    <w:rsid w:val="006B6F6B"/>
    <w:rsid w:val="00705092"/>
    <w:rsid w:val="007051BF"/>
    <w:rsid w:val="007400AD"/>
    <w:rsid w:val="00764333"/>
    <w:rsid w:val="00765027"/>
    <w:rsid w:val="00771052"/>
    <w:rsid w:val="00771D66"/>
    <w:rsid w:val="007D2446"/>
    <w:rsid w:val="007D4A99"/>
    <w:rsid w:val="00801F35"/>
    <w:rsid w:val="00810D93"/>
    <w:rsid w:val="00811C3D"/>
    <w:rsid w:val="00836AFE"/>
    <w:rsid w:val="00840418"/>
    <w:rsid w:val="00872795"/>
    <w:rsid w:val="00872BC5"/>
    <w:rsid w:val="008A122B"/>
    <w:rsid w:val="008E5C0C"/>
    <w:rsid w:val="00924956"/>
    <w:rsid w:val="00931F52"/>
    <w:rsid w:val="00951D0E"/>
    <w:rsid w:val="0098085E"/>
    <w:rsid w:val="00984701"/>
    <w:rsid w:val="00985120"/>
    <w:rsid w:val="009A3027"/>
    <w:rsid w:val="009F5E95"/>
    <w:rsid w:val="00A3255E"/>
    <w:rsid w:val="00A36839"/>
    <w:rsid w:val="00A37116"/>
    <w:rsid w:val="00A516FF"/>
    <w:rsid w:val="00A62BB6"/>
    <w:rsid w:val="00A9585F"/>
    <w:rsid w:val="00AF41A8"/>
    <w:rsid w:val="00B01D8D"/>
    <w:rsid w:val="00B1701D"/>
    <w:rsid w:val="00B2705E"/>
    <w:rsid w:val="00B53FC1"/>
    <w:rsid w:val="00B92DC1"/>
    <w:rsid w:val="00B97F2A"/>
    <w:rsid w:val="00BC1AC5"/>
    <w:rsid w:val="00BF54ED"/>
    <w:rsid w:val="00C043F5"/>
    <w:rsid w:val="00C25493"/>
    <w:rsid w:val="00C406DA"/>
    <w:rsid w:val="00C537AF"/>
    <w:rsid w:val="00C72FAF"/>
    <w:rsid w:val="00C7496A"/>
    <w:rsid w:val="00C779BB"/>
    <w:rsid w:val="00C856BB"/>
    <w:rsid w:val="00CB0443"/>
    <w:rsid w:val="00CB27CF"/>
    <w:rsid w:val="00CD530A"/>
    <w:rsid w:val="00D463A5"/>
    <w:rsid w:val="00D62C94"/>
    <w:rsid w:val="00D9506D"/>
    <w:rsid w:val="00D962E8"/>
    <w:rsid w:val="00D97143"/>
    <w:rsid w:val="00DC0797"/>
    <w:rsid w:val="00DC6487"/>
    <w:rsid w:val="00DD39A4"/>
    <w:rsid w:val="00E01F4C"/>
    <w:rsid w:val="00E3055D"/>
    <w:rsid w:val="00E57C5B"/>
    <w:rsid w:val="00E60937"/>
    <w:rsid w:val="00E6595B"/>
    <w:rsid w:val="00E773B0"/>
    <w:rsid w:val="00E87693"/>
    <w:rsid w:val="00E879AF"/>
    <w:rsid w:val="00E9115C"/>
    <w:rsid w:val="00EB1418"/>
    <w:rsid w:val="00EB474F"/>
    <w:rsid w:val="00EE29BE"/>
    <w:rsid w:val="00EE575B"/>
    <w:rsid w:val="00F171D6"/>
    <w:rsid w:val="00F30126"/>
    <w:rsid w:val="00F32E95"/>
    <w:rsid w:val="00F34B93"/>
    <w:rsid w:val="00F457E4"/>
    <w:rsid w:val="00F4634B"/>
    <w:rsid w:val="00F60689"/>
    <w:rsid w:val="00F6473B"/>
    <w:rsid w:val="00F77EE5"/>
    <w:rsid w:val="00F83584"/>
    <w:rsid w:val="00F849BF"/>
    <w:rsid w:val="00FC1CE1"/>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C4A53-D850-4484-8D26-11B21B35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16</Pages>
  <Words>12613</Words>
  <Characters>63065</Characters>
  <Application>Microsoft Office Word</Application>
  <DocSecurity>0</DocSecurity>
  <Lines>525</Lines>
  <Paragraphs>151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33</cp:revision>
  <dcterms:created xsi:type="dcterms:W3CDTF">2018-05-18T13:09:00Z</dcterms:created>
  <dcterms:modified xsi:type="dcterms:W3CDTF">2018-08-01T12:53:00Z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