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25CE0" w14:textId="15F67763" w:rsidR="00244132" w:rsidRDefault="00244132" w:rsidP="007875D4">
      <w:pPr>
        <w:rPr>
          <w:b/>
          <w:lang w:val="en-US"/>
        </w:rPr>
      </w:pPr>
      <w:r>
        <w:rPr>
          <w:b/>
          <w:lang w:val="en-US"/>
        </w:rPr>
        <w:t>CNV methods.</w:t>
      </w:r>
    </w:p>
    <w:p w14:paraId="26783D3C" w14:textId="77777777" w:rsidR="00B77C0C" w:rsidRDefault="00B77C0C" w:rsidP="007875D4">
      <w:pPr>
        <w:rPr>
          <w:b/>
          <w:lang w:val="en-US"/>
        </w:rPr>
      </w:pPr>
    </w:p>
    <w:p w14:paraId="6F442785" w14:textId="74F61456" w:rsidR="00B77C0C" w:rsidRDefault="00B77C0C" w:rsidP="007875D4">
      <w:pPr>
        <w:rPr>
          <w:lang w:val="en-US"/>
        </w:rPr>
      </w:pPr>
      <w:r>
        <w:rPr>
          <w:lang w:val="en-US"/>
        </w:rPr>
        <w:t xml:space="preserve">Pipeline URL: </w:t>
      </w:r>
      <w:hyperlink r:id="rId4" w:history="1">
        <w:r w:rsidR="00801CC5" w:rsidRPr="00C60B9A">
          <w:rPr>
            <w:rStyle w:val="Hyperlink"/>
            <w:lang w:val="en-US"/>
          </w:rPr>
          <w:t>https://github.com/theboocock/long_read_cnv</w:t>
        </w:r>
      </w:hyperlink>
    </w:p>
    <w:p w14:paraId="75EFA31B" w14:textId="77777777" w:rsidR="00801CC5" w:rsidRDefault="00801CC5" w:rsidP="007875D4">
      <w:pPr>
        <w:rPr>
          <w:lang w:val="en-US"/>
        </w:rPr>
      </w:pPr>
    </w:p>
    <w:p w14:paraId="1F770B80" w14:textId="7DFD25E7" w:rsidR="00801CC5" w:rsidRPr="00801CC5" w:rsidRDefault="00801CC5" w:rsidP="007875D4">
      <w:pPr>
        <w:rPr>
          <w:b/>
          <w:lang w:val="en-US"/>
        </w:rPr>
      </w:pPr>
      <w:r w:rsidRPr="00801CC5">
        <w:rPr>
          <w:b/>
          <w:lang w:val="en-US"/>
        </w:rPr>
        <w:t>Variant calling</w:t>
      </w:r>
      <w:r>
        <w:rPr>
          <w:b/>
          <w:lang w:val="en-US"/>
        </w:rPr>
        <w:t>.</w:t>
      </w:r>
    </w:p>
    <w:p w14:paraId="1321E262" w14:textId="77777777" w:rsidR="00244132" w:rsidRDefault="00244132" w:rsidP="007875D4">
      <w:pPr>
        <w:rPr>
          <w:b/>
          <w:lang w:val="en-US"/>
        </w:rPr>
      </w:pPr>
    </w:p>
    <w:p w14:paraId="708E3287" w14:textId="217E1796" w:rsidR="00C36BDB" w:rsidRDefault="00C36BDB" w:rsidP="007875D4">
      <w:pPr>
        <w:rPr>
          <w:b/>
          <w:lang w:val="en-US"/>
        </w:rPr>
      </w:pPr>
      <w:r>
        <w:rPr>
          <w:b/>
          <w:lang w:val="en-US"/>
        </w:rPr>
        <w:t>Hybrid CNV</w:t>
      </w:r>
      <w:r w:rsidR="00502E8F">
        <w:rPr>
          <w:b/>
          <w:lang w:val="en-US"/>
        </w:rPr>
        <w:t xml:space="preserve"> algorithm</w:t>
      </w:r>
      <w:r w:rsidR="00067B50">
        <w:rPr>
          <w:b/>
          <w:lang w:val="en-US"/>
        </w:rPr>
        <w:t xml:space="preserve"> (The long and short</w:t>
      </w:r>
      <w:r w:rsidR="008164F4">
        <w:rPr>
          <w:b/>
          <w:lang w:val="en-US"/>
        </w:rPr>
        <w:t xml:space="preserve"> read</w:t>
      </w:r>
      <w:r w:rsidR="00E84EC5">
        <w:rPr>
          <w:b/>
          <w:lang w:val="en-US"/>
        </w:rPr>
        <w:t xml:space="preserve"> of CNV</w:t>
      </w:r>
      <w:r w:rsidR="00067B50">
        <w:rPr>
          <w:b/>
          <w:lang w:val="en-US"/>
        </w:rPr>
        <w:t>)</w:t>
      </w:r>
    </w:p>
    <w:p w14:paraId="4B012D84" w14:textId="77777777" w:rsidR="007875D4" w:rsidRDefault="007875D4" w:rsidP="007875D4">
      <w:pPr>
        <w:rPr>
          <w:b/>
          <w:lang w:val="en-US"/>
        </w:rPr>
      </w:pPr>
    </w:p>
    <w:p w14:paraId="4BD55542" w14:textId="161E464D" w:rsidR="00CC55F6" w:rsidRDefault="00957D8F">
      <w:pPr>
        <w:rPr>
          <w:lang w:val="en-US"/>
        </w:rPr>
      </w:pPr>
      <w:r>
        <w:rPr>
          <w:lang w:val="en-US"/>
        </w:rPr>
        <w:t xml:space="preserve">To identify </w:t>
      </w:r>
      <w:r w:rsidR="00A44557">
        <w:rPr>
          <w:lang w:val="en-US"/>
        </w:rPr>
        <w:t xml:space="preserve">copy-number variation (CNV) in the 16 yeast parent strains </w:t>
      </w:r>
      <w:r w:rsidR="009A497B">
        <w:rPr>
          <w:lang w:val="en-US"/>
        </w:rPr>
        <w:t xml:space="preserve">used in the </w:t>
      </w:r>
      <w:r w:rsidR="00A44557">
        <w:rPr>
          <w:lang w:val="en-US"/>
        </w:rPr>
        <w:t>round robin crosses, w</w:t>
      </w:r>
      <w:r w:rsidR="00C36BDB">
        <w:rPr>
          <w:lang w:val="en-US"/>
        </w:rPr>
        <w:t>e dev</w:t>
      </w:r>
      <w:r w:rsidR="00A44557">
        <w:rPr>
          <w:lang w:val="en-US"/>
        </w:rPr>
        <w:t xml:space="preserve">eloped a computational pipeline designed </w:t>
      </w:r>
      <w:r w:rsidR="004B5E4B">
        <w:rPr>
          <w:lang w:val="en-US"/>
        </w:rPr>
        <w:t>to leverage both</w:t>
      </w:r>
      <w:r w:rsidR="00A44557">
        <w:rPr>
          <w:lang w:val="en-US"/>
        </w:rPr>
        <w:t xml:space="preserve"> moleculo </w:t>
      </w:r>
      <w:r w:rsidR="004C0AA1">
        <w:rPr>
          <w:lang w:val="en-US"/>
        </w:rPr>
        <w:t xml:space="preserve">assemblies </w:t>
      </w:r>
      <w:r w:rsidR="00A44557">
        <w:rPr>
          <w:lang w:val="en-US"/>
        </w:rPr>
        <w:t>and Illumina short-read sequencing</w:t>
      </w:r>
      <w:r w:rsidR="00F60D16">
        <w:rPr>
          <w:lang w:val="en-US"/>
        </w:rPr>
        <w:t xml:space="preserve"> (Figure X)</w:t>
      </w:r>
      <w:r w:rsidR="001F4A19">
        <w:rPr>
          <w:lang w:val="en-US"/>
        </w:rPr>
        <w:t>.</w:t>
      </w:r>
      <w:r w:rsidR="00D72799">
        <w:rPr>
          <w:lang w:val="en-US"/>
        </w:rPr>
        <w:t xml:space="preserve"> The pipeline starts by filtering </w:t>
      </w:r>
      <w:r w:rsidR="001F4A19">
        <w:rPr>
          <w:lang w:val="en-US"/>
        </w:rPr>
        <w:t>the moleculo assemblies to only include</w:t>
      </w:r>
      <w:r w:rsidR="00D72799">
        <w:rPr>
          <w:lang w:val="en-US"/>
        </w:rPr>
        <w:t xml:space="preserve"> large</w:t>
      </w:r>
      <w:r w:rsidR="001F4A19">
        <w:rPr>
          <w:lang w:val="en-US"/>
        </w:rPr>
        <w:t xml:space="preserve"> </w:t>
      </w:r>
      <w:r w:rsidR="00D72799">
        <w:rPr>
          <w:lang w:val="en-US"/>
        </w:rPr>
        <w:t>scaffolds (10kb). These scaffolds were corrected using PILON, which is a tool that utilizes complementary Illumina</w:t>
      </w:r>
      <w:r w:rsidR="004A271B">
        <w:rPr>
          <w:lang w:val="en-US"/>
        </w:rPr>
        <w:t xml:space="preserve"> short-read</w:t>
      </w:r>
      <w:r w:rsidR="00D72799">
        <w:rPr>
          <w:lang w:val="en-US"/>
        </w:rPr>
        <w:t xml:space="preserve"> sequencing </w:t>
      </w:r>
      <w:r w:rsidR="004A271B">
        <w:rPr>
          <w:lang w:val="en-US"/>
        </w:rPr>
        <w:t>from the same sample</w:t>
      </w:r>
      <w:r w:rsidR="00D73119">
        <w:rPr>
          <w:lang w:val="en-US"/>
        </w:rPr>
        <w:t xml:space="preserve"> to correct for SNPs, fix miss-assemblies, and fill gaps</w:t>
      </w:r>
      <w:r w:rsidR="00F60D16">
        <w:rPr>
          <w:lang w:val="en-US"/>
        </w:rPr>
        <w:t xml:space="preserve"> </w:t>
      </w:r>
      <w:r w:rsidR="00F60D16">
        <w:rPr>
          <w:lang w:val="en-US"/>
        </w:rPr>
        <w:fldChar w:fldCharType="begin" w:fldLock="1"/>
      </w:r>
      <w:r w:rsidR="006E5B3D">
        <w:rPr>
          <w:lang w:val="en-US"/>
        </w:rPr>
        <w:instrText>ADDIN CSL_CITATION { "citationItems" : [ { "id" : "ITEM-1", "itemData" : { "DOI" : "10.1371/journal.pone.0112963", "ISBN" : "1932-6203", "ISSN" : "19326203", "PMID" : "25409509", "abstract" : "Advances in modern sequencing technologies allow us to generate sufficient data to analyze hundreds of bacterial genomes from a single machine in a single day. This potential for sequencing massive numbers of genomes calls for fully automated methods to produce high-quality assemblies and variant calls. We introduce Pilon, a fully automated, all-in-one tool for correcting draft assemblies and calling sequence variants of multiple sizes, including very large insertions and deletions. Pilon works with many types of sequence data, but is particularly strong when supplied with paired end data from two Illumina libraries with small e.g., 180 bp and large e.g., 3-5 Kb inserts. Pilon significantly improves draft genome assemblies by correcting bases, fixing mis-assemblies and filling gaps. For both haploid and diploid genomes, Pilon produces more contiguous genomes with fewer errors, enabling identification of more biologically relevant genes. Furthermore, Pilon identifies small variants with high accuracy as compared to state-of-the-art tools and is unique in its ability to accurately identify large sequence variants including duplications and resolve large insertions. Pilon is being used to improve the assemblies of thousands of new genomes and to identify variants from thousands of clinically relevant bacterial strains. Pilon is freely available as open source software.", "author" : [ { "dropping-particle" : "", "family" : "Walker", "given" : "Bruce J.", "non-dropping-particle" : "", "parse-names" : false, "suffix" : "" }, { "dropping-particle" : "", "family" : "Abeel", "given" : "Thomas", "non-dropping-particle" : "", "parse-names" : false, "suffix" : "" }, { "dropping-particle" : "", "family" : "Shea", "given" : "Terrance", "non-dropping-particle" : "", "parse-names" : false, "suffix" : "" }, { "dropping-particle" : "", "family" : "Priest", "given" : "Margaret", "non-dropping-particle" : "", "parse-names" : false, "suffix" : "" }, { "dropping-particle" : "", "family" : "Abouelliel", "given" : "Amr", "non-dropping-particle" : "", "parse-names" : false, "suffix" : "" }, { "dropping-particle" : "", "family" : "Sakthikumar", "given" : "Sharadha", "non-dropping-particle" : "", "parse-names" : false, "suffix" : "" }, { "dropping-particle" : "", "family" : "Cuomo", "given" : "Christina A.", "non-dropping-particle" : "", "parse-names" : false, "suffix" : "" }, { "dropping-particle" : "", "family" : "Zeng", "given" : "Qiandong", "non-dropping-particle" : "", "parse-names" : false, "suffix" : "" }, { "dropping-particle" : "", "family" : "Wortman", "given" : "Jennifer", "non-dropping-particle" : "", "parse-names" : false, "suffix" : "" }, { "dropping-particle" : "", "family" : "Young", "given" : "Sarah K.", "non-dropping-particle" : "", "parse-names" : false, "suffix" : "" }, { "dropping-particle" : "", "family" : "Earl", "given" : "Ashlee M.", "non-dropping-particle" : "", "parse-names" : false, "suffix" : "" } ], "container-title" : "PLoS ONE", "id" : "ITEM-1", "issue" : "11", "issued" : { "date-parts" : [ [ "2014" ] ] }, "title" : "Pilon: An integrated tool for comprehensive microbial variant detection and genome assembly improvement", "type" : "article-journal", "volume" : "9" }, "uris" : [ "http://www.mendeley.com/documents/?uuid=1bfd75c3-0f4f-4773-9f2c-a22be8f36940" ] } ], "mendeley" : { "formattedCitation" : "(Walker et al., 2014)", "plainTextFormattedCitation" : "(Walker et al., 2014)", "previouslyFormattedCitation" : "(Walker et al., 2014)" }, "properties" : { "noteIndex" : 0 }, "schema" : "https://github.com/citation-style-language/schema/raw/master/csl-citation.json" }</w:instrText>
      </w:r>
      <w:r w:rsidR="00F60D16">
        <w:rPr>
          <w:lang w:val="en-US"/>
        </w:rPr>
        <w:fldChar w:fldCharType="separate"/>
      </w:r>
      <w:r w:rsidR="00F60D16" w:rsidRPr="00F60D16">
        <w:rPr>
          <w:noProof/>
          <w:lang w:val="en-US"/>
        </w:rPr>
        <w:t>(Walker et al., 2014)</w:t>
      </w:r>
      <w:r w:rsidR="00F60D16">
        <w:rPr>
          <w:lang w:val="en-US"/>
        </w:rPr>
        <w:fldChar w:fldCharType="end"/>
      </w:r>
      <w:r w:rsidR="00D73119">
        <w:rPr>
          <w:lang w:val="en-US"/>
        </w:rPr>
        <w:t xml:space="preserve">. </w:t>
      </w:r>
      <w:r w:rsidR="00CC6700">
        <w:rPr>
          <w:lang w:val="en-US"/>
        </w:rPr>
        <w:t xml:space="preserve">Our CNV identification approach consisted of distinct discovery and validation phase. </w:t>
      </w:r>
    </w:p>
    <w:p w14:paraId="475EADDE" w14:textId="77777777" w:rsidR="00CC55F6" w:rsidRDefault="00CC55F6">
      <w:pPr>
        <w:rPr>
          <w:lang w:val="en-US"/>
        </w:rPr>
      </w:pPr>
    </w:p>
    <w:p w14:paraId="52B446FD" w14:textId="4A93D894" w:rsidR="00CC55F6" w:rsidRPr="00CC55F6" w:rsidRDefault="00CC55F6">
      <w:pPr>
        <w:rPr>
          <w:b/>
          <w:lang w:val="en-US"/>
        </w:rPr>
      </w:pPr>
      <w:r w:rsidRPr="00CC55F6">
        <w:rPr>
          <w:b/>
          <w:lang w:val="en-US"/>
        </w:rPr>
        <w:t>Discovery of putative CNVs.</w:t>
      </w:r>
    </w:p>
    <w:p w14:paraId="1640E595" w14:textId="77777777" w:rsidR="00CC55F6" w:rsidRDefault="00CC55F6">
      <w:pPr>
        <w:rPr>
          <w:lang w:val="en-US"/>
        </w:rPr>
      </w:pPr>
    </w:p>
    <w:p w14:paraId="43A6D8BD" w14:textId="5BEDDC2B" w:rsidR="00CC55F6" w:rsidRDefault="00AC0764">
      <w:pPr>
        <w:rPr>
          <w:lang w:val="en-US"/>
        </w:rPr>
      </w:pPr>
      <w:r>
        <w:rPr>
          <w:lang w:val="en-US"/>
        </w:rPr>
        <w:t>The</w:t>
      </w:r>
      <w:r w:rsidR="00CC6700">
        <w:rPr>
          <w:lang w:val="en-US"/>
        </w:rPr>
        <w:t xml:space="preserve"> filtered scaffolds were aligned to the S288c reference genome using</w:t>
      </w:r>
      <w:r w:rsidR="005215D1">
        <w:rPr>
          <w:lang w:val="en-US"/>
        </w:rPr>
        <w:t xml:space="preserve"> the</w:t>
      </w:r>
      <w:r w:rsidR="00CC6700">
        <w:rPr>
          <w:lang w:val="en-US"/>
        </w:rPr>
        <w:t xml:space="preserve"> </w:t>
      </w:r>
      <w:r w:rsidR="005215D1">
        <w:rPr>
          <w:lang w:val="en-US"/>
        </w:rPr>
        <w:t>SpeedSeq</w:t>
      </w:r>
      <w:r w:rsidR="006E5B3D">
        <w:rPr>
          <w:lang w:val="en-US"/>
        </w:rPr>
        <w:t xml:space="preserve"> align command</w:t>
      </w:r>
      <w:r>
        <w:rPr>
          <w:lang w:val="en-US"/>
        </w:rPr>
        <w:t xml:space="preserve"> and</w:t>
      </w:r>
      <w:r w:rsidR="00C75318">
        <w:rPr>
          <w:lang w:val="en-US"/>
        </w:rPr>
        <w:t xml:space="preserve"> were</w:t>
      </w:r>
      <w:r>
        <w:rPr>
          <w:lang w:val="en-US"/>
        </w:rPr>
        <w:t xml:space="preserve"> filtered to remove any scaffolds with low alignment quality (MAPQ &lt; 30)</w:t>
      </w:r>
      <w:r w:rsidR="006E5B3D">
        <w:rPr>
          <w:lang w:val="en-US"/>
        </w:rPr>
        <w:t xml:space="preserve"> </w:t>
      </w:r>
      <w:r w:rsidR="006E5B3D">
        <w:rPr>
          <w:lang w:val="en-US"/>
        </w:rPr>
        <w:fldChar w:fldCharType="begin" w:fldLock="1"/>
      </w:r>
      <w:r w:rsidR="00BB0301">
        <w:rPr>
          <w:lang w:val="en-US"/>
        </w:rPr>
        <w:instrText>ADDIN CSL_CITATION { "citationItems" : [ { "id" : "ITEM-1", "itemData" : { "DOI" : "10.1038/nmeth.3505", "ISBN" : "1548-7105", "ISSN" : "1548-7091", "PMID" : "26258291", "abstract" : "SpeedSeq is an open-source genome analysis platform that accomplishes alignment, variant detection and functional annotation of a 50\u00d7 human genome in 13 h on a low-cost server and alleviates a bioinformatics bottleneck that typically demands weeks of computation with extensive hands-on expert involvement. SpeedSeq offers performance competitive with or superior to current methods for detecting germline and somatic single-nucleotide variants, structural variants, insertions and deletions, and it includes novel functionality for streamlined interpretation.", "author" : [ { "dropping-particle" : "", "family" : "Chiang", "given" : "Colby", "non-dropping-particle" : "", "parse-names" : false, "suffix" : "" }, { "dropping-particle" : "", "family" : "Layer", "given" : "Ryan M", "non-dropping-particle" : "", "parse-names" : false, "suffix" : "" }, { "dropping-particle" : "", "family" : "Faust", "given" : "Gregory G", "non-dropping-particle" : "", "parse-names" : false, "suffix" : "" }, { "dropping-particle" : "", "family" : "Lindberg", "given" : "Michael R", "non-dropping-particle" : "", "parse-names" : false, "suffix" : "" }, { "dropping-particle" : "", "family" : "Rose", "given" : "David B", "non-dropping-particle" : "", "parse-names" : false, "suffix" : "" }, { "dropping-particle" : "", "family" : "Garrison", "given" : "Erik P", "non-dropping-particle" : "", "parse-names" : false, "suffix" : "" }, { "dropping-particle" : "", "family" : "Marth", "given" : "Gabor T", "non-dropping-particle" : "", "parse-names" : false, "suffix" : "" }, { "dropping-particle" : "", "family" : "Quinlan", "given" : "Aaron R", "non-dropping-particle" : "", "parse-names" : false, "suffix" : "" }, { "dropping-particle" : "", "family" : "Hall", "given" : "Ira M", "non-dropping-particle" : "", "parse-names" : false, "suffix" : "" } ], "container-title" : "Nature Methods", "id" : "ITEM-1", "issue" : "10", "issued" : { "date-parts" : [ [ "2015" ] ] }, "page" : "966-968", "title" : "SpeedSeq: ultra-fast personal genome analysis and interpretation", "type" : "article-journal", "volume" : "12" }, "uris" : [ "http://www.mendeley.com/documents/?uuid=af405446-0535-4fc0-bd74-47afe2e40331" ] } ], "mendeley" : { "formattedCitation" : "(Chiang et al., 2015)", "plainTextFormattedCitation" : "(Chiang et al., 2015)", "previouslyFormattedCitation" : "(Chiang et al., 2015)" }, "properties" : { "noteIndex" : 0 }, "schema" : "https://github.com/citation-style-language/schema/raw/master/csl-citation.json" }</w:instrText>
      </w:r>
      <w:r w:rsidR="006E5B3D">
        <w:rPr>
          <w:lang w:val="en-US"/>
        </w:rPr>
        <w:fldChar w:fldCharType="separate"/>
      </w:r>
      <w:r w:rsidR="006E5B3D" w:rsidRPr="006E5B3D">
        <w:rPr>
          <w:noProof/>
          <w:lang w:val="en-US"/>
        </w:rPr>
        <w:t>(Chiang et al., 2015)</w:t>
      </w:r>
      <w:r w:rsidR="006E5B3D">
        <w:rPr>
          <w:lang w:val="en-US"/>
        </w:rPr>
        <w:fldChar w:fldCharType="end"/>
      </w:r>
      <w:r w:rsidR="001B59B3">
        <w:rPr>
          <w:lang w:val="en-US"/>
        </w:rPr>
        <w:t>.</w:t>
      </w:r>
      <w:r w:rsidR="006E5B3D">
        <w:rPr>
          <w:lang w:val="en-US"/>
        </w:rPr>
        <w:t xml:space="preserve"> </w:t>
      </w:r>
      <w:r w:rsidR="00FA35ED">
        <w:rPr>
          <w:lang w:val="en-US"/>
        </w:rPr>
        <w:t xml:space="preserve">To identify putative CNVs, we </w:t>
      </w:r>
      <w:r w:rsidR="00E8337C">
        <w:rPr>
          <w:lang w:val="en-US"/>
        </w:rPr>
        <w:t xml:space="preserve">first </w:t>
      </w:r>
      <w:r w:rsidR="00FA35ED">
        <w:rPr>
          <w:lang w:val="en-US"/>
        </w:rPr>
        <w:t xml:space="preserve">applied a modified version of a long-read CNV </w:t>
      </w:r>
      <w:r w:rsidR="00ED4F7D">
        <w:rPr>
          <w:lang w:val="en-US"/>
        </w:rPr>
        <w:t>script</w:t>
      </w:r>
      <w:r w:rsidR="00E8337C">
        <w:rPr>
          <w:lang w:val="en-US"/>
        </w:rPr>
        <w:t>s</w:t>
      </w:r>
      <w:r w:rsidR="00ED4F7D">
        <w:rPr>
          <w:lang w:val="en-US"/>
        </w:rPr>
        <w:t>, which was</w:t>
      </w:r>
      <w:r w:rsidR="00FA35ED">
        <w:rPr>
          <w:lang w:val="en-US"/>
        </w:rPr>
        <w:t xml:space="preserve"> </w:t>
      </w:r>
      <w:r w:rsidR="00ED4F7D">
        <w:rPr>
          <w:lang w:val="en-US"/>
        </w:rPr>
        <w:t>originally used</w:t>
      </w:r>
      <w:r w:rsidR="00FA35ED">
        <w:rPr>
          <w:lang w:val="en-US"/>
        </w:rPr>
        <w:t xml:space="preserve"> </w:t>
      </w:r>
      <w:r w:rsidR="00ED4F7D">
        <w:rPr>
          <w:lang w:val="en-US"/>
        </w:rPr>
        <w:t xml:space="preserve">to generate CNV calls </w:t>
      </w:r>
      <w:r w:rsidR="00BB0301">
        <w:rPr>
          <w:lang w:val="en-US"/>
        </w:rPr>
        <w:t>to use as a gold standard for testing the efficiency</w:t>
      </w:r>
      <w:r w:rsidR="00ED4F7D">
        <w:rPr>
          <w:lang w:val="en-US"/>
        </w:rPr>
        <w:t xml:space="preserve"> </w:t>
      </w:r>
      <w:r w:rsidR="00BB0301">
        <w:rPr>
          <w:lang w:val="en-US"/>
        </w:rPr>
        <w:t>of the short-read tool LUMPY</w:t>
      </w:r>
      <w:r w:rsidR="00DF6E7C">
        <w:rPr>
          <w:lang w:val="en-US"/>
        </w:rPr>
        <w:t xml:space="preserve"> </w:t>
      </w:r>
      <w:r w:rsidR="00BB0301">
        <w:rPr>
          <w:lang w:val="en-US"/>
        </w:rPr>
        <w:fldChar w:fldCharType="begin" w:fldLock="1"/>
      </w:r>
      <w:r w:rsidR="002557C1">
        <w:rPr>
          <w:lang w:val="en-US"/>
        </w:rPr>
        <w:instrText>ADDIN CSL_CITATION { "citationItems" : [ { "id" : "ITEM-1", "itemData" : { "DOI" : "10.1186/gb-2014-15-6-r84", "ISBN" : "1474-760X (Electronic)\\r1474-7596 (Linking)", "ISSN" : "1465-6914", "PMID" : "24970577", "abstract" : "Comprehensive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 "author" : [ { "dropping-particle" : "", "family" : "Layer", "given" : "Ryan M", "non-dropping-particle" : "", "parse-names" : false, "suffix" : "" }, { "dropping-particle" : "", "family" : "Chiang", "given" : "Colby", "non-dropping-particle" : "", "parse-names" : false, "suffix" : "" }, { "dropping-particle" : "", "family" : "Quinlan", "given" : "Aaron R", "non-dropping-particle" : "", "parse-names" : false, "suffix" : "" }, { "dropping-particle" : "", "family" : "Hall", "given" : "Ira M", "non-dropping-particle" : "", "parse-names" : false, "suffix" : "" } ], "container-title" : "Genome Biology", "id" : "ITEM-1", "issue" : "6", "issued" : { "date-parts" : [ [ "2014" ] ] }, "page" : "R84", "title" : "LUMPY: a probabilistic framework for structural variant discovery", "type" : "article-journal", "volume" : "15" }, "uris" : [ "http://www.mendeley.com/documents/?uuid=2c3328e2-e475-4dbe-934e-f9bb7b5233f5" ] } ], "mendeley" : { "formattedCitation" : "(Layer, Chiang, Quinlan, &amp; Hall, 2014)", "plainTextFormattedCitation" : "(Layer, Chiang, Quinlan, &amp; Hall, 2014)", "previouslyFormattedCitation" : "(Layer, Chiang, Quinlan, &amp; Hall, 2014)" }, "properties" : { "noteIndex" : 0 }, "schema" : "https://github.com/citation-style-language/schema/raw/master/csl-citation.json" }</w:instrText>
      </w:r>
      <w:r w:rsidR="00BB0301">
        <w:rPr>
          <w:lang w:val="en-US"/>
        </w:rPr>
        <w:fldChar w:fldCharType="separate"/>
      </w:r>
      <w:r w:rsidR="00BB0301" w:rsidRPr="00BB0301">
        <w:rPr>
          <w:noProof/>
          <w:lang w:val="en-US"/>
        </w:rPr>
        <w:t>(Layer, Chiang, Quinlan, &amp; Hall, 2014)</w:t>
      </w:r>
      <w:r w:rsidR="00BB0301">
        <w:rPr>
          <w:lang w:val="en-US"/>
        </w:rPr>
        <w:fldChar w:fldCharType="end"/>
      </w:r>
      <w:r w:rsidR="00BB0301">
        <w:rPr>
          <w:lang w:val="en-US"/>
        </w:rPr>
        <w:t>.</w:t>
      </w:r>
      <w:r w:rsidR="00ED4F7D">
        <w:rPr>
          <w:lang w:val="en-US"/>
        </w:rPr>
        <w:t xml:space="preserve"> </w:t>
      </w:r>
      <w:r w:rsidR="00AA23D3">
        <w:rPr>
          <w:lang w:val="en-US"/>
        </w:rPr>
        <w:t xml:space="preserve">Briefly, these scripts parse the CIGAR string from scaffolds </w:t>
      </w:r>
      <w:r w:rsidR="00EE4BD9">
        <w:rPr>
          <w:lang w:val="en-US"/>
        </w:rPr>
        <w:t>that aligned had multiple split alignments</w:t>
      </w:r>
      <w:r w:rsidR="00AA23D3">
        <w:rPr>
          <w:lang w:val="en-US"/>
        </w:rPr>
        <w:t xml:space="preserve"> </w:t>
      </w:r>
      <w:r w:rsidR="00EE4BD9">
        <w:rPr>
          <w:lang w:val="en-US"/>
        </w:rPr>
        <w:t>to the reference genome</w:t>
      </w:r>
      <w:r w:rsidR="00AA23D3">
        <w:rPr>
          <w:lang w:val="en-US"/>
        </w:rPr>
        <w:t>.</w:t>
      </w:r>
      <w:r w:rsidR="006B165A">
        <w:rPr>
          <w:lang w:val="en-US"/>
        </w:rPr>
        <w:t xml:space="preserve"> </w:t>
      </w:r>
      <w:r w:rsidR="00E3727D">
        <w:rPr>
          <w:lang w:val="en-US"/>
        </w:rPr>
        <w:t>For each CNV, w</w:t>
      </w:r>
      <w:r w:rsidR="006B165A">
        <w:rPr>
          <w:lang w:val="en-US"/>
        </w:rPr>
        <w:t>e calculated the number of bases that were accounted for</w:t>
      </w:r>
      <w:r w:rsidR="00E3727D">
        <w:rPr>
          <w:lang w:val="en-US"/>
        </w:rPr>
        <w:t xml:space="preserve"> in the alignment. Any CNV with &lt; -50 or &gt; 50 unaccounted for bases were considered</w:t>
      </w:r>
      <w:r w:rsidR="00EE4BD9">
        <w:rPr>
          <w:lang w:val="en-US"/>
        </w:rPr>
        <w:t xml:space="preserve"> complex. </w:t>
      </w:r>
      <w:r w:rsidR="003F4FE1">
        <w:rPr>
          <w:lang w:val="en-US"/>
        </w:rPr>
        <w:t>We removed any duplications where the predicted size in the refere</w:t>
      </w:r>
      <w:r w:rsidR="00E3727D">
        <w:rPr>
          <w:lang w:val="en-US"/>
        </w:rPr>
        <w:t>nce sequence was &gt; -25 and &lt; 25, which indicates</w:t>
      </w:r>
      <w:r w:rsidR="003F4FE1">
        <w:rPr>
          <w:lang w:val="en-US"/>
        </w:rPr>
        <w:t xml:space="preserve"> </w:t>
      </w:r>
      <w:r w:rsidR="00E3727D">
        <w:rPr>
          <w:lang w:val="en-US"/>
        </w:rPr>
        <w:t xml:space="preserve">that the CNV was likely an artifact of the alignment process. </w:t>
      </w:r>
      <w:r w:rsidR="00B23F02">
        <w:rPr>
          <w:lang w:val="en-US"/>
        </w:rPr>
        <w:t xml:space="preserve">This process results in a list of </w:t>
      </w:r>
      <w:r w:rsidR="00A44F8B">
        <w:rPr>
          <w:lang w:val="en-US"/>
        </w:rPr>
        <w:t>base-pair resolved</w:t>
      </w:r>
      <w:r w:rsidR="00B23F02">
        <w:rPr>
          <w:lang w:val="en-US"/>
        </w:rPr>
        <w:t xml:space="preserve"> breakpoints</w:t>
      </w:r>
      <w:r w:rsidR="00A44F8B">
        <w:rPr>
          <w:lang w:val="en-US"/>
        </w:rPr>
        <w:t xml:space="preserve"> for both dupl</w:t>
      </w:r>
      <w:r w:rsidR="00CC55F6">
        <w:rPr>
          <w:lang w:val="en-US"/>
        </w:rPr>
        <w:t xml:space="preserve">ication, deletions, inversions, </w:t>
      </w:r>
      <w:r w:rsidR="00A44F8B">
        <w:rPr>
          <w:lang w:val="en-US"/>
        </w:rPr>
        <w:t>translocations</w:t>
      </w:r>
      <w:r w:rsidR="00CC55F6">
        <w:rPr>
          <w:lang w:val="en-US"/>
        </w:rPr>
        <w:t xml:space="preserve">. </w:t>
      </w:r>
      <w:r w:rsidR="00906837">
        <w:rPr>
          <w:lang w:val="en-US"/>
        </w:rPr>
        <w:t>This script also</w:t>
      </w:r>
      <w:r w:rsidR="00CC55F6">
        <w:rPr>
          <w:lang w:val="en-US"/>
        </w:rPr>
        <w:t xml:space="preserve"> identified</w:t>
      </w:r>
      <w:r w:rsidR="00A24FA3">
        <w:rPr>
          <w:lang w:val="en-US"/>
        </w:rPr>
        <w:t xml:space="preserve"> moderately sized</w:t>
      </w:r>
      <w:r w:rsidR="00CC55F6">
        <w:rPr>
          <w:lang w:val="en-US"/>
        </w:rPr>
        <w:t xml:space="preserve"> </w:t>
      </w:r>
      <w:r w:rsidR="00906837">
        <w:rPr>
          <w:lang w:val="en-US"/>
        </w:rPr>
        <w:t>deleted</w:t>
      </w:r>
      <w:r w:rsidR="00CC55F6">
        <w:rPr>
          <w:lang w:val="en-US"/>
        </w:rPr>
        <w:t xml:space="preserve"> </w:t>
      </w:r>
      <w:r w:rsidR="00A24FA3">
        <w:rPr>
          <w:lang w:val="en-US"/>
        </w:rPr>
        <w:t xml:space="preserve">(&gt;500bp) </w:t>
      </w:r>
      <w:r w:rsidR="00CC55F6">
        <w:rPr>
          <w:lang w:val="en-US"/>
        </w:rPr>
        <w:t>sections at the beginning of</w:t>
      </w:r>
      <w:r w:rsidR="00906837">
        <w:rPr>
          <w:lang w:val="en-US"/>
        </w:rPr>
        <w:t xml:space="preserve"> the 3’ telomere, and the end of the 5’ telomere. For each</w:t>
      </w:r>
      <w:r w:rsidR="001A0091">
        <w:rPr>
          <w:lang w:val="en-US"/>
        </w:rPr>
        <w:t xml:space="preserve"> </w:t>
      </w:r>
      <w:r w:rsidR="00AA23D3">
        <w:rPr>
          <w:lang w:val="en-US"/>
        </w:rPr>
        <w:t xml:space="preserve">of these </w:t>
      </w:r>
      <w:r w:rsidR="00906837">
        <w:rPr>
          <w:lang w:val="en-US"/>
        </w:rPr>
        <w:t>CNV, we extracted</w:t>
      </w:r>
      <w:r w:rsidR="001A0091">
        <w:rPr>
          <w:lang w:val="en-US"/>
        </w:rPr>
        <w:t xml:space="preserve"> </w:t>
      </w:r>
      <w:r w:rsidR="007E6739">
        <w:rPr>
          <w:lang w:val="en-US"/>
        </w:rPr>
        <w:t xml:space="preserve">+- </w:t>
      </w:r>
      <w:r w:rsidR="001A0091">
        <w:rPr>
          <w:lang w:val="en-US"/>
        </w:rPr>
        <w:t xml:space="preserve">300 base-pairs of sequence </w:t>
      </w:r>
      <w:r w:rsidR="007E6739">
        <w:rPr>
          <w:lang w:val="en-US"/>
        </w:rPr>
        <w:t>surrounding the left</w:t>
      </w:r>
      <w:r w:rsidR="001A0091">
        <w:rPr>
          <w:lang w:val="en-US"/>
        </w:rPr>
        <w:t xml:space="preserve"> and right breakpoints.</w:t>
      </w:r>
      <w:r w:rsidR="007E6739">
        <w:rPr>
          <w:lang w:val="en-US"/>
        </w:rPr>
        <w:t xml:space="preserve"> In addition, we extracted the </w:t>
      </w:r>
      <w:r w:rsidR="006B165A">
        <w:rPr>
          <w:lang w:val="en-US"/>
        </w:rPr>
        <w:t>sequence of each</w:t>
      </w:r>
      <w:r w:rsidR="007E6739">
        <w:rPr>
          <w:lang w:val="en-US"/>
        </w:rPr>
        <w:t xml:space="preserve"> CNV event, for deletions, we extracted </w:t>
      </w:r>
      <w:r w:rsidR="00645EAD">
        <w:rPr>
          <w:lang w:val="en-US"/>
        </w:rPr>
        <w:t>the</w:t>
      </w:r>
      <w:r w:rsidR="007E6739">
        <w:rPr>
          <w:lang w:val="en-US"/>
        </w:rPr>
        <w:t xml:space="preserve"> sequence from the reference; and for duplications, we extracted </w:t>
      </w:r>
      <w:r w:rsidR="00645EAD">
        <w:rPr>
          <w:lang w:val="en-US"/>
        </w:rPr>
        <w:t>the</w:t>
      </w:r>
      <w:r w:rsidR="007E6739">
        <w:rPr>
          <w:lang w:val="en-US"/>
        </w:rPr>
        <w:t xml:space="preserve"> sequence from the moleculo assembly.</w:t>
      </w:r>
    </w:p>
    <w:p w14:paraId="24E89590" w14:textId="77777777" w:rsidR="00CC55F6" w:rsidRDefault="00CC55F6">
      <w:pPr>
        <w:rPr>
          <w:lang w:val="en-US"/>
        </w:rPr>
      </w:pPr>
    </w:p>
    <w:p w14:paraId="68D25E89" w14:textId="2F38698D" w:rsidR="00CC55F6" w:rsidRPr="00CC55F6" w:rsidRDefault="00CC55F6">
      <w:pPr>
        <w:rPr>
          <w:b/>
          <w:lang w:val="en-US"/>
        </w:rPr>
      </w:pPr>
      <w:r w:rsidRPr="00CC55F6">
        <w:rPr>
          <w:b/>
          <w:lang w:val="en-US"/>
        </w:rPr>
        <w:t>Validation of CNVs</w:t>
      </w:r>
      <w:r w:rsidR="00AC0764">
        <w:rPr>
          <w:b/>
          <w:lang w:val="en-US"/>
        </w:rPr>
        <w:t xml:space="preserve"> using short-read Illumina data</w:t>
      </w:r>
      <w:r w:rsidR="00A46CB0">
        <w:rPr>
          <w:b/>
          <w:lang w:val="en-US"/>
        </w:rPr>
        <w:t>.</w:t>
      </w:r>
    </w:p>
    <w:p w14:paraId="09BE6917" w14:textId="77777777" w:rsidR="00CC55F6" w:rsidRDefault="00CC55F6">
      <w:pPr>
        <w:rPr>
          <w:lang w:val="en-US"/>
        </w:rPr>
      </w:pPr>
    </w:p>
    <w:p w14:paraId="7756622A" w14:textId="11FF3B9D" w:rsidR="002557C1" w:rsidRDefault="004057FB">
      <w:pPr>
        <w:rPr>
          <w:lang w:val="en-US"/>
        </w:rPr>
      </w:pPr>
      <w:r>
        <w:rPr>
          <w:lang w:val="en-US"/>
        </w:rPr>
        <w:t>The</w:t>
      </w:r>
      <w:r w:rsidR="00AC0764">
        <w:rPr>
          <w:lang w:val="en-US"/>
        </w:rPr>
        <w:t xml:space="preserve"> short-read Illumina data</w:t>
      </w:r>
      <w:r>
        <w:rPr>
          <w:lang w:val="en-US"/>
        </w:rPr>
        <w:t>sets</w:t>
      </w:r>
      <w:r w:rsidR="00AC0764">
        <w:rPr>
          <w:lang w:val="en-US"/>
        </w:rPr>
        <w:t xml:space="preserve"> </w:t>
      </w:r>
      <w:r>
        <w:rPr>
          <w:lang w:val="en-US"/>
        </w:rPr>
        <w:t>were</w:t>
      </w:r>
      <w:r w:rsidR="00AC0764">
        <w:rPr>
          <w:lang w:val="en-US"/>
        </w:rPr>
        <w:t xml:space="preserve"> aligned to the S288c reference genome with the </w:t>
      </w:r>
      <w:r w:rsidR="00EE4BD9">
        <w:rPr>
          <w:lang w:val="en-US"/>
        </w:rPr>
        <w:t xml:space="preserve">SpeedSeq align command. These BAM files </w:t>
      </w:r>
      <w:r w:rsidR="00C75318">
        <w:rPr>
          <w:lang w:val="en-US"/>
        </w:rPr>
        <w:t xml:space="preserve">were filtered to remove any read with a low alignment quality (MAPQ &lt; 20). For </w:t>
      </w:r>
      <w:r w:rsidR="00190689">
        <w:rPr>
          <w:lang w:val="en-US"/>
        </w:rPr>
        <w:t xml:space="preserve">each </w:t>
      </w:r>
      <w:r w:rsidR="00C75318">
        <w:rPr>
          <w:lang w:val="en-US"/>
        </w:rPr>
        <w:t xml:space="preserve">putative CNV, we extracted </w:t>
      </w:r>
      <w:r w:rsidR="00190689">
        <w:rPr>
          <w:lang w:val="en-US"/>
        </w:rPr>
        <w:t>all the</w:t>
      </w:r>
      <w:r w:rsidR="00C75318">
        <w:rPr>
          <w:lang w:val="en-US"/>
        </w:rPr>
        <w:t xml:space="preserve"> reads</w:t>
      </w:r>
      <w:r w:rsidR="007E339E">
        <w:rPr>
          <w:lang w:val="en-US"/>
        </w:rPr>
        <w:t xml:space="preserve"> that </w:t>
      </w:r>
      <w:r w:rsidR="00190689">
        <w:rPr>
          <w:lang w:val="en-US"/>
        </w:rPr>
        <w:t xml:space="preserve">aligned </w:t>
      </w:r>
      <w:r w:rsidR="006A36E6">
        <w:rPr>
          <w:lang w:val="en-US"/>
        </w:rPr>
        <w:t>+- 3</w:t>
      </w:r>
      <w:bookmarkStart w:id="0" w:name="_GoBack"/>
      <w:bookmarkEnd w:id="0"/>
      <w:r w:rsidR="00190689">
        <w:rPr>
          <w:lang w:val="en-US"/>
        </w:rPr>
        <w:t>00 b</w:t>
      </w:r>
      <w:r w:rsidR="00640CE6">
        <w:rPr>
          <w:lang w:val="en-US"/>
        </w:rPr>
        <w:t>ase-</w:t>
      </w:r>
      <w:r w:rsidR="00190689">
        <w:rPr>
          <w:lang w:val="en-US"/>
        </w:rPr>
        <w:t>p</w:t>
      </w:r>
      <w:r w:rsidR="00640CE6">
        <w:rPr>
          <w:lang w:val="en-US"/>
        </w:rPr>
        <w:t>airs</w:t>
      </w:r>
      <w:r w:rsidR="00190689">
        <w:rPr>
          <w:lang w:val="en-US"/>
        </w:rPr>
        <w:t xml:space="preserve"> from either breakpoint. We identified any reads that should support the CNV </w:t>
      </w:r>
      <w:r w:rsidR="003427D7">
        <w:rPr>
          <w:lang w:val="en-US"/>
        </w:rPr>
        <w:t xml:space="preserve">call, meaning it is expected to have </w:t>
      </w:r>
      <w:r w:rsidR="00190689">
        <w:rPr>
          <w:lang w:val="en-US"/>
        </w:rPr>
        <w:t>a split alignment at the breakpoint. For reads with split alignments within 10 bases of the breakpoint, we extracted the raw read</w:t>
      </w:r>
      <w:r w:rsidR="00A85B3C">
        <w:rPr>
          <w:lang w:val="en-US"/>
        </w:rPr>
        <w:t>s</w:t>
      </w:r>
      <w:r w:rsidR="00190689">
        <w:rPr>
          <w:lang w:val="en-US"/>
        </w:rPr>
        <w:t xml:space="preserve"> from the FASTQ and aligned it to the breakpoint FASTA using</w:t>
      </w:r>
      <w:r w:rsidR="00A85B3C">
        <w:rPr>
          <w:lang w:val="en-US"/>
        </w:rPr>
        <w:t xml:space="preserve"> the</w:t>
      </w:r>
      <w:r w:rsidR="00190689">
        <w:rPr>
          <w:lang w:val="en-US"/>
        </w:rPr>
        <w:t xml:space="preserve"> smith-waterman</w:t>
      </w:r>
      <w:r w:rsidR="00A85B3C">
        <w:rPr>
          <w:lang w:val="en-US"/>
        </w:rPr>
        <w:t xml:space="preserve"> algorithm</w:t>
      </w:r>
      <w:r w:rsidR="00190689">
        <w:rPr>
          <w:lang w:val="en-US"/>
        </w:rPr>
        <w:t xml:space="preserve">. Any alignment with an identity of less than 90% was considered to not support the call. To calculate the quality of each CNV, we </w:t>
      </w:r>
      <w:r w:rsidR="00FB2B36">
        <w:rPr>
          <w:lang w:val="en-US"/>
        </w:rPr>
        <w:t xml:space="preserve">modified the genotyping approach used in </w:t>
      </w:r>
      <w:r w:rsidR="00FB2B36">
        <w:rPr>
          <w:lang w:val="en-US"/>
        </w:rPr>
        <w:lastRenderedPageBreak/>
        <w:t>SVTyper</w:t>
      </w:r>
      <w:r w:rsidR="007A4D5A">
        <w:rPr>
          <w:lang w:val="en-US"/>
        </w:rPr>
        <w:t xml:space="preserve"> </w:t>
      </w:r>
      <w:r w:rsidR="007A4D5A">
        <w:rPr>
          <w:lang w:val="en-US"/>
        </w:rPr>
        <w:fldChar w:fldCharType="begin" w:fldLock="1"/>
      </w:r>
      <w:r w:rsidR="007A4D5A">
        <w:rPr>
          <w:lang w:val="en-US"/>
        </w:rPr>
        <w:instrText>ADDIN CSL_CITATION { "citationItems" : [ { "id" : "ITEM-1", "itemData" : { "DOI" : "10.1038/nmeth.3505", "ISBN" : "1548-7105", "ISSN" : "1548-7091", "PMID" : "26258291", "abstract" : "SpeedSeq is an open-source genome analysis platform that accomplishes alignment, variant detection and functional annotation of a 50\u00d7 human genome in 13 h on a low-cost server and alleviates a bioinformatics bottleneck that typically demands weeks of computation with extensive hands-on expert involvement. SpeedSeq offers performance competitive with or superior to current methods for detecting germline and somatic single-nucleotide variants, structural variants, insertions and deletions, and it includes novel functionality for streamlined interpretation.", "author" : [ { "dropping-particle" : "", "family" : "Chiang", "given" : "Colby", "non-dropping-particle" : "", "parse-names" : false, "suffix" : "" }, { "dropping-particle" : "", "family" : "Layer", "given" : "Ryan M", "non-dropping-particle" : "", "parse-names" : false, "suffix" : "" }, { "dropping-particle" : "", "family" : "Faust", "given" : "Gregory G", "non-dropping-particle" : "", "parse-names" : false, "suffix" : "" }, { "dropping-particle" : "", "family" : "Lindberg", "given" : "Michael R", "non-dropping-particle" : "", "parse-names" : false, "suffix" : "" }, { "dropping-particle" : "", "family" : "Rose", "given" : "David B", "non-dropping-particle" : "", "parse-names" : false, "suffix" : "" }, { "dropping-particle" : "", "family" : "Garrison", "given" : "Erik P", "non-dropping-particle" : "", "parse-names" : false, "suffix" : "" }, { "dropping-particle" : "", "family" : "Marth", "given" : "Gabor T", "non-dropping-particle" : "", "parse-names" : false, "suffix" : "" }, { "dropping-particle" : "", "family" : "Quinlan", "given" : "Aaron R", "non-dropping-particle" : "", "parse-names" : false, "suffix" : "" }, { "dropping-particle" : "", "family" : "Hall", "given" : "Ira M", "non-dropping-particle" : "", "parse-names" : false, "suffix" : "" } ], "container-title" : "Nature Methods", "id" : "ITEM-1", "issue" : "10", "issued" : { "date-parts" : [ [ "2015" ] ] }, "page" : "966-968", "title" : "SpeedSeq: ultra-fast personal genome analysis and interpretation", "type" : "article-journal", "volume" : "12" }, "uris" : [ "http://www.mendeley.com/documents/?uuid=af405446-0535-4fc0-bd74-47afe2e40331" ] } ], "mendeley" : { "formattedCitation" : "(Chiang et al., 2015)", "plainTextFormattedCitation" : "(Chiang et al., 2015)" }, "properties" : { "noteIndex" : 0 }, "schema" : "https://github.com/citation-style-language/schema/raw/master/csl-citation.json" }</w:instrText>
      </w:r>
      <w:r w:rsidR="007A4D5A">
        <w:rPr>
          <w:lang w:val="en-US"/>
        </w:rPr>
        <w:fldChar w:fldCharType="separate"/>
      </w:r>
      <w:r w:rsidR="007A4D5A" w:rsidRPr="007A4D5A">
        <w:rPr>
          <w:noProof/>
          <w:lang w:val="en-US"/>
        </w:rPr>
        <w:t>(Chiang et al., 2015)</w:t>
      </w:r>
      <w:r w:rsidR="007A4D5A">
        <w:rPr>
          <w:lang w:val="en-US"/>
        </w:rPr>
        <w:fldChar w:fldCharType="end"/>
      </w:r>
      <w:r w:rsidR="00FB2B36">
        <w:rPr>
          <w:lang w:val="en-US"/>
        </w:rPr>
        <w:t>. Briefly,</w:t>
      </w:r>
      <w:r w:rsidR="00190689">
        <w:rPr>
          <w:lang w:val="en-US"/>
        </w:rPr>
        <w:t xml:space="preserve"> </w:t>
      </w:r>
      <w:r w:rsidR="00FB2B36">
        <w:rPr>
          <w:lang w:val="en-US"/>
        </w:rPr>
        <w:t xml:space="preserve">the model </w:t>
      </w:r>
      <w:r w:rsidR="007A4D5A">
        <w:rPr>
          <w:lang w:val="en-US"/>
        </w:rPr>
        <w:t>assumes that given the genotype the conditional distribution of supporting and non-supporting reads is binomially distributed</w:t>
      </w:r>
      <w:r w:rsidR="00F7394B">
        <w:rPr>
          <w:lang w:val="en-US"/>
        </w:rPr>
        <w:t xml:space="preserve"> (Equation 1)</w:t>
      </w:r>
      <w:r w:rsidR="007A4D5A">
        <w:rPr>
          <w:lang w:val="en-US"/>
        </w:rPr>
        <w:t>.</w:t>
      </w:r>
      <w:r w:rsidR="00190689">
        <w:rPr>
          <w:lang w:val="en-US"/>
        </w:rPr>
        <w:t xml:space="preserve"> </w:t>
      </w:r>
      <w:r w:rsidR="007A4D5A">
        <w:rPr>
          <w:lang w:val="en-US"/>
        </w:rPr>
        <w:t>For</w:t>
      </w:r>
      <w:r w:rsidR="003D5991">
        <w:rPr>
          <w:lang w:val="en-US"/>
        </w:rPr>
        <w:t xml:space="preserve"> the</w:t>
      </w:r>
      <w:r w:rsidR="007A4D5A">
        <w:rPr>
          <w:lang w:val="en-US"/>
        </w:rPr>
        <w:t xml:space="preserve"> non-destructive events, such as duplications</w:t>
      </w:r>
      <w:r w:rsidR="003D5991">
        <w:rPr>
          <w:lang w:val="en-US"/>
        </w:rPr>
        <w:t xml:space="preserve"> and inversions</w:t>
      </w:r>
      <w:r w:rsidR="007A4D5A">
        <w:rPr>
          <w:lang w:val="en-US"/>
        </w:rPr>
        <w:t>, the prior</w:t>
      </w:r>
      <w:r w:rsidR="008E3065">
        <w:rPr>
          <w:lang w:val="en-US"/>
        </w:rPr>
        <w:t>s</w:t>
      </w:r>
      <w:r w:rsidR="007A4D5A">
        <w:rPr>
          <w:lang w:val="en-US"/>
        </w:rPr>
        <w:t xml:space="preserve"> </w:t>
      </w:r>
      <w:r w:rsidR="008E3065">
        <w:rPr>
          <w:lang w:val="en-US"/>
        </w:rPr>
        <w:t>were</w:t>
      </w:r>
      <w:r w:rsidR="007A4D5A">
        <w:rPr>
          <w:lang w:val="en-US"/>
        </w:rPr>
        <w:t xml:space="preserve"> set </w:t>
      </w:r>
      <w:r w:rsidR="007205C7">
        <w:rPr>
          <w:lang w:val="en-US"/>
        </w:rPr>
        <w:t xml:space="preserve">to be 0.1 for the </w:t>
      </w:r>
      <w:r w:rsidR="007A4D5A">
        <w:rPr>
          <w:lang w:val="en-US"/>
        </w:rPr>
        <w:t>reference</w:t>
      </w:r>
      <w:r w:rsidR="007205C7">
        <w:rPr>
          <w:lang w:val="en-US"/>
        </w:rPr>
        <w:t xml:space="preserve"> allele</w:t>
      </w:r>
      <w:r w:rsidR="007A4D5A">
        <w:rPr>
          <w:lang w:val="en-US"/>
        </w:rPr>
        <w:t xml:space="preserve"> and 0.5 for the </w:t>
      </w:r>
      <w:r w:rsidR="008E3065">
        <w:rPr>
          <w:lang w:val="en-US"/>
        </w:rPr>
        <w:t>alternate</w:t>
      </w:r>
      <w:r w:rsidR="007A4D5A">
        <w:rPr>
          <w:lang w:val="en-US"/>
        </w:rPr>
        <w:t xml:space="preserve"> </w:t>
      </w:r>
      <w:r w:rsidR="007205C7">
        <w:rPr>
          <w:lang w:val="en-US"/>
        </w:rPr>
        <w:t>allele</w:t>
      </w:r>
      <w:r w:rsidR="007A4D5A">
        <w:rPr>
          <w:lang w:val="en-US"/>
        </w:rPr>
        <w:t xml:space="preserve">. For </w:t>
      </w:r>
      <w:r w:rsidR="007205C7">
        <w:rPr>
          <w:lang w:val="en-US"/>
        </w:rPr>
        <w:t>disruptive</w:t>
      </w:r>
      <w:r w:rsidR="007A4D5A">
        <w:rPr>
          <w:lang w:val="en-US"/>
        </w:rPr>
        <w:t xml:space="preserve"> events, such as deletions, t</w:t>
      </w:r>
      <w:r w:rsidR="007205C7">
        <w:rPr>
          <w:lang w:val="en-US"/>
        </w:rPr>
        <w:t>he priors were</w:t>
      </w:r>
      <w:r w:rsidR="007A4D5A">
        <w:rPr>
          <w:lang w:val="en-US"/>
        </w:rPr>
        <w:t xml:space="preserve"> set </w:t>
      </w:r>
      <w:r w:rsidR="007205C7">
        <w:rPr>
          <w:lang w:val="en-US"/>
        </w:rPr>
        <w:t>to</w:t>
      </w:r>
      <w:r w:rsidR="007A4D5A">
        <w:rPr>
          <w:lang w:val="en-US"/>
        </w:rPr>
        <w:t xml:space="preserve"> be </w:t>
      </w:r>
      <w:r w:rsidR="007205C7">
        <w:rPr>
          <w:lang w:val="en-US"/>
        </w:rPr>
        <w:t>0.1 and 0.9.</w:t>
      </w:r>
      <w:r w:rsidR="00640CE6">
        <w:rPr>
          <w:lang w:val="en-US"/>
        </w:rPr>
        <w:t xml:space="preserve"> Bayes rule </w:t>
      </w:r>
      <w:r w:rsidR="005B08F7">
        <w:rPr>
          <w:lang w:val="en-US"/>
        </w:rPr>
        <w:t>was</w:t>
      </w:r>
      <w:r w:rsidR="00640CE6">
        <w:rPr>
          <w:lang w:val="en-US"/>
        </w:rPr>
        <w:t xml:space="preserve"> used to calculate the posterior probability </w:t>
      </w:r>
      <w:r w:rsidR="005B08F7">
        <w:rPr>
          <w:lang w:val="en-US"/>
        </w:rPr>
        <w:t>of each genotype given the suppor</w:t>
      </w:r>
      <w:r w:rsidR="009B5A0C">
        <w:rPr>
          <w:lang w:val="en-US"/>
        </w:rPr>
        <w:t xml:space="preserve">ting and non-supporting counts. These posterior probabilities were </w:t>
      </w:r>
      <w:r w:rsidR="008D34C4">
        <w:rPr>
          <w:lang w:val="en-US"/>
        </w:rPr>
        <w:t>used to derive the quality score, which was the –</w:t>
      </w:r>
      <w:r w:rsidR="00745371">
        <w:rPr>
          <w:lang w:val="en-US"/>
        </w:rPr>
        <w:t xml:space="preserve">10 </w:t>
      </w:r>
      <w:r w:rsidR="008D34C4">
        <w:rPr>
          <w:lang w:val="en-US"/>
        </w:rPr>
        <w:t xml:space="preserve">log10 probability of </w:t>
      </w:r>
      <w:r w:rsidR="003D5991">
        <w:rPr>
          <w:lang w:val="en-US"/>
        </w:rPr>
        <w:t>observing an</w:t>
      </w:r>
      <w:r w:rsidR="008D34C4">
        <w:rPr>
          <w:lang w:val="en-US"/>
        </w:rPr>
        <w:t xml:space="preserve"> incorrect genotype call</w:t>
      </w:r>
      <w:r w:rsidR="003D5991">
        <w:rPr>
          <w:lang w:val="en-US"/>
        </w:rPr>
        <w:t xml:space="preserve"> given the supporting and non-supporting counts</w:t>
      </w:r>
      <w:r w:rsidR="008D34C4">
        <w:rPr>
          <w:lang w:val="en-US"/>
        </w:rPr>
        <w:t xml:space="preserve">. CNVs with a quality score of less than </w:t>
      </w:r>
      <w:r w:rsidR="00C519A0">
        <w:rPr>
          <w:lang w:val="en-US"/>
        </w:rPr>
        <w:t>50</w:t>
      </w:r>
      <w:r w:rsidR="008D34C4">
        <w:rPr>
          <w:lang w:val="en-US"/>
        </w:rPr>
        <w:t xml:space="preserve"> were removed. We merged the CNVs from each strain by treating each CNV as unique and genotyping the CNV in all </w:t>
      </w:r>
      <w:r w:rsidR="003D5991">
        <w:rPr>
          <w:lang w:val="en-US"/>
        </w:rPr>
        <w:t>strains with the model</w:t>
      </w:r>
      <w:r w:rsidR="008E3065">
        <w:rPr>
          <w:lang w:val="en-US"/>
        </w:rPr>
        <w:t xml:space="preserve"> described above</w:t>
      </w:r>
      <w:r w:rsidR="003D5991">
        <w:rPr>
          <w:lang w:val="en-US"/>
        </w:rPr>
        <w:t>.</w:t>
      </w:r>
    </w:p>
    <w:p w14:paraId="42471FA3" w14:textId="0839322F" w:rsidR="00F7394B" w:rsidRDefault="00F7394B">
      <w:pPr>
        <w:rPr>
          <w:lang w:val="en-US"/>
        </w:rPr>
      </w:pPr>
      <w:r>
        <w:rPr>
          <w:noProof/>
          <w:lang w:eastAsia="en-GB"/>
        </w:rPr>
        <mc:AlternateContent>
          <mc:Choice Requires="wps">
            <w:drawing>
              <wp:anchor distT="0" distB="0" distL="114300" distR="114300" simplePos="0" relativeHeight="251660288" behindDoc="0" locked="0" layoutInCell="1" allowOverlap="1" wp14:anchorId="3478C479" wp14:editId="14801559">
                <wp:simplePos x="0" y="0"/>
                <wp:positionH relativeFrom="column">
                  <wp:posOffset>619760</wp:posOffset>
                </wp:positionH>
                <wp:positionV relativeFrom="paragraph">
                  <wp:posOffset>69215</wp:posOffset>
                </wp:positionV>
                <wp:extent cx="4427220" cy="231140"/>
                <wp:effectExtent l="0" t="0" r="0" b="0"/>
                <wp:wrapThrough wrapText="bothSides">
                  <wp:wrapPolygon edited="0">
                    <wp:start x="0" y="0"/>
                    <wp:lineTo x="0" y="18989"/>
                    <wp:lineTo x="21439" y="18989"/>
                    <wp:lineTo x="2143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427220" cy="231140"/>
                        </a:xfrm>
                        <a:prstGeom prst="rect">
                          <a:avLst/>
                        </a:prstGeom>
                        <a:solidFill>
                          <a:prstClr val="white"/>
                        </a:solidFill>
                        <a:ln>
                          <a:noFill/>
                        </a:ln>
                        <a:effectLst/>
                      </wps:spPr>
                      <wps:txbx>
                        <w:txbxContent>
                          <w:p w14:paraId="09E562A2" w14:textId="653550BA" w:rsidR="00F7394B" w:rsidRPr="00F7394B" w:rsidRDefault="00F7394B" w:rsidP="00F7394B">
                            <w:pPr>
                              <w:pStyle w:val="Caption"/>
                              <w:rPr>
                                <w:rFonts w:ascii="Times New Roman" w:hAnsi="Times New Roman" w:cs="Times New Roman"/>
                                <w:sz w:val="24"/>
                                <w:szCs w:val="24"/>
                                <w:lang w:val="en-US"/>
                              </w:rPr>
                            </w:pPr>
                            <w:r w:rsidRPr="00F7394B">
                              <w:rPr>
                                <w:rFonts w:ascii="Times New Roman" w:hAnsi="Times New Roman" w:cs="Times New Roman"/>
                                <w:sz w:val="24"/>
                                <w:szCs w:val="24"/>
                              </w:rPr>
                              <w:t xml:space="preserve">Equation </w:t>
                            </w:r>
                            <w:r w:rsidRPr="00F7394B">
                              <w:rPr>
                                <w:rFonts w:ascii="Times New Roman" w:hAnsi="Times New Roman" w:cs="Times New Roman"/>
                                <w:sz w:val="24"/>
                                <w:szCs w:val="24"/>
                              </w:rPr>
                              <w:fldChar w:fldCharType="begin"/>
                            </w:r>
                            <w:r w:rsidRPr="00F7394B">
                              <w:rPr>
                                <w:rFonts w:ascii="Times New Roman" w:hAnsi="Times New Roman" w:cs="Times New Roman"/>
                                <w:sz w:val="24"/>
                                <w:szCs w:val="24"/>
                              </w:rPr>
                              <w:instrText xml:space="preserve"> SEQ Equation \* ARABIC </w:instrText>
                            </w:r>
                            <w:r w:rsidRPr="00F7394B">
                              <w:rPr>
                                <w:rFonts w:ascii="Times New Roman" w:hAnsi="Times New Roman" w:cs="Times New Roman"/>
                                <w:sz w:val="24"/>
                                <w:szCs w:val="24"/>
                              </w:rPr>
                              <w:fldChar w:fldCharType="separate"/>
                            </w:r>
                            <w:r w:rsidRPr="00F7394B">
                              <w:rPr>
                                <w:rFonts w:ascii="Times New Roman" w:hAnsi="Times New Roman" w:cs="Times New Roman"/>
                                <w:noProof/>
                                <w:sz w:val="24"/>
                                <w:szCs w:val="24"/>
                              </w:rPr>
                              <w:t>1</w:t>
                            </w:r>
                            <w:r w:rsidRPr="00F7394B">
                              <w:rPr>
                                <w:rFonts w:ascii="Times New Roman" w:hAnsi="Times New Roman" w:cs="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78C479" id="_x0000_t202" coordsize="21600,21600" o:spt="202" path="m0,0l0,21600,21600,21600,21600,0xe">
                <v:stroke joinstyle="miter"/>
                <v:path gradientshapeok="t" o:connecttype="rect"/>
              </v:shapetype>
              <v:shape id="Text Box 2" o:spid="_x0000_s1026" type="#_x0000_t202" style="position:absolute;margin-left:48.8pt;margin-top:5.45pt;width:348.6pt;height:18.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" stroked="f">
                <v:textbox inset="0,0,0,0">
                  <w:txbxContent>
                    <w:p w14:paraId="09E562A2" w14:textId="653550BA" w:rsidR="00F7394B" w:rsidRPr="00F7394B" w:rsidRDefault="00F7394B" w:rsidP="00F7394B">
                      <w:pPr>
                        <w:pStyle w:val="Caption"/>
                        <w:rPr>
                          <w:rFonts w:ascii="Times New Roman" w:hAnsi="Times New Roman" w:cs="Times New Roman"/>
                          <w:sz w:val="24"/>
                          <w:szCs w:val="24"/>
                          <w:lang w:val="en-US"/>
                        </w:rPr>
                      </w:pPr>
                      <w:r w:rsidRPr="00F7394B">
                        <w:rPr>
                          <w:rFonts w:ascii="Times New Roman" w:hAnsi="Times New Roman" w:cs="Times New Roman"/>
                          <w:sz w:val="24"/>
                          <w:szCs w:val="24"/>
                        </w:rPr>
                        <w:t xml:space="preserve">Equation </w:t>
                      </w:r>
                      <w:r w:rsidRPr="00F7394B">
                        <w:rPr>
                          <w:rFonts w:ascii="Times New Roman" w:hAnsi="Times New Roman" w:cs="Times New Roman"/>
                          <w:sz w:val="24"/>
                          <w:szCs w:val="24"/>
                        </w:rPr>
                        <w:fldChar w:fldCharType="begin"/>
                      </w:r>
                      <w:r w:rsidRPr="00F7394B">
                        <w:rPr>
                          <w:rFonts w:ascii="Times New Roman" w:hAnsi="Times New Roman" w:cs="Times New Roman"/>
                          <w:sz w:val="24"/>
                          <w:szCs w:val="24"/>
                        </w:rPr>
                        <w:instrText xml:space="preserve"> SEQ Equation \* ARABIC </w:instrText>
                      </w:r>
                      <w:r w:rsidRPr="00F7394B">
                        <w:rPr>
                          <w:rFonts w:ascii="Times New Roman" w:hAnsi="Times New Roman" w:cs="Times New Roman"/>
                          <w:sz w:val="24"/>
                          <w:szCs w:val="24"/>
                        </w:rPr>
                        <w:fldChar w:fldCharType="separate"/>
                      </w:r>
                      <w:r w:rsidRPr="00F7394B">
                        <w:rPr>
                          <w:rFonts w:ascii="Times New Roman" w:hAnsi="Times New Roman" w:cs="Times New Roman"/>
                          <w:noProof/>
                          <w:sz w:val="24"/>
                          <w:szCs w:val="24"/>
                        </w:rPr>
                        <w:t>1</w:t>
                      </w:r>
                      <w:r w:rsidRPr="00F7394B">
                        <w:rPr>
                          <w:rFonts w:ascii="Times New Roman" w:hAnsi="Times New Roman" w:cs="Times New Roman"/>
                          <w:sz w:val="24"/>
                          <w:szCs w:val="24"/>
                        </w:rPr>
                        <w:fldChar w:fldCharType="end"/>
                      </w:r>
                    </w:p>
                  </w:txbxContent>
                </v:textbox>
                <w10:wrap type="through"/>
              </v:shape>
            </w:pict>
          </mc:Fallback>
        </mc:AlternateContent>
      </w:r>
      <w:r w:rsidRPr="00F7394B">
        <w:rPr>
          <w:noProof/>
          <w:lang w:eastAsia="en-GB"/>
        </w:rPr>
        <w:drawing>
          <wp:anchor distT="0" distB="0" distL="114300" distR="114300" simplePos="0" relativeHeight="251658240" behindDoc="0" locked="0" layoutInCell="1" allowOverlap="1" wp14:anchorId="79E7A65D" wp14:editId="1546F5BE">
            <wp:simplePos x="0" y="0"/>
            <wp:positionH relativeFrom="column">
              <wp:posOffset>511810</wp:posOffset>
            </wp:positionH>
            <wp:positionV relativeFrom="paragraph">
              <wp:posOffset>188595</wp:posOffset>
            </wp:positionV>
            <wp:extent cx="4427220" cy="2197100"/>
            <wp:effectExtent l="0" t="0" r="0" b="12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427220" cy="2197100"/>
                    </a:xfrm>
                    <a:prstGeom prst="rect">
                      <a:avLst/>
                    </a:prstGeom>
                  </pic:spPr>
                </pic:pic>
              </a:graphicData>
            </a:graphic>
            <wp14:sizeRelH relativeFrom="page">
              <wp14:pctWidth>0</wp14:pctWidth>
            </wp14:sizeRelH>
            <wp14:sizeRelV relativeFrom="page">
              <wp14:pctHeight>0</wp14:pctHeight>
            </wp14:sizeRelV>
          </wp:anchor>
        </w:drawing>
      </w:r>
    </w:p>
    <w:p w14:paraId="3D9579A5" w14:textId="7B8DE224" w:rsidR="00F7394B" w:rsidRDefault="00F7394B">
      <w:pPr>
        <w:rPr>
          <w:lang w:val="en-US"/>
        </w:rPr>
      </w:pPr>
    </w:p>
    <w:p w14:paraId="0DADB352" w14:textId="77777777" w:rsidR="00190689" w:rsidRDefault="00190689">
      <w:pPr>
        <w:rPr>
          <w:lang w:val="en-US"/>
        </w:rPr>
      </w:pPr>
    </w:p>
    <w:p w14:paraId="4413B6D0" w14:textId="7AE86F1C" w:rsidR="000D3429" w:rsidRDefault="003D5991">
      <w:pPr>
        <w:rPr>
          <w:b/>
          <w:lang w:val="en-US"/>
        </w:rPr>
      </w:pPr>
      <w:commentRangeStart w:id="1"/>
      <w:r>
        <w:rPr>
          <w:b/>
          <w:lang w:val="en-US"/>
        </w:rPr>
        <w:t>Inversions</w:t>
      </w:r>
      <w:commentRangeEnd w:id="1"/>
      <w:r>
        <w:rPr>
          <w:rStyle w:val="CommentReference"/>
        </w:rPr>
        <w:commentReference w:id="1"/>
      </w:r>
      <w:r w:rsidR="000D3429" w:rsidRPr="000D3429">
        <w:rPr>
          <w:b/>
          <w:lang w:val="en-US"/>
        </w:rPr>
        <w:t xml:space="preserve">. </w:t>
      </w:r>
    </w:p>
    <w:p w14:paraId="2B126018" w14:textId="77777777" w:rsidR="007E07EA" w:rsidRDefault="007E07EA">
      <w:pPr>
        <w:rPr>
          <w:b/>
          <w:lang w:val="en-US"/>
        </w:rPr>
      </w:pPr>
    </w:p>
    <w:p w14:paraId="7AFD5447" w14:textId="38B275B6" w:rsidR="007E07EA" w:rsidRDefault="007E07EA">
      <w:pPr>
        <w:rPr>
          <w:b/>
          <w:lang w:val="en-US"/>
        </w:rPr>
      </w:pPr>
      <w:r>
        <w:rPr>
          <w:b/>
          <w:lang w:val="en-US"/>
        </w:rPr>
        <w:t>Functional analysis of CNVs.</w:t>
      </w:r>
    </w:p>
    <w:p w14:paraId="639726A5" w14:textId="77777777" w:rsidR="007E07EA" w:rsidRDefault="007E07EA">
      <w:pPr>
        <w:rPr>
          <w:b/>
          <w:lang w:val="en-US"/>
        </w:rPr>
      </w:pPr>
    </w:p>
    <w:p w14:paraId="315AA4EE" w14:textId="5286A004" w:rsidR="007E07EA" w:rsidRPr="007E07EA" w:rsidRDefault="007E07EA">
      <w:pPr>
        <w:rPr>
          <w:lang w:val="en-US"/>
        </w:rPr>
      </w:pPr>
      <w:r w:rsidRPr="007E07EA">
        <w:rPr>
          <w:lang w:val="en-US"/>
        </w:rPr>
        <w:t xml:space="preserve">QTL enrichment – </w:t>
      </w:r>
    </w:p>
    <w:p w14:paraId="7D7601D1" w14:textId="2D2CE141" w:rsidR="007E07EA" w:rsidRDefault="007E07EA">
      <w:pPr>
        <w:rPr>
          <w:lang w:val="en-US"/>
        </w:rPr>
      </w:pPr>
      <w:r w:rsidRPr="007E07EA">
        <w:rPr>
          <w:lang w:val="en-US"/>
        </w:rPr>
        <w:t xml:space="preserve">Functional enrichment </w:t>
      </w:r>
      <w:r w:rsidR="00A84841">
        <w:rPr>
          <w:lang w:val="en-US"/>
        </w:rPr>
        <w:t>–</w:t>
      </w:r>
      <w:r w:rsidRPr="007E07EA">
        <w:rPr>
          <w:lang w:val="en-US"/>
        </w:rPr>
        <w:t xml:space="preserve"> </w:t>
      </w:r>
    </w:p>
    <w:p w14:paraId="2DCA3A3B" w14:textId="2C51BA39" w:rsidR="00A84841" w:rsidRDefault="00A84841">
      <w:pPr>
        <w:rPr>
          <w:lang w:val="en-US"/>
        </w:rPr>
      </w:pPr>
      <w:r>
        <w:rPr>
          <w:lang w:val="en-US"/>
        </w:rPr>
        <w:t>Compare to the domestic not domestic yeast paper.</w:t>
      </w:r>
    </w:p>
    <w:p w14:paraId="4228A514" w14:textId="77777777" w:rsidR="00A84841" w:rsidRDefault="00A84841">
      <w:pPr>
        <w:rPr>
          <w:lang w:val="en-US"/>
        </w:rPr>
      </w:pPr>
    </w:p>
    <w:p w14:paraId="5661DAE5" w14:textId="1318D185" w:rsidR="00A84841" w:rsidRPr="007E07EA" w:rsidRDefault="00A84841">
      <w:pPr>
        <w:rPr>
          <w:lang w:val="en-US"/>
        </w:rPr>
      </w:pPr>
      <w:commentRangeStart w:id="2"/>
      <w:r w:rsidRPr="00A84841">
        <w:rPr>
          <w:lang w:val="en-US"/>
        </w:rPr>
        <w:t>http://www.nature.com/ng/journal/vaop/ncurrent/full/ng.3847.html</w:t>
      </w:r>
      <w:commentRangeEnd w:id="2"/>
      <w:r>
        <w:rPr>
          <w:rStyle w:val="CommentReference"/>
        </w:rPr>
        <w:commentReference w:id="2"/>
      </w:r>
    </w:p>
    <w:p w14:paraId="0EE95F61" w14:textId="77777777" w:rsidR="00190689" w:rsidRDefault="00190689">
      <w:pPr>
        <w:rPr>
          <w:lang w:val="en-US"/>
        </w:rPr>
      </w:pPr>
    </w:p>
    <w:p w14:paraId="76FCEFC9" w14:textId="75AF4255" w:rsidR="004A0C69" w:rsidRDefault="004A0C69">
      <w:pPr>
        <w:rPr>
          <w:b/>
          <w:lang w:val="en-US"/>
        </w:rPr>
      </w:pPr>
      <w:r>
        <w:rPr>
          <w:b/>
          <w:lang w:val="en-US"/>
        </w:rPr>
        <w:t xml:space="preserve">Estimating the global allele frequency of </w:t>
      </w:r>
      <w:r w:rsidR="0050710B">
        <w:rPr>
          <w:b/>
          <w:lang w:val="en-US"/>
        </w:rPr>
        <w:t>all</w:t>
      </w:r>
      <w:r>
        <w:rPr>
          <w:b/>
          <w:lang w:val="en-US"/>
        </w:rPr>
        <w:t xml:space="preserve"> </w:t>
      </w:r>
      <w:r w:rsidR="0050710B">
        <w:rPr>
          <w:b/>
          <w:lang w:val="en-US"/>
        </w:rPr>
        <w:t>SNPs and INDELs</w:t>
      </w:r>
      <w:r>
        <w:rPr>
          <w:b/>
          <w:lang w:val="en-US"/>
        </w:rPr>
        <w:t>.</w:t>
      </w:r>
    </w:p>
    <w:p w14:paraId="40984E68" w14:textId="77777777" w:rsidR="004A0C69" w:rsidRDefault="004A0C69">
      <w:pPr>
        <w:rPr>
          <w:b/>
          <w:lang w:val="en-US"/>
        </w:rPr>
      </w:pPr>
    </w:p>
    <w:p w14:paraId="11EAB095" w14:textId="5D0839E8" w:rsidR="007E07EA" w:rsidRPr="004A0C69" w:rsidRDefault="004A0C69">
      <w:pPr>
        <w:rPr>
          <w:lang w:val="en-US"/>
        </w:rPr>
      </w:pPr>
      <w:r>
        <w:rPr>
          <w:lang w:val="en-US"/>
        </w:rPr>
        <w:t>We obtained all publicly available</w:t>
      </w:r>
      <w:r w:rsidR="00F04BE6">
        <w:rPr>
          <w:lang w:val="en-US"/>
        </w:rPr>
        <w:t xml:space="preserve"> yeast assemblies from the Saccharomyces genome database (</w:t>
      </w:r>
      <w:r w:rsidR="00ED18E4">
        <w:rPr>
          <w:lang w:val="en-US"/>
        </w:rPr>
        <w:t>SGD</w:t>
      </w:r>
      <w:r w:rsidR="00BA0AB3">
        <w:rPr>
          <w:lang w:val="en-US"/>
        </w:rPr>
        <w:t xml:space="preserve">, </w:t>
      </w:r>
      <w:hyperlink r:id="rId8" w:history="1">
        <w:r w:rsidR="005300CE" w:rsidRPr="00C60B9A">
          <w:rPr>
            <w:rStyle w:val="Hyperlink"/>
            <w:lang w:val="en-US"/>
          </w:rPr>
          <w:t>http://www.yeastgenome.org/sequence/strains/</w:t>
        </w:r>
      </w:hyperlink>
      <w:r w:rsidR="005300CE">
        <w:rPr>
          <w:lang w:val="en-US"/>
        </w:rPr>
        <w:t xml:space="preserve"> accessed June 23, 2017). </w:t>
      </w:r>
      <w:r w:rsidR="0050710B">
        <w:rPr>
          <w:lang w:val="en-US"/>
        </w:rPr>
        <w:t xml:space="preserve">When a variant call format (VCF) file was available </w:t>
      </w:r>
      <w:r w:rsidR="00C519A0">
        <w:rPr>
          <w:lang w:val="en-US"/>
        </w:rPr>
        <w:t xml:space="preserve">for a strain, we used these variants </w:t>
      </w:r>
      <w:r w:rsidR="00ED18E4">
        <w:rPr>
          <w:lang w:val="en-US"/>
        </w:rPr>
        <w:t xml:space="preserve">making sure to filter ones with </w:t>
      </w:r>
      <w:r w:rsidR="00C519A0">
        <w:rPr>
          <w:lang w:val="en-US"/>
        </w:rPr>
        <w:t>quality score</w:t>
      </w:r>
      <w:r w:rsidR="00ED18E4">
        <w:rPr>
          <w:lang w:val="en-US"/>
        </w:rPr>
        <w:t xml:space="preserve"> of</w:t>
      </w:r>
      <w:r w:rsidR="00C519A0">
        <w:rPr>
          <w:lang w:val="en-US"/>
        </w:rPr>
        <w:t xml:space="preserve"> less than 50.</w:t>
      </w:r>
      <w:r w:rsidR="00014DEF">
        <w:rPr>
          <w:lang w:val="en-US"/>
        </w:rPr>
        <w:t xml:space="preserve"> </w:t>
      </w:r>
      <w:r w:rsidR="00C519A0">
        <w:rPr>
          <w:lang w:val="en-US"/>
        </w:rPr>
        <w:t>F</w:t>
      </w:r>
      <w:r w:rsidR="0050710B">
        <w:rPr>
          <w:lang w:val="en-US"/>
        </w:rPr>
        <w:t xml:space="preserve">or strains </w:t>
      </w:r>
      <w:r w:rsidR="00C519A0">
        <w:rPr>
          <w:lang w:val="en-US"/>
        </w:rPr>
        <w:t xml:space="preserve">where </w:t>
      </w:r>
      <w:r w:rsidR="00ED18E4">
        <w:rPr>
          <w:lang w:val="en-US"/>
        </w:rPr>
        <w:t>no</w:t>
      </w:r>
      <w:r w:rsidR="00C519A0">
        <w:rPr>
          <w:lang w:val="en-US"/>
        </w:rPr>
        <w:t xml:space="preserve"> VCF file was </w:t>
      </w:r>
      <w:r w:rsidR="00ED18E4">
        <w:rPr>
          <w:lang w:val="en-US"/>
        </w:rPr>
        <w:t>available on SGD</w:t>
      </w:r>
      <w:r w:rsidR="00C519A0">
        <w:rPr>
          <w:lang w:val="en-US"/>
        </w:rPr>
        <w:t xml:space="preserve">, </w:t>
      </w:r>
      <w:r w:rsidR="00A03436">
        <w:rPr>
          <w:lang w:val="en-US"/>
        </w:rPr>
        <w:t>we first filtered the draft assemblies to remove any contigs that was less than 10kb in length. We called variants</w:t>
      </w:r>
      <w:r w:rsidR="0050710B">
        <w:rPr>
          <w:lang w:val="en-US"/>
        </w:rPr>
        <w:t xml:space="preserve"> by aligning the </w:t>
      </w:r>
      <w:r w:rsidR="00DC37EA">
        <w:rPr>
          <w:lang w:val="en-US"/>
        </w:rPr>
        <w:t>draft assemblies to</w:t>
      </w:r>
      <w:r w:rsidR="0050710B">
        <w:rPr>
          <w:lang w:val="en-US"/>
        </w:rPr>
        <w:t xml:space="preserve"> </w:t>
      </w:r>
      <w:r w:rsidR="00DC37EA">
        <w:rPr>
          <w:lang w:val="en-US"/>
        </w:rPr>
        <w:t>the reference genome and comparing the aligned contigs at every position</w:t>
      </w:r>
      <w:r w:rsidR="00A03436">
        <w:rPr>
          <w:lang w:val="en-US"/>
        </w:rPr>
        <w:t xml:space="preserve">. </w:t>
      </w:r>
      <w:r w:rsidR="00C519A0">
        <w:rPr>
          <w:lang w:val="en-US"/>
        </w:rPr>
        <w:t>When</w:t>
      </w:r>
      <w:r w:rsidR="00CE6485">
        <w:rPr>
          <w:lang w:val="en-US"/>
        </w:rPr>
        <w:t xml:space="preserve"> two of more</w:t>
      </w:r>
      <w:r w:rsidR="00C519A0">
        <w:rPr>
          <w:lang w:val="en-US"/>
        </w:rPr>
        <w:t xml:space="preserve"> </w:t>
      </w:r>
      <w:r w:rsidR="00ED18E4">
        <w:rPr>
          <w:lang w:val="en-US"/>
        </w:rPr>
        <w:t xml:space="preserve">overlapping </w:t>
      </w:r>
      <w:r w:rsidR="00C519A0">
        <w:rPr>
          <w:lang w:val="en-US"/>
        </w:rPr>
        <w:t xml:space="preserve">alignments disagreed on </w:t>
      </w:r>
      <w:r w:rsidR="00A03436">
        <w:rPr>
          <w:lang w:val="en-US"/>
        </w:rPr>
        <w:t xml:space="preserve">a variant call </w:t>
      </w:r>
      <w:r w:rsidR="00053ABE">
        <w:rPr>
          <w:lang w:val="en-US"/>
        </w:rPr>
        <w:t>they were</w:t>
      </w:r>
      <w:r w:rsidR="00A03436">
        <w:rPr>
          <w:lang w:val="en-US"/>
        </w:rPr>
        <w:t xml:space="preserve"> discarded.</w:t>
      </w:r>
    </w:p>
    <w:sectPr w:rsidR="007E07EA" w:rsidRPr="004A0C69" w:rsidSect="00975D0B">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mes Boocock" w:date="2017-06-24T19:52:00Z" w:initials="JB">
    <w:p w14:paraId="46267694" w14:textId="77777777" w:rsidR="003D5991" w:rsidRDefault="003D5991">
      <w:pPr>
        <w:pStyle w:val="CommentText"/>
      </w:pPr>
      <w:r>
        <w:rPr>
          <w:rStyle w:val="CommentReference"/>
        </w:rPr>
        <w:annotationRef/>
      </w:r>
      <w:r>
        <w:t>Need to further refine the inversions.</w:t>
      </w:r>
    </w:p>
    <w:p w14:paraId="4C9FEB26" w14:textId="77777777" w:rsidR="007E07EA" w:rsidRDefault="007E07EA">
      <w:pPr>
        <w:pStyle w:val="CommentText"/>
      </w:pPr>
    </w:p>
    <w:p w14:paraId="7757B115" w14:textId="377DFEA2" w:rsidR="007E07EA" w:rsidRDefault="007E07EA">
      <w:pPr>
        <w:pStyle w:val="CommentText"/>
      </w:pPr>
      <w:r>
        <w:t xml:space="preserve">To call inversions, I still need to work out the alignment </w:t>
      </w:r>
    </w:p>
  </w:comment>
  <w:comment w:id="2" w:author="James Boocock" w:date="2017-06-24T20:38:00Z" w:initials="JB">
    <w:p w14:paraId="3A2A92D7" w14:textId="1776E8B7" w:rsidR="00A84841" w:rsidRPr="00A84841" w:rsidRDefault="00A84841" w:rsidP="00A84841">
      <w:pPr>
        <w:pStyle w:val="Heading1"/>
        <w:shd w:val="clear" w:color="auto" w:fill="FFFFFF"/>
        <w:spacing w:before="0" w:beforeAutospacing="0" w:after="300" w:afterAutospacing="0"/>
        <w:rPr>
          <w:rFonts w:ascii="Arial" w:eastAsia="Times New Roman" w:hAnsi="Arial" w:cs="Arial"/>
          <w:b w:val="0"/>
          <w:bCs w:val="0"/>
          <w:color w:val="222222"/>
          <w:spacing w:val="-8"/>
          <w:sz w:val="43"/>
          <w:szCs w:val="43"/>
        </w:rPr>
      </w:pPr>
      <w:r>
        <w:rPr>
          <w:rStyle w:val="CommentReference"/>
        </w:rPr>
        <w:annotationRef/>
      </w:r>
      <w:r w:rsidRPr="00A84841">
        <w:rPr>
          <w:rFonts w:ascii="Arial" w:eastAsia="Times New Roman" w:hAnsi="Arial" w:cs="Arial"/>
          <w:b w:val="0"/>
          <w:bCs w:val="0"/>
          <w:color w:val="222222"/>
          <w:spacing w:val="-8"/>
          <w:sz w:val="43"/>
          <w:szCs w:val="43"/>
        </w:rPr>
        <w:t>Contrasting evolutionary genome dynamics between domesticated and wild yeasts</w:t>
      </w:r>
      <w:r>
        <w:rPr>
          <w:rFonts w:ascii="Arial" w:eastAsia="Times New Roman" w:hAnsi="Arial" w:cs="Arial"/>
          <w:b w:val="0"/>
          <w:bCs w:val="0"/>
          <w:color w:val="222222"/>
          <w:spacing w:val="-8"/>
          <w:sz w:val="43"/>
          <w:szCs w:val="43"/>
        </w:rPr>
        <w:t>,  Yue et al 2017</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7B115" w15:done="0"/>
  <w15:commentEx w15:paraId="3A2A92D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s Boocock">
    <w15:presenceInfo w15:providerId="None" w15:userId="James Booco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insDel="0" w:formatting="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77E"/>
    <w:rsid w:val="00014DEF"/>
    <w:rsid w:val="00020900"/>
    <w:rsid w:val="000303F6"/>
    <w:rsid w:val="00053ABE"/>
    <w:rsid w:val="00067B50"/>
    <w:rsid w:val="00082CAA"/>
    <w:rsid w:val="000D3429"/>
    <w:rsid w:val="00135D03"/>
    <w:rsid w:val="00190689"/>
    <w:rsid w:val="001A0091"/>
    <w:rsid w:val="001A0431"/>
    <w:rsid w:val="001B59B3"/>
    <w:rsid w:val="001D3E1B"/>
    <w:rsid w:val="001F4A19"/>
    <w:rsid w:val="002147E5"/>
    <w:rsid w:val="00244132"/>
    <w:rsid w:val="002549B7"/>
    <w:rsid w:val="002557C1"/>
    <w:rsid w:val="00260727"/>
    <w:rsid w:val="00296AE9"/>
    <w:rsid w:val="002C3EA7"/>
    <w:rsid w:val="002D292D"/>
    <w:rsid w:val="0031310E"/>
    <w:rsid w:val="00340A7F"/>
    <w:rsid w:val="003427D7"/>
    <w:rsid w:val="003B7618"/>
    <w:rsid w:val="003C156B"/>
    <w:rsid w:val="003D5991"/>
    <w:rsid w:val="003D7BBF"/>
    <w:rsid w:val="003F4FE1"/>
    <w:rsid w:val="00404CBC"/>
    <w:rsid w:val="004057FB"/>
    <w:rsid w:val="00455960"/>
    <w:rsid w:val="00461A5C"/>
    <w:rsid w:val="0048377E"/>
    <w:rsid w:val="0048561C"/>
    <w:rsid w:val="004A0C69"/>
    <w:rsid w:val="004A271B"/>
    <w:rsid w:val="004B30FB"/>
    <w:rsid w:val="004B5E4B"/>
    <w:rsid w:val="004C0AA1"/>
    <w:rsid w:val="00502E8F"/>
    <w:rsid w:val="0050710B"/>
    <w:rsid w:val="005215D1"/>
    <w:rsid w:val="005300CE"/>
    <w:rsid w:val="005B08F7"/>
    <w:rsid w:val="005C13FA"/>
    <w:rsid w:val="005E72FD"/>
    <w:rsid w:val="00625DA0"/>
    <w:rsid w:val="00640CE6"/>
    <w:rsid w:val="00645EAD"/>
    <w:rsid w:val="00694FD9"/>
    <w:rsid w:val="006A36E6"/>
    <w:rsid w:val="006B165A"/>
    <w:rsid w:val="006E5B3D"/>
    <w:rsid w:val="00711269"/>
    <w:rsid w:val="007205C7"/>
    <w:rsid w:val="007232DF"/>
    <w:rsid w:val="00745371"/>
    <w:rsid w:val="00785FB1"/>
    <w:rsid w:val="007875D4"/>
    <w:rsid w:val="007A4D5A"/>
    <w:rsid w:val="007E07EA"/>
    <w:rsid w:val="007E339E"/>
    <w:rsid w:val="007E6739"/>
    <w:rsid w:val="008000B6"/>
    <w:rsid w:val="00801CC5"/>
    <w:rsid w:val="008164F4"/>
    <w:rsid w:val="008172F6"/>
    <w:rsid w:val="00832BAB"/>
    <w:rsid w:val="00836C33"/>
    <w:rsid w:val="00844287"/>
    <w:rsid w:val="008545BE"/>
    <w:rsid w:val="00860FA8"/>
    <w:rsid w:val="0087347D"/>
    <w:rsid w:val="00895DA8"/>
    <w:rsid w:val="008C5627"/>
    <w:rsid w:val="008D34C4"/>
    <w:rsid w:val="008E3065"/>
    <w:rsid w:val="00906837"/>
    <w:rsid w:val="00957D8F"/>
    <w:rsid w:val="0096514B"/>
    <w:rsid w:val="00975D0B"/>
    <w:rsid w:val="009A497B"/>
    <w:rsid w:val="009A5533"/>
    <w:rsid w:val="009B5A0C"/>
    <w:rsid w:val="00A03436"/>
    <w:rsid w:val="00A24FA3"/>
    <w:rsid w:val="00A32C96"/>
    <w:rsid w:val="00A44557"/>
    <w:rsid w:val="00A44F8B"/>
    <w:rsid w:val="00A46CB0"/>
    <w:rsid w:val="00A50899"/>
    <w:rsid w:val="00A542CD"/>
    <w:rsid w:val="00A747E0"/>
    <w:rsid w:val="00A84841"/>
    <w:rsid w:val="00A85B3C"/>
    <w:rsid w:val="00A93240"/>
    <w:rsid w:val="00AA23D3"/>
    <w:rsid w:val="00AC0764"/>
    <w:rsid w:val="00AD51A1"/>
    <w:rsid w:val="00B23F02"/>
    <w:rsid w:val="00B77C0C"/>
    <w:rsid w:val="00B910CC"/>
    <w:rsid w:val="00BA0AB3"/>
    <w:rsid w:val="00BB0301"/>
    <w:rsid w:val="00C3413D"/>
    <w:rsid w:val="00C36BDB"/>
    <w:rsid w:val="00C519A0"/>
    <w:rsid w:val="00C75318"/>
    <w:rsid w:val="00C83EFB"/>
    <w:rsid w:val="00CC55F6"/>
    <w:rsid w:val="00CC6700"/>
    <w:rsid w:val="00CE2113"/>
    <w:rsid w:val="00CE6485"/>
    <w:rsid w:val="00CF01B9"/>
    <w:rsid w:val="00D22D96"/>
    <w:rsid w:val="00D50D10"/>
    <w:rsid w:val="00D72799"/>
    <w:rsid w:val="00D73119"/>
    <w:rsid w:val="00D91418"/>
    <w:rsid w:val="00DA5CED"/>
    <w:rsid w:val="00DC37EA"/>
    <w:rsid w:val="00DC3FAA"/>
    <w:rsid w:val="00DF6E7C"/>
    <w:rsid w:val="00E10F42"/>
    <w:rsid w:val="00E31DDF"/>
    <w:rsid w:val="00E3727D"/>
    <w:rsid w:val="00E8337C"/>
    <w:rsid w:val="00E84EC5"/>
    <w:rsid w:val="00E852EA"/>
    <w:rsid w:val="00E94207"/>
    <w:rsid w:val="00EA41C1"/>
    <w:rsid w:val="00EA47CE"/>
    <w:rsid w:val="00EC53F0"/>
    <w:rsid w:val="00ED18E4"/>
    <w:rsid w:val="00ED4F7D"/>
    <w:rsid w:val="00EE4BD9"/>
    <w:rsid w:val="00F04BE6"/>
    <w:rsid w:val="00F4519B"/>
    <w:rsid w:val="00F60D16"/>
    <w:rsid w:val="00F72EB5"/>
    <w:rsid w:val="00F7394B"/>
    <w:rsid w:val="00F94827"/>
    <w:rsid w:val="00FA35ED"/>
    <w:rsid w:val="00FB2B36"/>
    <w:rsid w:val="00FC4E66"/>
    <w:rsid w:val="00FE73B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71C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A84841"/>
    <w:pPr>
      <w:spacing w:before="100" w:beforeAutospacing="1" w:after="100" w:afterAutospacing="1"/>
      <w:outlineLvl w:val="0"/>
    </w:pPr>
    <w:rPr>
      <w:rFonts w:ascii="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D16"/>
    <w:rPr>
      <w:color w:val="0563C1" w:themeColor="hyperlink"/>
      <w:u w:val="single"/>
    </w:rPr>
  </w:style>
  <w:style w:type="character" w:styleId="CommentReference">
    <w:name w:val="annotation reference"/>
    <w:basedOn w:val="DefaultParagraphFont"/>
    <w:uiPriority w:val="99"/>
    <w:semiHidden/>
    <w:unhideWhenUsed/>
    <w:rsid w:val="00EA47CE"/>
    <w:rPr>
      <w:sz w:val="18"/>
      <w:szCs w:val="18"/>
    </w:rPr>
  </w:style>
  <w:style w:type="paragraph" w:styleId="CommentText">
    <w:name w:val="annotation text"/>
    <w:basedOn w:val="Normal"/>
    <w:link w:val="CommentTextChar"/>
    <w:uiPriority w:val="99"/>
    <w:semiHidden/>
    <w:unhideWhenUsed/>
    <w:rsid w:val="00EA47CE"/>
  </w:style>
  <w:style w:type="character" w:customStyle="1" w:styleId="CommentTextChar">
    <w:name w:val="Comment Text Char"/>
    <w:basedOn w:val="DefaultParagraphFont"/>
    <w:link w:val="CommentText"/>
    <w:uiPriority w:val="99"/>
    <w:semiHidden/>
    <w:rsid w:val="00EA47CE"/>
  </w:style>
  <w:style w:type="paragraph" w:styleId="CommentSubject">
    <w:name w:val="annotation subject"/>
    <w:basedOn w:val="CommentText"/>
    <w:next w:val="CommentText"/>
    <w:link w:val="CommentSubjectChar"/>
    <w:uiPriority w:val="99"/>
    <w:semiHidden/>
    <w:unhideWhenUsed/>
    <w:rsid w:val="00EA47CE"/>
    <w:rPr>
      <w:b/>
      <w:bCs/>
      <w:sz w:val="20"/>
      <w:szCs w:val="20"/>
    </w:rPr>
  </w:style>
  <w:style w:type="character" w:customStyle="1" w:styleId="CommentSubjectChar">
    <w:name w:val="Comment Subject Char"/>
    <w:basedOn w:val="CommentTextChar"/>
    <w:link w:val="CommentSubject"/>
    <w:uiPriority w:val="99"/>
    <w:semiHidden/>
    <w:rsid w:val="00EA47CE"/>
    <w:rPr>
      <w:b/>
      <w:bCs/>
      <w:sz w:val="20"/>
      <w:szCs w:val="20"/>
    </w:rPr>
  </w:style>
  <w:style w:type="paragraph" w:styleId="BalloonText">
    <w:name w:val="Balloon Text"/>
    <w:basedOn w:val="Normal"/>
    <w:link w:val="BalloonTextChar"/>
    <w:uiPriority w:val="99"/>
    <w:semiHidden/>
    <w:unhideWhenUsed/>
    <w:rsid w:val="00EA47C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47CE"/>
    <w:rPr>
      <w:rFonts w:ascii="Times New Roman" w:hAnsi="Times New Roman" w:cs="Times New Roman"/>
      <w:sz w:val="18"/>
      <w:szCs w:val="18"/>
    </w:rPr>
  </w:style>
  <w:style w:type="paragraph" w:styleId="Caption">
    <w:name w:val="caption"/>
    <w:basedOn w:val="Normal"/>
    <w:next w:val="Normal"/>
    <w:uiPriority w:val="35"/>
    <w:unhideWhenUsed/>
    <w:qFormat/>
    <w:rsid w:val="00F7394B"/>
    <w:pPr>
      <w:spacing w:after="200"/>
    </w:pPr>
    <w:rPr>
      <w:i/>
      <w:iCs/>
      <w:color w:val="44546A" w:themeColor="text2"/>
      <w:sz w:val="18"/>
      <w:szCs w:val="18"/>
    </w:rPr>
  </w:style>
  <w:style w:type="character" w:customStyle="1" w:styleId="Heading1Char">
    <w:name w:val="Heading 1 Char"/>
    <w:basedOn w:val="DefaultParagraphFont"/>
    <w:link w:val="Heading1"/>
    <w:uiPriority w:val="9"/>
    <w:rsid w:val="00A84841"/>
    <w:rPr>
      <w:rFonts w:ascii="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7069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s://github.com/theboocock/long_read_cnv" TargetMode="External"/><Relationship Id="rId5" Type="http://schemas.openxmlformats.org/officeDocument/2006/relationships/image" Target="media/image1.tiff"/><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hyperlink" Target="http://www.yeastgenome.org/sequence/strains/" TargetMode="External"/><Relationship Id="rId9" Type="http://schemas.openxmlformats.org/officeDocument/2006/relationships/fontTable" Target="fontTable.xml"/><Relationship Id="rId10" Type="http://schemas.microsoft.com/office/2011/relationships/people" Target="peop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Pages>
  <Words>2473</Words>
  <Characters>14098</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Boocock</dc:creator>
  <cp:keywords/>
  <dc:description/>
  <cp:lastModifiedBy>James Boocock</cp:lastModifiedBy>
  <cp:revision>79</cp:revision>
  <dcterms:created xsi:type="dcterms:W3CDTF">2017-06-23T21:27:00Z</dcterms:created>
  <dcterms:modified xsi:type="dcterms:W3CDTF">2017-07-03T22:20:00Z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78d4a331-e33f-3b15-a243-19bc6f037852</vt:lpwstr>
  </property>
  <property fmtid="{D5CDD505-2E9C-101B-9397-08002B2CF9AE}" pid="4" name="Mendeley Citation Style_1">
    <vt:lpwstr>http://www.zotero.org/styles/apa</vt:lpwstr>
  </property>
</Properties>
</file>