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BC5" w:rsidRDefault="00B00053">
      <w:pPr>
        <w:pStyle w:val="Standard"/>
        <w:rPr>
          <w:b/>
          <w:bCs/>
        </w:rPr>
      </w:pPr>
      <w:r>
        <w:rPr>
          <w:b/>
          <w:bCs/>
        </w:rPr>
        <w:t>Materials and methodology</w:t>
      </w:r>
    </w:p>
    <w:p w:rsidR="00BB3BC5" w:rsidRDefault="00BB3BC5">
      <w:pPr>
        <w:pStyle w:val="Standard"/>
      </w:pPr>
    </w:p>
    <w:p w:rsidR="00BB3BC5" w:rsidRDefault="00B00053">
      <w:pPr>
        <w:pStyle w:val="Standard"/>
        <w:rPr>
          <w:i/>
          <w:iCs/>
        </w:rPr>
      </w:pPr>
      <w:r>
        <w:rPr>
          <w:i/>
          <w:iCs/>
        </w:rPr>
        <w:t xml:space="preserve">Single compartment model. </w:t>
      </w:r>
      <w:r>
        <w:t>The single compartment dendrite model consisted of a cylindrical semi-permeable membrane separating the extracellular solution from the intracellular milieu with variable volume (Fig. 1A). The extracellular ionic concentrations were assumed constant (Table 1). Permeable ions in the model were K</w:t>
      </w:r>
      <w:r w:rsidRPr="006F2BAE">
        <w:rPr>
          <w:vertAlign w:val="superscript"/>
        </w:rPr>
        <w:t>+</w:t>
      </w:r>
      <w:r>
        <w:t>, Na</w:t>
      </w:r>
      <w:r w:rsidRPr="006F2BAE">
        <w:rPr>
          <w:vertAlign w:val="superscript"/>
        </w:rPr>
        <w:t>+</w:t>
      </w:r>
      <w:r>
        <w:t xml:space="preserve"> and Cl</w:t>
      </w:r>
      <w:r w:rsidR="006F2BAE">
        <w:rPr>
          <w:vertAlign w:val="superscript"/>
        </w:rPr>
        <w:t>-</w:t>
      </w:r>
      <w:r w:rsidR="006F2BAE">
        <w:t xml:space="preserve"> w</w:t>
      </w:r>
      <w:r>
        <w:t>ith their usual charges, while impermeable anions A were assumed to be a heterogenous group of impermeant ions with average intracellular charge z and extracellular charge -1. The model included ionic leak currents for the permeable ions, Na-K ATPase transporters and K-Cl co-transporters (KCC2). Cell volume change was based on osmotic water flux and incorporated a membrane surface area scaling mechanism. An analytical solution to the model at steady state was derived (see supplementary material). The model was initialised assuming conditions close to electroneutrality and an osmotic equilibrium between the intracellular and extracellular compartments. A forward Euler approach was used to update variables at each time step, with a dt of 1 ms. Using a dt of smaller magnitude did not influence the results in Fig. 1-5. Code was written in Python 2.</w:t>
      </w:r>
    </w:p>
    <w:p w:rsidR="00BB3BC5" w:rsidRDefault="00BB3BC5">
      <w:pPr>
        <w:pStyle w:val="Standard"/>
        <w:rPr>
          <w:i/>
          <w:iCs/>
        </w:rPr>
      </w:pPr>
    </w:p>
    <w:p w:rsidR="00BB3BC5" w:rsidRDefault="00B00053">
      <w:pPr>
        <w:pStyle w:val="Standard"/>
        <w:rPr>
          <w:i/>
          <w:iCs/>
        </w:rPr>
      </w:pPr>
      <w:r>
        <w:rPr>
          <w:i/>
          <w:iCs/>
        </w:rPr>
        <w:t xml:space="preserve">Membrane potential. </w:t>
      </w:r>
      <w:r>
        <w:t>The membrane potential V</w:t>
      </w:r>
      <w:r w:rsidRPr="006F2BAE">
        <w:rPr>
          <w:vertAlign w:val="subscript"/>
        </w:rPr>
        <w:t>m</w:t>
      </w:r>
      <w:r>
        <w:t xml:space="preserve"> was based on the “Charge Difference” approach of Fraser and Huang (2004) as follows:</w:t>
      </w:r>
    </w:p>
    <w:p w:rsidR="006F2BAE" w:rsidRDefault="006F2BAE">
      <w:pPr>
        <w:pStyle w:val="Standard"/>
      </w:pPr>
    </w:p>
    <w:p w:rsidR="00BB3BC5" w:rsidRPr="00BF4A4F" w:rsidRDefault="006F2BAE">
      <w:pPr>
        <w:pStyle w:val="Standard"/>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F (</m:t>
              </m:r>
              <m:sSub>
                <m:sSubPr>
                  <m:ctrlPr>
                    <w:rPr>
                      <w:rFonts w:ascii="Cambria Math" w:hAnsi="Cambria Math"/>
                      <w:i/>
                    </w:rPr>
                  </m:ctrlPr>
                </m:sSubPr>
                <m:e>
                  <m:sSup>
                    <m:sSupPr>
                      <m:ctrlPr>
                        <w:rPr>
                          <w:rFonts w:ascii="Cambria Math" w:hAnsi="Cambria Math"/>
                          <w:i/>
                        </w:rPr>
                      </m:ctrlPr>
                    </m:sSupPr>
                    <m:e>
                      <m: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+z</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z</m:t>
                      </m:r>
                    </m:sup>
                  </m:sSup>
                  <m:r>
                    <w:rPr>
                      <w:rFonts w:ascii="Cambria Math" w:hAnsi="Cambria Math"/>
                    </w:rPr>
                    <m:t>]</m:t>
                  </m:r>
                </m:e>
                <m:sub>
                  <m:r>
                    <w:rPr>
                      <w:rFonts w:ascii="Cambria Math" w:hAnsi="Cambria Math"/>
                    </w:rPr>
                    <m:t>i</m:t>
                  </m:r>
                </m:sub>
              </m:sSub>
              <m:r>
                <w:rPr>
                  <w:rFonts w:ascii="Cambria Math" w:hAnsi="Cambria Math"/>
                </w:rPr>
                <m:t xml:space="preserve">) </m:t>
              </m:r>
            </m:num>
            <m:den>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den>
          </m:f>
          <m:r>
            <w:rPr>
              <w:rFonts w:ascii="Cambria Math" w:hAnsi="Cambria Math"/>
            </w:rPr>
            <m:t>,</m:t>
          </m:r>
        </m:oMath>
      </m:oMathPara>
    </w:p>
    <w:p w:rsidR="00BB3BC5" w:rsidRDefault="00BB3BC5">
      <w:pPr>
        <w:pStyle w:val="Standard"/>
        <w:rPr>
          <w:i/>
          <w:iCs/>
        </w:rPr>
      </w:pPr>
    </w:p>
    <w:p w:rsidR="00BB3BC5" w:rsidRDefault="00B00053">
      <w:pPr>
        <w:pStyle w:val="Standard"/>
        <w:rPr>
          <w:i/>
          <w:iCs/>
        </w:rPr>
      </w:pPr>
      <w:r>
        <w:t>where F is Faraday’s constant, ionic charge is summed, C</w:t>
      </w:r>
      <w:r w:rsidRPr="006F2BAE">
        <w:rPr>
          <w:vertAlign w:val="subscript"/>
        </w:rPr>
        <w:t>m</w:t>
      </w:r>
      <w:r>
        <w:t xml:space="preserve"> is the membrane capacitance and A</w:t>
      </w:r>
      <w:r w:rsidRPr="006F2BAE">
        <w:rPr>
          <w:vertAlign w:val="subscript"/>
        </w:rPr>
        <w:t>m</w:t>
      </w:r>
      <w:r>
        <w:t xml:space="preserve"> the membrane scaling constant, which will be described later. This approach is favourable because the initial voltage can be calculated without assuming a steady state and then consistently updated using the same equation.</w:t>
      </w:r>
    </w:p>
    <w:p w:rsidR="00BB3BC5" w:rsidRDefault="00BB3BC5">
      <w:pPr>
        <w:pStyle w:val="Standard"/>
        <w:rPr>
          <w:i/>
          <w:iCs/>
        </w:rPr>
      </w:pPr>
    </w:p>
    <w:p w:rsidR="00BB3BC5" w:rsidRDefault="00B00053">
      <w:pPr>
        <w:pStyle w:val="Standard"/>
        <w:rPr>
          <w:i/>
          <w:iCs/>
        </w:rPr>
      </w:pPr>
      <w:r>
        <w:rPr>
          <w:i/>
          <w:iCs/>
        </w:rPr>
        <w:t xml:space="preserve">Permeable ion concentrations. </w:t>
      </w:r>
      <w:r>
        <w:t>Intracellular concentrations of the permeable ion</w:t>
      </w:r>
      <w:bookmarkStart w:id="0" w:name="_GoBack"/>
      <w:bookmarkEnd w:id="0"/>
      <w:r>
        <w:t>s Na</w:t>
      </w:r>
      <w:r w:rsidRPr="006F2BAE">
        <w:rPr>
          <w:vertAlign w:val="superscript"/>
        </w:rPr>
        <w:t>+</w:t>
      </w:r>
      <w:r>
        <w:t>, K</w:t>
      </w:r>
      <w:r w:rsidRPr="006F2BAE">
        <w:rPr>
          <w:vertAlign w:val="superscript"/>
        </w:rPr>
        <w:t>+</w:t>
      </w:r>
      <w:r>
        <w:t xml:space="preserve"> and Cl</w:t>
      </w:r>
      <w:r w:rsidRPr="006F2BAE">
        <w:rPr>
          <w:vertAlign w:val="superscript"/>
        </w:rPr>
        <w:t>-</w:t>
      </w:r>
      <w:r>
        <w:t xml:space="preserve"> were updated individually by summing trans-membrane fluxes. Leak currents were calculated using the standard equivalent circuit model formulation </w:t>
      </w:r>
      <m:oMath>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-E)</m:t>
        </m:r>
      </m:oMath>
      <w:r w:rsidR="006F2BAE">
        <w:t xml:space="preserve">. </w:t>
      </w:r>
      <w:r>
        <w:t>Na</w:t>
      </w:r>
      <w:r w:rsidRPr="006F2BAE">
        <w:rPr>
          <w:vertAlign w:val="superscript"/>
        </w:rPr>
        <w:t>+</w:t>
      </w:r>
      <w:r>
        <w:t xml:space="preserve"> and K</w:t>
      </w:r>
      <w:r w:rsidRPr="006F2BAE">
        <w:rPr>
          <w:vertAlign w:val="superscript"/>
        </w:rPr>
        <w:t>+</w:t>
      </w:r>
      <w:r>
        <w:t xml:space="preserve"> were influenced by the Na-K ATPase with pump rate J</w:t>
      </w:r>
      <w:r w:rsidRPr="006F2BAE">
        <w:rPr>
          <w:vertAlign w:val="subscript"/>
        </w:rPr>
        <w:t>p</w:t>
      </w:r>
      <w:r>
        <w:t>, which was approximated by a cubic function dependent on the transmembrane sodium gradient, following Keener and Sneyd (2008):</w:t>
      </w:r>
    </w:p>
    <w:p w:rsidR="00BB3BC5" w:rsidRDefault="00BB3BC5">
      <w:pPr>
        <w:pStyle w:val="Standard"/>
        <w:rPr>
          <w:i/>
          <w:iCs/>
        </w:rPr>
      </w:pPr>
    </w:p>
    <w:p w:rsidR="00BB3BC5" w:rsidRDefault="006F2BAE">
      <w:pPr>
        <w:pStyle w:val="Standard"/>
        <w:rPr>
          <w:i/>
          <w:iCs/>
        </w:rPr>
      </w:pPr>
      <m:oMathPara>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i</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e</m:t>
                          </m:r>
                        </m:sub>
                      </m:sSub>
                    </m:den>
                  </m:f>
                </m:e>
              </m:d>
            </m:e>
            <m:sup>
              <m:r>
                <w:rPr>
                  <w:rFonts w:ascii="Cambria Math" w:hAnsi="Cambria Math"/>
                </w:rPr>
                <m:t>3</m:t>
              </m:r>
            </m:sup>
          </m:sSup>
          <m:r>
            <w:rPr>
              <w:rFonts w:ascii="Cambria Math" w:hAnsi="Cambria Math"/>
            </w:rPr>
            <m:t>,</m:t>
          </m:r>
        </m:oMath>
      </m:oMathPara>
    </w:p>
    <w:p w:rsidR="00BB3BC5" w:rsidRDefault="00BB3BC5">
      <w:pPr>
        <w:pStyle w:val="Standard"/>
        <w:rPr>
          <w:i/>
          <w:iCs/>
        </w:rPr>
      </w:pPr>
    </w:p>
    <w:p w:rsidR="00BB3BC5" w:rsidRDefault="00B00053">
      <w:pPr>
        <w:pStyle w:val="Standard"/>
        <w:rPr>
          <w:i/>
          <w:iCs/>
        </w:rPr>
      </w:pPr>
      <w:r>
        <w:t>where P is the default constant pump rate. Because it is a function of the sodium gradient, J</w:t>
      </w:r>
      <w:r w:rsidRPr="006F2BAE">
        <w:rPr>
          <w:vertAlign w:val="subscript"/>
        </w:rPr>
        <w:t>p</w:t>
      </w:r>
      <w:r>
        <w:t xml:space="preserve"> decreases as [Na</w:t>
      </w:r>
      <w:r w:rsidRPr="006F2BAE">
        <w:rPr>
          <w:vertAlign w:val="superscript"/>
        </w:rPr>
        <w:t>+</w:t>
      </w:r>
      <w:r>
        <w:t>]</w:t>
      </w:r>
      <w:r w:rsidRPr="006F2BAE">
        <w:rPr>
          <w:vertAlign w:val="subscript"/>
        </w:rPr>
        <w:t>i</w:t>
      </w:r>
      <w:r>
        <w:t xml:space="preserve"> depletes. This formulation has been shown to be similar to more accurate kinetic models reliant on ATP concentration (Keener and Sneyd, 2008). The ATPase pumps 2 K</w:t>
      </w:r>
      <w:r w:rsidRPr="006F2BAE">
        <w:rPr>
          <w:vertAlign w:val="superscript"/>
        </w:rPr>
        <w:t>+</w:t>
      </w:r>
      <w:r>
        <w:t xml:space="preserve"> ions into the cell for every 3 Na</w:t>
      </w:r>
      <w:r w:rsidRPr="006F2BAE">
        <w:rPr>
          <w:vertAlign w:val="superscript"/>
        </w:rPr>
        <w:t>+</w:t>
      </w:r>
      <w:r>
        <w:t xml:space="preserve"> ions out and these constants must be multiplied by J</w:t>
      </w:r>
      <w:r w:rsidRPr="006F2BAE">
        <w:rPr>
          <w:vertAlign w:val="subscript"/>
        </w:rPr>
        <w:t>p</w:t>
      </w:r>
      <w:r>
        <w:t xml:space="preserve"> for each ion respectively. K</w:t>
      </w:r>
      <w:r w:rsidRPr="006F2BAE">
        <w:rPr>
          <w:vertAlign w:val="superscript"/>
        </w:rPr>
        <w:t>+</w:t>
      </w:r>
      <w:r>
        <w:t xml:space="preserve"> and Cl</w:t>
      </w:r>
      <w:r w:rsidRPr="006F2BAE">
        <w:rPr>
          <w:vertAlign w:val="superscript"/>
        </w:rPr>
        <w:t>-</w:t>
      </w:r>
      <w:r>
        <w:t xml:space="preserve"> were influenced by flux through the type 2 K-Cl co-transporter (KCC2), J</w:t>
      </w:r>
      <w:r w:rsidRPr="006F2BAE">
        <w:rPr>
          <w:vertAlign w:val="subscript"/>
        </w:rPr>
        <w:t>KCC2</w:t>
      </w:r>
      <w:r>
        <w:t>, which was based on the model proposed by Doyon et al (2016):</w:t>
      </w:r>
    </w:p>
    <w:p w:rsidR="00BB3BC5" w:rsidRDefault="00BB3BC5">
      <w:pPr>
        <w:pStyle w:val="Standard"/>
        <w:rPr>
          <w:i/>
          <w:iCs/>
        </w:rPr>
      </w:pPr>
    </w:p>
    <w:p w:rsidR="00BB3BC5" w:rsidRDefault="006F2BAE">
      <w:pPr>
        <w:pStyle w:val="Standard"/>
        <w:rPr>
          <w:i/>
          <w:iCs/>
        </w:rPr>
      </w:pPr>
      <m:oMathPara>
        <m:oMath>
          <m:sSub>
            <m:sSubPr>
              <m:ctrlPr>
                <w:rPr>
                  <w:rFonts w:ascii="Cambria Math" w:hAnsi="Cambria Math"/>
                  <w:i/>
                </w:rPr>
              </m:ctrlPr>
            </m:sSubPr>
            <m:e>
              <m:r>
                <w:rPr>
                  <w:rFonts w:ascii="Cambria Math" w:hAnsi="Cambria Math"/>
                </w:rPr>
                <m:t>J</m:t>
              </m:r>
            </m:e>
            <m:sub>
              <m:r>
                <w:rPr>
                  <w:rFonts w:ascii="Cambria Math" w:hAnsi="Cambria Math"/>
                </w:rPr>
                <m:t>KCC2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KCC2</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m:t>
                  </m:r>
                </m:sub>
              </m:sSub>
            </m:e>
          </m:d>
          <m:r>
            <w:rPr>
              <w:rFonts w:ascii="Cambria Math" w:hAnsi="Cambria Math"/>
            </w:rPr>
            <m:t>,</m:t>
          </m:r>
        </m:oMath>
      </m:oMathPara>
    </w:p>
    <w:p w:rsidR="00BB3BC5" w:rsidRDefault="00BB3BC5">
      <w:pPr>
        <w:pStyle w:val="Standard"/>
        <w:rPr>
          <w:i/>
          <w:iCs/>
        </w:rPr>
      </w:pPr>
    </w:p>
    <w:p w:rsidR="00BB3BC5" w:rsidRDefault="00B00053">
      <w:pPr>
        <w:pStyle w:val="Standard"/>
        <w:rPr>
          <w:i/>
          <w:iCs/>
        </w:rPr>
      </w:pPr>
      <w:r>
        <w:t>where g</w:t>
      </w:r>
      <w:r w:rsidRPr="00BF4A4F">
        <w:rPr>
          <w:vertAlign w:val="subscript"/>
        </w:rPr>
        <w:t>KCC2</w:t>
      </w:r>
      <w:r>
        <w:t xml:space="preserve"> is a fixed conductance constant and E</w:t>
      </w:r>
      <w:r w:rsidRPr="00BF4A4F">
        <w:rPr>
          <w:vertAlign w:val="subscript"/>
        </w:rPr>
        <w:t>K</w:t>
      </w:r>
      <w:r>
        <w:t xml:space="preserve"> and E</w:t>
      </w:r>
      <w:r w:rsidRPr="00BF4A4F">
        <w:rPr>
          <w:vertAlign w:val="subscript"/>
        </w:rPr>
        <w:t>Cl</w:t>
      </w:r>
      <w:r>
        <w:t xml:space="preserve"> are the Nernst potentials for K</w:t>
      </w:r>
      <w:r w:rsidRPr="00BF4A4F">
        <w:rPr>
          <w:vertAlign w:val="superscript"/>
        </w:rPr>
        <w:t>+</w:t>
      </w:r>
      <w:r>
        <w:t xml:space="preserve"> and Cl</w:t>
      </w:r>
      <w:r w:rsidRPr="00BF4A4F">
        <w:rPr>
          <w:vertAlign w:val="superscript"/>
        </w:rPr>
        <w:t>-</w:t>
      </w:r>
      <w:r>
        <w:t xml:space="preserve"> respectively. J</w:t>
      </w:r>
      <w:r w:rsidRPr="00BF4A4F">
        <w:rPr>
          <w:vertAlign w:val="subscript"/>
        </w:rPr>
        <w:t>KCC2</w:t>
      </w:r>
      <w:r>
        <w:t xml:space="preserve"> is 0 when E</w:t>
      </w:r>
      <w:r w:rsidRPr="00BF4A4F">
        <w:rPr>
          <w:vertAlign w:val="subscript"/>
        </w:rPr>
        <w:t>K</w:t>
      </w:r>
      <w:r>
        <w:t>=E</w:t>
      </w:r>
      <w:r w:rsidRPr="00BF4A4F">
        <w:rPr>
          <w:vertAlign w:val="subscript"/>
        </w:rPr>
        <w:t>Cl</w:t>
      </w:r>
      <w:r w:rsidR="00BF4A4F">
        <w:t>. g</w:t>
      </w:r>
      <w:r w:rsidRPr="00BF4A4F">
        <w:rPr>
          <w:vertAlign w:val="subscript"/>
        </w:rPr>
        <w:t>KCC2</w:t>
      </w:r>
      <w:r>
        <w:t xml:space="preserve"> was increased by a fixed constant </w:t>
      </w:r>
      <w:r w:rsidR="00BF4A4F">
        <w:t>per time step in Fig. 3</w:t>
      </w:r>
      <w:r w:rsidR="0064487C">
        <w:t>A and Fig. 6</w:t>
      </w:r>
      <w:r w:rsidR="00BF4A4F">
        <w:t xml:space="preserve">. </w:t>
      </w:r>
      <w:r w:rsidR="0064487C">
        <w:t>Summating the flux mechanisms, e</w:t>
      </w:r>
      <w:r w:rsidR="00BF4A4F">
        <w:t>ach</w:t>
      </w:r>
      <w:r w:rsidR="0064487C">
        <w:t xml:space="preserve"> ion was </w:t>
      </w:r>
      <w:r>
        <w:t>updated as follows:</w:t>
      </w:r>
    </w:p>
    <w:p w:rsidR="00BB3BC5" w:rsidRDefault="00BB3BC5">
      <w:pPr>
        <w:pStyle w:val="Standard"/>
        <w:rPr>
          <w:i/>
          <w:iCs/>
        </w:rPr>
      </w:pPr>
    </w:p>
    <w:p w:rsidR="00BF4A4F" w:rsidRPr="00BF4A4F" w:rsidRDefault="00BF4A4F">
      <w:pPr>
        <w:pStyle w:val="Standard"/>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dI</m:t>
                  </m:r>
                </m:e>
                <m:sub>
                  <m:r>
                    <w:rPr>
                      <w:rFonts w:ascii="Cambria Math" w:hAnsi="Cambria Math"/>
                    </w:rPr>
                    <m:t>Na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Na</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Na</m:t>
                      </m:r>
                    </m:sub>
                  </m:sSub>
                </m:e>
              </m:d>
              <m:r>
                <w:rPr>
                  <w:rFonts w:ascii="Cambria Math" w:hAnsi="Cambria Math"/>
                </w:rPr>
                <m:t>-3</m:t>
              </m:r>
              <m:sSub>
                <m:sSubPr>
                  <m:ctrlPr>
                    <w:rPr>
                      <w:rFonts w:ascii="Cambria Math" w:hAnsi="Cambria Math"/>
                      <w:i/>
                    </w:rPr>
                  </m:ctrlPr>
                </m:sSubPr>
                <m:e>
                  <m:r>
                    <w:rPr>
                      <w:rFonts w:ascii="Cambria Math" w:hAnsi="Cambria Math"/>
                    </w:rPr>
                    <m:t>J</m:t>
                  </m:r>
                </m:e>
                <m:sub>
                  <m:r>
                    <w:rPr>
                      <w:rFonts w:ascii="Cambria Math" w:hAnsi="Cambria Math"/>
                    </w:rPr>
                    <m:t>p</m:t>
                  </m:r>
                </m:sub>
              </m:sSub>
            </m:e>
          </m:d>
        </m:oMath>
      </m:oMathPara>
    </w:p>
    <w:p w:rsidR="00BF4A4F" w:rsidRPr="00BF4A4F" w:rsidRDefault="00BF4A4F">
      <w:pPr>
        <w:pStyle w:val="Standard"/>
        <w:rPr>
          <w:i/>
        </w:rPr>
      </w:pPr>
    </w:p>
    <w:p w:rsidR="00BF4A4F" w:rsidRPr="00BF4A4F" w:rsidRDefault="00BF4A4F" w:rsidP="00BF4A4F">
      <w:pPr>
        <w:pStyle w:val="Standard"/>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dI</m:t>
                  </m:r>
                </m:e>
                <m:sub>
                  <m:r>
                    <w:rPr>
                      <w:rFonts w:ascii="Cambria Math" w:hAnsi="Cambria Math"/>
                    </w:rPr>
                    <m:t>K</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+2</m:t>
              </m:r>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KCC2</m:t>
                  </m:r>
                </m:sub>
              </m:sSub>
            </m:e>
          </m:d>
        </m:oMath>
      </m:oMathPara>
    </w:p>
    <w:p w:rsidR="00BF4A4F" w:rsidRDefault="00BF4A4F" w:rsidP="00BF4A4F">
      <w:pPr>
        <w:pStyle w:val="Standard"/>
        <w:rPr>
          <w:i/>
        </w:rPr>
      </w:pPr>
    </w:p>
    <w:p w:rsidR="00BF4A4F" w:rsidRPr="00BF4A4F" w:rsidRDefault="00BF4A4F" w:rsidP="00BF4A4F">
      <w:pPr>
        <w:pStyle w:val="Standard"/>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dI</m:t>
                  </m:r>
                </m:e>
                <m:sub>
                  <m:r>
                    <w:rPr>
                      <w:rFonts w:ascii="Cambria Math" w:hAnsi="Cambria Math"/>
                    </w:rPr>
                    <m:t>Cl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KCC2</m:t>
                  </m:r>
                </m:sub>
              </m:sSub>
            </m:e>
          </m:d>
          <m:r>
            <w:rPr>
              <w:rFonts w:ascii="Cambria Math" w:hAnsi="Cambria Math"/>
            </w:rPr>
            <m:t>.</m:t>
          </m:r>
        </m:oMath>
      </m:oMathPara>
    </w:p>
    <w:p w:rsidR="00BB3BC5" w:rsidRDefault="00BB3BC5">
      <w:pPr>
        <w:pStyle w:val="Standard"/>
        <w:rPr>
          <w:i/>
          <w:iCs/>
        </w:rPr>
      </w:pPr>
    </w:p>
    <w:p w:rsidR="00BB3BC5" w:rsidRPr="003D0C08" w:rsidRDefault="00B00053">
      <w:pPr>
        <w:pStyle w:val="Standard"/>
        <w:rPr>
          <w:i/>
          <w:iCs/>
        </w:rPr>
      </w:pPr>
      <w:r>
        <w:rPr>
          <w:i/>
          <w:iCs/>
        </w:rPr>
        <w:t xml:space="preserve">Volume. </w:t>
      </w:r>
      <w:r>
        <w:t>Change in compartment volume</w:t>
      </w:r>
      <w:r w:rsidR="003D0C08">
        <w:t>, W,</w:t>
      </w:r>
      <w:r>
        <w:t xml:space="preserve"> was assumed to be instantaneous and calculated by changing the previous volume proportional to the ratio of intracellular to extracellular osmolarity</w:t>
      </w:r>
      <w:r w:rsidR="003D0C08">
        <w:t xml:space="preserve">, </w:t>
      </w:r>
      <m:oMath>
        <m:sSub>
          <m:sSubPr>
            <m:ctrlPr>
              <w:rPr>
                <w:rFonts w:ascii="Cambria Math" w:hAnsi="Cambria Math"/>
                <w:i/>
                <w:iCs/>
              </w:rPr>
            </m:ctrlPr>
          </m:sSubPr>
          <m:e>
            <m:r>
              <w:rPr>
                <w:rFonts w:ascii="Cambria Math" w:hAnsi="Cambria Math"/>
              </w:rPr>
              <m:t>π</m:t>
            </m:r>
          </m:e>
          <m:sub>
            <m:r>
              <w:rPr>
                <w:rFonts w:ascii="Cambria Math" w:hAnsi="Cambria Math"/>
              </w:rPr>
              <m:t>i</m:t>
            </m:r>
          </m:sub>
        </m:sSub>
      </m:oMath>
      <w:r w:rsidR="003D0C08">
        <w:rPr>
          <w:iCs/>
        </w:rPr>
        <w:t xml:space="preserve"> and </w:t>
      </w:r>
      <m:oMath>
        <m:sSub>
          <m:sSubPr>
            <m:ctrlPr>
              <w:rPr>
                <w:rFonts w:ascii="Cambria Math" w:hAnsi="Cambria Math"/>
                <w:i/>
                <w:iCs/>
              </w:rPr>
            </m:ctrlPr>
          </m:sSubPr>
          <m:e>
            <m:r>
              <w:rPr>
                <w:rFonts w:ascii="Cambria Math" w:hAnsi="Cambria Math"/>
              </w:rPr>
              <m:t>π</m:t>
            </m:r>
          </m:e>
          <m:sub>
            <m:r>
              <w:rPr>
                <w:rFonts w:ascii="Cambria Math" w:hAnsi="Cambria Math"/>
              </w:rPr>
              <m:t>e</m:t>
            </m:r>
          </m:sub>
        </m:sSub>
      </m:oMath>
      <w:r w:rsidR="003D0C08">
        <w:rPr>
          <w:iCs/>
        </w:rPr>
        <w:t xml:space="preserve"> respectively</w:t>
      </w:r>
      <w:r>
        <w:t>:</w:t>
      </w:r>
    </w:p>
    <w:p w:rsidR="00BF4A4F" w:rsidRPr="003D0C08" w:rsidRDefault="00BF4A4F">
      <w:pPr>
        <w:pStyle w:val="Standard"/>
        <w:rPr>
          <w:i/>
          <w:iCs/>
        </w:rPr>
      </w:pPr>
      <m:oMathPara>
        <m:oMath>
          <m:r>
            <w:rPr>
              <w:rFonts w:ascii="Cambria Math" w:hAnsi="Cambria Math"/>
            </w:rPr>
            <m:t>W=W</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i</m:t>
                      </m:r>
                    </m:sub>
                  </m:sSub>
                </m:num>
                <m:den>
                  <m:sSub>
                    <m:sSubPr>
                      <m:ctrlPr>
                        <w:rPr>
                          <w:rFonts w:ascii="Cambria Math" w:hAnsi="Cambria Math"/>
                          <w:i/>
                          <w:iCs/>
                        </w:rPr>
                      </m:ctrlPr>
                    </m:sSubPr>
                    <m:e>
                      <m:r>
                        <w:rPr>
                          <w:rFonts w:ascii="Cambria Math" w:hAnsi="Cambria Math"/>
                        </w:rPr>
                        <m:t>π</m:t>
                      </m:r>
                    </m:e>
                    <m:sub>
                      <m:r>
                        <w:rPr>
                          <w:rFonts w:ascii="Cambria Math" w:hAnsi="Cambria Math"/>
                        </w:rPr>
                        <m:t>e</m:t>
                      </m:r>
                    </m:sub>
                  </m:sSub>
                </m:den>
              </m:f>
            </m:e>
          </m:d>
          <m:r>
            <w:rPr>
              <w:rFonts w:ascii="Cambria Math" w:hAnsi="Cambria Math"/>
            </w:rPr>
            <m:t>.</m:t>
          </m:r>
        </m:oMath>
      </m:oMathPara>
    </w:p>
    <w:p w:rsidR="003D0C08" w:rsidRDefault="003D0C08">
      <w:pPr>
        <w:pStyle w:val="Standard"/>
        <w:rPr>
          <w:i/>
          <w:iCs/>
        </w:rPr>
      </w:pPr>
    </w:p>
    <w:p w:rsidR="00BB3BC5" w:rsidRDefault="00B00053">
      <w:pPr>
        <w:pStyle w:val="Standard"/>
        <w:rPr>
          <w:i/>
          <w:iCs/>
        </w:rPr>
      </w:pPr>
      <w:r>
        <w:t>Intracellular ion concentrations were updated again after volume change in each time step. Volume changes were manifested in the cylindrical compartment as change in the length of the compartment such that membrane surface area scales with volume. A</w:t>
      </w:r>
      <w:r w:rsidRPr="003D0C08">
        <w:rPr>
          <w:vertAlign w:val="subscript"/>
        </w:rPr>
        <w:t>m</w:t>
      </w:r>
      <w:r>
        <w:t>, the constant scaling ratio as used in Frase</w:t>
      </w:r>
      <w:r w:rsidR="003D0C08">
        <w:t>r and Huang (2004), was derived based on this assumption, with r the compartment radius and h its height:</w:t>
      </w:r>
    </w:p>
    <w:p w:rsidR="00BB3BC5" w:rsidRDefault="00BB3BC5">
      <w:pPr>
        <w:pStyle w:val="Standard"/>
        <w:rPr>
          <w:i/>
          <w:iCs/>
        </w:rPr>
      </w:pPr>
    </w:p>
    <w:p w:rsidR="003D0C08" w:rsidRPr="003D0C08" w:rsidRDefault="003D0C08">
      <w:pPr>
        <w:pStyle w:val="Standard"/>
        <w:rPr>
          <w:i/>
        </w:rPr>
      </w:pPr>
      <m:oMathPara>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surface area</m:t>
              </m:r>
            </m:num>
            <m:den>
              <m:r>
                <w:rPr>
                  <w:rFonts w:ascii="Cambria Math" w:hAnsi="Cambria Math"/>
                </w:rPr>
                <m:t>volume</m:t>
              </m:r>
            </m:den>
          </m:f>
          <m:r>
            <w:rPr>
              <w:rFonts w:ascii="Cambria Math" w:hAnsi="Cambria Math"/>
            </w:rPr>
            <m:t>≈</m:t>
          </m:r>
          <m:f>
            <m:fPr>
              <m:ctrlPr>
                <w:rPr>
                  <w:rFonts w:ascii="Cambria Math" w:hAnsi="Cambria Math"/>
                  <w:i/>
                </w:rPr>
              </m:ctrlPr>
            </m:fPr>
            <m:num>
              <m:r>
                <w:rPr>
                  <w:rFonts w:ascii="Cambria Math" w:hAnsi="Cambria Math"/>
                </w:rPr>
                <m:t>2πrh</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oMath>
      </m:oMathPara>
    </w:p>
    <w:p w:rsidR="00BB3BC5" w:rsidRDefault="00BB3BC5">
      <w:pPr>
        <w:pStyle w:val="Standard"/>
        <w:rPr>
          <w:i/>
          <w:iCs/>
        </w:rPr>
      </w:pPr>
    </w:p>
    <w:p w:rsidR="00BB3BC5" w:rsidRPr="00C87A7F" w:rsidRDefault="00B00053">
      <w:pPr>
        <w:pStyle w:val="Standard"/>
        <w:rPr>
          <w:i/>
          <w:iCs/>
        </w:rPr>
      </w:pPr>
      <w:r>
        <w:rPr>
          <w:i/>
          <w:iCs/>
        </w:rPr>
        <w:t xml:space="preserve">Anion flux. </w:t>
      </w:r>
      <w:r>
        <w:t xml:space="preserve">Impermeable anions were </w:t>
      </w:r>
      <w:r w:rsidR="0064487C">
        <w:t>manipulated</w:t>
      </w:r>
      <w:r w:rsidR="002A1C12">
        <w:t xml:space="preserve"> in</w:t>
      </w:r>
      <w:r>
        <w:t xml:space="preserve"> the compartment in Fig. 4-6</w:t>
      </w:r>
      <w:r w:rsidR="0064487C">
        <w:t xml:space="preserve"> and Fig. 8</w:t>
      </w:r>
      <w:r>
        <w:t xml:space="preserve"> through </w:t>
      </w:r>
      <w:r w:rsidR="0064487C">
        <w:t>several</w:t>
      </w:r>
      <w:r>
        <w:t xml:space="preserve"> mechanisms.</w:t>
      </w:r>
      <w:r w:rsidR="0064487C">
        <w:t xml:space="preserve"> Anions could be added to the compartment at a constant rate dependent on A</w:t>
      </w:r>
      <w:r w:rsidR="0064487C">
        <w:rPr>
          <w:vertAlign w:val="subscript"/>
        </w:rPr>
        <w:t>m</w:t>
      </w:r>
      <w:r w:rsidR="0064487C">
        <w:t xml:space="preserve"> and have either the same average intracellular A charge z = -0.85 (Fig. 4C, 6B, 8), or a different one, usually -1 (Fig. 5C, D). In these cases, the absolute mols of A in the compartment increased. Alternatively, the charge of a species of intracellular A was slowly changed imitating a charge-</w:t>
      </w:r>
      <w:r w:rsidR="00C87A7F">
        <w:t>carrying</w:t>
      </w:r>
      <w:r w:rsidR="0064487C">
        <w:t xml:space="preserve"> trans-membrane reaction (Fig. 5A</w:t>
      </w:r>
      <w:r w:rsidR="00C87A7F">
        <w:t>, B, 6C). In this case, the absolute mols of intracellular A did not change and it was assumed charge imbalance was mopped up by the extracellular milieu. Finally, extracellular A</w:t>
      </w:r>
      <w:r w:rsidR="00C87A7F">
        <w:rPr>
          <w:vertAlign w:val="superscript"/>
        </w:rPr>
        <w:t>-</w:t>
      </w:r>
      <w:r w:rsidR="00C87A7F">
        <w:t xml:space="preserve"> were manipulated in Fig. 4D by decreasing equivalent mols extracellular Cl</w:t>
      </w:r>
      <w:r w:rsidR="00C87A7F">
        <w:rPr>
          <w:vertAlign w:val="superscript"/>
        </w:rPr>
        <w:t>-</w:t>
      </w:r>
      <w:r w:rsidR="00C87A7F" w:rsidRPr="00C87A7F">
        <w:t xml:space="preserve"> </w:t>
      </w:r>
      <w:r w:rsidR="00C87A7F">
        <w:t>for the increase in extracellular A</w:t>
      </w:r>
      <w:r w:rsidR="00C87A7F">
        <w:rPr>
          <w:vertAlign w:val="superscript"/>
        </w:rPr>
        <w:t>-</w:t>
      </w:r>
      <w:r w:rsidR="00C87A7F">
        <w:t>, thus maintaining osmolarity and electroneutrality in the extracellular space.</w:t>
      </w:r>
    </w:p>
    <w:p w:rsidR="00BB3BC5" w:rsidRDefault="00BB3BC5">
      <w:pPr>
        <w:pStyle w:val="Standard"/>
        <w:rPr>
          <w:i/>
          <w:iCs/>
        </w:rPr>
      </w:pPr>
    </w:p>
    <w:p w:rsidR="00BB3BC5" w:rsidRDefault="00B00053">
      <w:pPr>
        <w:pStyle w:val="Standard"/>
        <w:rPr>
          <w:i/>
          <w:iCs/>
        </w:rPr>
      </w:pPr>
      <w:r>
        <w:rPr>
          <w:i/>
          <w:iCs/>
        </w:rPr>
        <w:t xml:space="preserve">Multi-compartment model. </w:t>
      </w:r>
      <w:r>
        <w:t xml:space="preserve">The single compartment dendrite model was incorporated in a multi-compartment model by allowing electrodiffusion to occur between </w:t>
      </w:r>
      <w:r w:rsidR="00C87A7F">
        <w:t xml:space="preserve">individual </w:t>
      </w:r>
      <w:r>
        <w:t xml:space="preserve">compartments operating as </w:t>
      </w:r>
      <w:r w:rsidR="00C87A7F">
        <w:t>described above</w:t>
      </w:r>
      <w:r>
        <w:t xml:space="preserve">. </w:t>
      </w:r>
      <w:r w:rsidR="00C87A7F">
        <w:t>Compartments were initialised with</w:t>
      </w:r>
      <w:r>
        <w:t xml:space="preserve"> a radius of 0.5 μ</w:t>
      </w:r>
      <w:r w:rsidR="00C87A7F">
        <w:t>m and</w:t>
      </w:r>
      <w:r>
        <w:t xml:space="preserve"> length of 10 μm except in the case of the gr</w:t>
      </w:r>
      <w:r w:rsidR="00C87A7F">
        <w:t>owth cone in Fig. 8 (length of 6</w:t>
      </w:r>
      <w:r>
        <w:t xml:space="preserve"> μm). Compartments were linked linearly without branching; a total length of 10 connected compartments was used in Fig. 6-7. The time step dt was decreased to 1e-3 ms for all simulations using multiple compartment</w:t>
      </w:r>
      <w:r w:rsidR="00C87A7F">
        <w:t>s</w:t>
      </w:r>
      <w:r>
        <w:t>. Code was written in Python 3.</w:t>
      </w:r>
    </w:p>
    <w:p w:rsidR="00BB3BC5" w:rsidRDefault="00BB3BC5">
      <w:pPr>
        <w:pStyle w:val="Standard"/>
        <w:rPr>
          <w:i/>
          <w:iCs/>
        </w:rPr>
      </w:pPr>
    </w:p>
    <w:p w:rsidR="00BB3BC5" w:rsidRDefault="00B00053">
      <w:pPr>
        <w:pStyle w:val="Standard"/>
        <w:rPr>
          <w:i/>
          <w:iCs/>
        </w:rPr>
      </w:pPr>
      <w:r>
        <w:rPr>
          <w:i/>
          <w:iCs/>
        </w:rPr>
        <w:t xml:space="preserve">Electrodiffusion. </w:t>
      </w:r>
      <w:r>
        <w:t>The Nernst-Planck equation (NPE) was used to model</w:t>
      </w:r>
      <w:r w:rsidR="00C10840">
        <w:t xml:space="preserve"> one-dimensional</w:t>
      </w:r>
      <w:r>
        <w:t xml:space="preserve"> electrodiffusion</w:t>
      </w:r>
      <w:r w:rsidR="0082716E">
        <w:t>,</w:t>
      </w:r>
      <w:r>
        <w:t xml:space="preserve"> based on Qian and Sejnowski (1989). The NPE incorporates fluxes because of diffusion and drift, the latter being important for calculating the influence of changes in charge on ionic concentrations. It has been shown to be more accurate than using J</w:t>
      </w:r>
      <w:r w:rsidRPr="00C87A7F">
        <w:rPr>
          <w:vertAlign w:val="subscript"/>
        </w:rPr>
        <w:t>diffusion</w:t>
      </w:r>
      <w:r>
        <w:t xml:space="preserve"> alone in small structures like dendrites (Qian and Sejnowski, 1989). </w:t>
      </w:r>
      <w:r w:rsidR="002C68CE">
        <w:t>The NPE for J the flux density of ion C is calculated</w:t>
      </w:r>
      <w:r>
        <w:t>:</w:t>
      </w:r>
    </w:p>
    <w:p w:rsidR="00BB3BC5" w:rsidRDefault="00BB3BC5">
      <w:pPr>
        <w:pStyle w:val="Standard"/>
        <w:rPr>
          <w:i/>
          <w:iCs/>
        </w:rPr>
      </w:pPr>
    </w:p>
    <w:p w:rsidR="00BB3BC5" w:rsidRPr="002A1C12" w:rsidRDefault="00E34F42">
      <w:pPr>
        <w:pStyle w:val="Standard"/>
        <w:rPr>
          <w:i/>
        </w:rPr>
      </w:pPr>
      <m:oMathPara>
        <m:oMath>
          <m:r>
            <w:rPr>
              <w:rFonts w:ascii="Cambria Math" w:hAnsi="Cambria Math"/>
            </w:rPr>
            <w:lastRenderedPageBreak/>
            <m:t>J=-</m:t>
          </m:r>
          <m:r>
            <w:rPr>
              <w:rFonts w:ascii="Cambria Math" w:hAnsi="Cambria Math"/>
            </w:rPr>
            <m:t>D</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F</m:t>
                  </m:r>
                </m:e>
                <m:sup>
                  <m:r>
                    <w:rPr>
                      <w:rFonts w:ascii="Cambria Math" w:hAnsi="Cambria Math"/>
                    </w:rPr>
                    <m:t>2</m:t>
                  </m:r>
                </m:sup>
              </m:sSup>
            </m:num>
            <m:den>
              <m:r>
                <w:rPr>
                  <w:rFonts w:ascii="Cambria Math" w:hAnsi="Cambria Math"/>
                </w:rPr>
                <m:t>RT</m:t>
              </m:r>
            </m:den>
          </m:f>
          <m:d>
            <m:dPr>
              <m:begChr m:val="["/>
              <m:endChr m:val="]"/>
              <m:ctrlPr>
                <w:rPr>
                  <w:rFonts w:ascii="Cambria Math" w:hAnsi="Cambria Math"/>
                  <w:i/>
                </w:rPr>
              </m:ctrlPr>
            </m:dPr>
            <m:e>
              <m:r>
                <w:rPr>
                  <w:rFonts w:ascii="Cambria Math" w:hAnsi="Cambria Math"/>
                </w:rPr>
                <m:t>C</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dx</m:t>
              </m:r>
            </m:den>
          </m:f>
          <m:r>
            <w:rPr>
              <w:rFonts w:ascii="Cambria Math" w:hAnsi="Cambria Math"/>
            </w:rPr>
            <m:t>-DF</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C</m:t>
                  </m:r>
                </m:e>
              </m:d>
            </m:num>
            <m:den>
              <m:r>
                <w:rPr>
                  <w:rFonts w:ascii="Cambria Math" w:hAnsi="Cambria Math"/>
                </w:rPr>
                <m:t>dx</m:t>
              </m:r>
            </m:den>
          </m:f>
          <m:r>
            <w:rPr>
              <w:rFonts w:ascii="Cambria Math" w:hAnsi="Cambria Math"/>
            </w:rPr>
            <m:t>,</m:t>
          </m:r>
        </m:oMath>
      </m:oMathPara>
    </w:p>
    <w:p w:rsidR="002A1C12" w:rsidRDefault="002A1C12">
      <w:pPr>
        <w:pStyle w:val="Standard"/>
        <w:rPr>
          <w:i/>
          <w:iCs/>
        </w:rPr>
      </w:pPr>
    </w:p>
    <w:p w:rsidR="00BB3BC5" w:rsidRPr="00C10840" w:rsidRDefault="00B00053">
      <w:pPr>
        <w:pStyle w:val="Standard"/>
        <w:rPr>
          <w:iCs/>
          <w:sz w:val="22"/>
        </w:rPr>
      </w:pPr>
      <w:r>
        <w:t>where D is the diffusion constant of ion C (Table 1)</w:t>
      </w:r>
      <w:r w:rsidR="002A1C12">
        <w:t>, z is its charge,</w:t>
      </w:r>
      <w:r>
        <w:t xml:space="preserve"> [C] is its concentration</w:t>
      </w:r>
      <w:r w:rsidR="002A1C12">
        <w:t xml:space="preserve"> and x is the distance along the longitudinal axis over which electrodiffusion occurs</w:t>
      </w:r>
      <w:r>
        <w:t>. The NPE was implemented</w:t>
      </w:r>
      <w:r w:rsidR="002C68CE">
        <w:t xml:space="preserve"> between compartments i and i+1, assuming the i</w:t>
      </w:r>
      <w:r w:rsidR="002C68CE">
        <w:sym w:font="Wingdings" w:char="F0E0"/>
      </w:r>
      <w:r w:rsidR="002C68CE">
        <w:t>i+1 direction is positive,</w:t>
      </w:r>
      <w:r>
        <w:t xml:space="preserve"> using a forward Euler a</w:t>
      </w:r>
      <w:r w:rsidR="002C68CE">
        <w:t>pproach</w:t>
      </w:r>
      <w:r w:rsidR="00C10840">
        <w:t xml:space="preserve">. The midpoints of the compartments were used to calculate dx, i.e. </w:t>
      </w:r>
      <m:oMath>
        <m:r>
          <w:rPr>
            <w:rFonts w:ascii="Cambria Math" w:hAnsi="Cambria Math"/>
          </w:rPr>
          <m:t>dx=</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num>
          <m:den>
            <m:r>
              <w:rPr>
                <w:rFonts w:ascii="Cambria Math" w:hAnsi="Cambria Math"/>
              </w:rPr>
              <m:t>2</m:t>
            </m:r>
          </m:den>
        </m:f>
      </m:oMath>
      <w:r w:rsidR="00C10840">
        <w:t>, and the concentrations of C in each compartment were averaged to obta</w:t>
      </w:r>
      <w:r>
        <w:t>in</w:t>
      </w:r>
      <w:r w:rsidR="00C10840">
        <w:t xml:space="preserve"> J</w:t>
      </w:r>
      <w:r w:rsidR="00C10840" w:rsidRPr="00C10840">
        <w:rPr>
          <w:vertAlign w:val="subscript"/>
        </w:rPr>
        <w:t>drift</w:t>
      </w:r>
      <w:r w:rsidR="00C10840">
        <w:t>, ensuring that J</w:t>
      </w:r>
      <w:r w:rsidR="00C10840">
        <w:rPr>
          <w:vertAlign w:val="subscript"/>
        </w:rPr>
        <w:t>i</w:t>
      </w:r>
      <w:r w:rsidR="00C10840" w:rsidRPr="00C10840">
        <w:rPr>
          <w:vertAlign w:val="subscript"/>
        </w:rPr>
        <w:sym w:font="Wingdings" w:char="F0E0"/>
      </w:r>
      <w:r w:rsidR="00C10840">
        <w:rPr>
          <w:vertAlign w:val="subscript"/>
        </w:rPr>
        <w:t>i+1</w:t>
      </w:r>
      <w:r w:rsidR="00C10840">
        <w:t xml:space="preserve"> = J</w:t>
      </w:r>
      <w:r w:rsidR="00C10840">
        <w:rPr>
          <w:sz w:val="22"/>
          <w:vertAlign w:val="subscript"/>
        </w:rPr>
        <w:t>i+1</w:t>
      </w:r>
      <w:r w:rsidR="00C10840" w:rsidRPr="00C10840">
        <w:rPr>
          <w:sz w:val="22"/>
          <w:vertAlign w:val="subscript"/>
        </w:rPr>
        <w:sym w:font="Wingdings" w:char="F0E0"/>
      </w:r>
      <w:r w:rsidR="00C10840">
        <w:rPr>
          <w:sz w:val="22"/>
          <w:vertAlign w:val="subscript"/>
        </w:rPr>
        <w:t>i</w:t>
      </w:r>
      <w:r w:rsidR="00C10840">
        <w:rPr>
          <w:sz w:val="22"/>
        </w:rPr>
        <w:t>, wh</w:t>
      </w:r>
      <w:r>
        <w:rPr>
          <w:sz w:val="22"/>
        </w:rPr>
        <w:t>ere the fluxes are in units of mols/(s dm</w:t>
      </w:r>
      <w:r>
        <w:rPr>
          <w:sz w:val="22"/>
          <w:vertAlign w:val="superscript"/>
        </w:rPr>
        <w:t>2</w:t>
      </w:r>
      <w:r>
        <w:rPr>
          <w:sz w:val="22"/>
        </w:rPr>
        <w:t>):</w:t>
      </w:r>
    </w:p>
    <w:p w:rsidR="00BB3BC5" w:rsidRDefault="00BB3BC5">
      <w:pPr>
        <w:pStyle w:val="Standard"/>
        <w:rPr>
          <w:i/>
          <w:iCs/>
        </w:rPr>
      </w:pPr>
    </w:p>
    <w:p w:rsidR="00BB3BC5" w:rsidRDefault="002C68CE">
      <w:pPr>
        <w:pStyle w:val="Standard"/>
      </w:pPr>
      <m:oMathPara>
        <m:oMath>
          <m:sSub>
            <m:sSubPr>
              <m:ctrlPr>
                <w:rPr>
                  <w:rFonts w:ascii="Cambria Math" w:hAnsi="Cambria Math"/>
                  <w:i/>
                </w:rPr>
              </m:ctrlPr>
            </m:sSubPr>
            <m:e>
              <m:r>
                <w:rPr>
                  <w:rFonts w:ascii="Cambria Math" w:hAnsi="Cambria Math"/>
                </w:rPr>
                <m:t>J</m:t>
              </m:r>
            </m:e>
            <m:sub>
              <m:r>
                <w:rPr>
                  <w:rFonts w:ascii="Cambria Math" w:hAnsi="Cambria Math"/>
                </w:rPr>
                <m:t>i→i+1</m:t>
              </m:r>
            </m:sub>
          </m:sSub>
          <m:r>
            <w:rPr>
              <w:rFonts w:ascii="Cambria Math" w:hAnsi="Cambria Math"/>
            </w:rPr>
            <m:t xml:space="preserve">=-D </m:t>
          </m:r>
          <m:d>
            <m:dPr>
              <m:ctrlPr>
                <w:rPr>
                  <w:rFonts w:ascii="Cambria Math" w:hAnsi="Cambria Math"/>
                  <w:i/>
                </w:rPr>
              </m:ctrlPr>
            </m:dPr>
            <m:e>
              <m:f>
                <m:fPr>
                  <m:ctrlPr>
                    <w:rPr>
                      <w:rFonts w:ascii="Cambria Math" w:hAnsi="Cambria Math"/>
                      <w:i/>
                    </w:rPr>
                  </m:ctrlPr>
                </m:fPr>
                <m:num>
                  <m:r>
                    <w:rPr>
                      <w:rFonts w:ascii="Cambria Math" w:hAnsi="Cambria Math"/>
                    </w:rPr>
                    <m:t>zF</m:t>
                  </m:r>
                </m:num>
                <m:den>
                  <m:r>
                    <w:rPr>
                      <w:rFonts w:ascii="Cambria Math" w:hAnsi="Cambria Math"/>
                    </w:rPr>
                    <m:t>RT</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2</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d[C]</m:t>
                  </m:r>
                </m:num>
                <m:den>
                  <m:r>
                    <w:rPr>
                      <w:rFonts w:ascii="Cambria Math" w:hAnsi="Cambria Math"/>
                    </w:rPr>
                    <m:t>dx</m:t>
                  </m:r>
                </m:den>
              </m:f>
            </m:e>
          </m:d>
          <m:r>
            <w:rPr>
              <w:rFonts w:ascii="Cambria Math" w:hAnsi="Cambria Math"/>
            </w:rPr>
            <m:t>.</m:t>
          </m:r>
        </m:oMath>
      </m:oMathPara>
    </w:p>
    <w:p w:rsidR="002C68CE" w:rsidRDefault="002C68CE">
      <w:pPr>
        <w:pStyle w:val="Standard"/>
        <w:rPr>
          <w:i/>
          <w:iCs/>
        </w:rPr>
      </w:pPr>
    </w:p>
    <w:p w:rsidR="00BB3BC5" w:rsidRDefault="00B00053">
      <w:pPr>
        <w:pStyle w:val="Standard"/>
      </w:pPr>
      <w:r>
        <w:t xml:space="preserve">The flux was multiplied by the surface area between compartments and then divided by compartment volume to determine the flux in terms of molar concentration (M/s), i.e. </w:t>
      </w:r>
      <m:oMath>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oMath>
      <w:r w:rsidR="0082716E">
        <w:t xml:space="preserve"> and finally</w:t>
      </w:r>
      <w:r>
        <w:t xml:space="preserve"> implemented numerically</w:t>
      </w:r>
      <w:r w:rsidR="0082716E">
        <w:t xml:space="preserve"> with a forward Euler approach</w:t>
      </w:r>
      <w:r>
        <w:t>. The implementation mirrors that in Qian and Sejnowski (1989) for non-branching dendrites, but has been adjusted for compar</w:t>
      </w:r>
      <w:r w:rsidR="0082716E">
        <w:t>tments whose volumes can change:</w:t>
      </w:r>
    </w:p>
    <w:p w:rsidR="00B00053" w:rsidRDefault="00B00053">
      <w:pPr>
        <w:pStyle w:val="Standard"/>
      </w:pPr>
    </w:p>
    <w:p w:rsidR="00B00053" w:rsidRDefault="00B00053" w:rsidP="00B00053">
      <w:pPr>
        <w:pStyle w:val="Standard"/>
      </w:pPr>
      <m:oMathPara>
        <m:oMath>
          <m:sSub>
            <m:sSubPr>
              <m:ctrlPr>
                <w:rPr>
                  <w:rFonts w:ascii="Cambria Math" w:hAnsi="Cambria Math"/>
                  <w:i/>
                </w:rPr>
              </m:ctrlPr>
            </m:sSubPr>
            <m:e>
              <m:r>
                <w:rPr>
                  <w:rFonts w:ascii="Cambria Math" w:hAnsi="Cambria Math"/>
                </w:rPr>
                <m:t>C</m:t>
              </m:r>
            </m:e>
            <m:sub>
              <m:r>
                <w:rPr>
                  <w:rFonts w:ascii="Cambria Math" w:hAnsi="Cambria Math"/>
                </w:rPr>
                <m:t>i→i+1</m:t>
              </m:r>
            </m:sub>
          </m:sSub>
          <m:r>
            <w:rPr>
              <w:rFonts w:ascii="Cambria Math" w:hAnsi="Cambria Math"/>
            </w:rPr>
            <m:t>=-</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D </m:t>
          </m:r>
          <m:d>
            <m:dPr>
              <m:ctrlPr>
                <w:rPr>
                  <w:rFonts w:ascii="Cambria Math" w:hAnsi="Cambria Math"/>
                  <w:i/>
                </w:rPr>
              </m:ctrlPr>
            </m:dPr>
            <m:e>
              <m:f>
                <m:fPr>
                  <m:ctrlPr>
                    <w:rPr>
                      <w:rFonts w:ascii="Cambria Math" w:hAnsi="Cambria Math"/>
                      <w:i/>
                    </w:rPr>
                  </m:ctrlPr>
                </m:fPr>
                <m:num>
                  <m:r>
                    <w:rPr>
                      <w:rFonts w:ascii="Cambria Math" w:hAnsi="Cambria Math"/>
                    </w:rPr>
                    <m:t>zF</m:t>
                  </m:r>
                </m:num>
                <m:den>
                  <m:r>
                    <w:rPr>
                      <w:rFonts w:ascii="Cambria Math" w:hAnsi="Cambria Math"/>
                    </w:rPr>
                    <m:t>RT</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rPr>
                                <m:t>+1</m:t>
                              </m:r>
                            </m:sub>
                          </m:sSub>
                        </m:sub>
                      </m:sSub>
                    </m:e>
                  </m:d>
                </m:num>
                <m:den>
                  <m:r>
                    <w:rPr>
                      <w:rFonts w:ascii="Cambria Math" w:hAnsi="Cambria Math"/>
                    </w:rPr>
                    <m:t>dx</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dx</m:t>
                  </m:r>
                </m:den>
              </m:f>
            </m:e>
          </m:d>
          <m:r>
            <w:rPr>
              <w:rFonts w:ascii="Cambria Math" w:hAnsi="Cambria Math"/>
            </w:rPr>
            <m:t>.</m:t>
          </m:r>
        </m:oMath>
      </m:oMathPara>
    </w:p>
    <w:p w:rsidR="00B00053" w:rsidRDefault="00B00053">
      <w:pPr>
        <w:pStyle w:val="Standard"/>
      </w:pPr>
    </w:p>
    <w:p w:rsidR="00C87A7F" w:rsidRDefault="00C87A7F">
      <w:pPr>
        <w:pStyle w:val="Standard"/>
      </w:pPr>
    </w:p>
    <w:p w:rsidR="00C87A7F" w:rsidRPr="00C87A7F" w:rsidRDefault="00C87A7F">
      <w:pPr>
        <w:pStyle w:val="Standard"/>
        <w:rPr>
          <w:iCs/>
        </w:rPr>
      </w:pPr>
      <w:r>
        <w:rPr>
          <w:i/>
          <w:iCs/>
        </w:rPr>
        <w:t>Systematic review of KCC2-Cl</w:t>
      </w:r>
      <w:r>
        <w:rPr>
          <w:i/>
          <w:iCs/>
          <w:vertAlign w:val="superscript"/>
        </w:rPr>
        <w:t>-</w:t>
      </w:r>
      <w:r>
        <w:rPr>
          <w:i/>
          <w:iCs/>
        </w:rPr>
        <w:t xml:space="preserve"> literature. </w:t>
      </w:r>
      <w:r>
        <w:rPr>
          <w:iCs/>
        </w:rPr>
        <w:t>*** Fig. 3C…</w:t>
      </w:r>
    </w:p>
    <w:p w:rsidR="00BB3BC5" w:rsidRDefault="00BB3BC5">
      <w:pPr>
        <w:pStyle w:val="Standard"/>
        <w:rPr>
          <w:i/>
          <w:iCs/>
        </w:rPr>
      </w:pPr>
    </w:p>
    <w:tbl>
      <w:tblPr>
        <w:tblW w:w="9972" w:type="dxa"/>
        <w:tblLayout w:type="fixed"/>
        <w:tblCellMar>
          <w:left w:w="10" w:type="dxa"/>
          <w:right w:w="10" w:type="dxa"/>
        </w:tblCellMar>
        <w:tblLook w:val="04A0" w:firstRow="1" w:lastRow="0" w:firstColumn="1" w:lastColumn="0" w:noHBand="0" w:noVBand="1"/>
      </w:tblPr>
      <w:tblGrid>
        <w:gridCol w:w="3324"/>
        <w:gridCol w:w="3324"/>
        <w:gridCol w:w="3324"/>
      </w:tblGrid>
      <w:tr w:rsidR="00BB3BC5">
        <w:tblPrEx>
          <w:tblCellMar>
            <w:top w:w="0" w:type="dxa"/>
            <w:bottom w:w="0" w:type="dxa"/>
          </w:tblCellMar>
        </w:tblPrEx>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B3BC5" w:rsidRDefault="00BB3BC5">
            <w:pPr>
              <w:pStyle w:val="TableContents"/>
            </w:pP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Value</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Description</w:t>
            </w:r>
          </w:p>
        </w:tc>
      </w:tr>
      <w:tr w:rsidR="00BB3BC5">
        <w:tblPrEx>
          <w:tblCellMar>
            <w:top w:w="0" w:type="dxa"/>
            <w:bottom w:w="0" w:type="dxa"/>
          </w:tblCellMar>
        </w:tblPrEx>
        <w:tc>
          <w:tcPr>
            <w:tcW w:w="997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Constants</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F</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96485.33 C/mol</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Faraday’s constant</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R</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8.31446 C/V</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Universal gas constant</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T</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298.15 K</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Absolute temperature</w:t>
            </w:r>
          </w:p>
        </w:tc>
      </w:tr>
      <w:tr w:rsidR="00BB3BC5">
        <w:tblPrEx>
          <w:tblCellMar>
            <w:top w:w="0" w:type="dxa"/>
            <w:bottom w:w="0" w:type="dxa"/>
          </w:tblCellMar>
        </w:tblPrEx>
        <w:tc>
          <w:tcPr>
            <w:tcW w:w="997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Parameters</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C</w:t>
            </w:r>
            <w:r w:rsidRPr="003D0C08">
              <w:rPr>
                <w:vertAlign w:val="subscript"/>
              </w:rPr>
              <w:t>m</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2A1C12">
            <w:pPr>
              <w:pStyle w:val="TableContents"/>
            </w:pPr>
            <w:r>
              <w:t>2</w:t>
            </w:r>
            <m:oMath>
              <m:r>
                <w:rPr>
                  <w:rFonts w:ascii="Cambria Math" w:hAnsi="Cambria Math"/>
                </w:rPr>
                <m:t xml:space="preserve"> ×</m:t>
              </m:r>
            </m:oMath>
            <w:r>
              <w:t xml:space="preserve"> 10</w:t>
            </w:r>
            <w:r>
              <w:rPr>
                <w:vertAlign w:val="superscript"/>
              </w:rPr>
              <w:t>-4</w:t>
            </w:r>
            <w:r w:rsidR="00B00053">
              <w:t xml:space="preserve"> F/dm</w:t>
            </w:r>
            <w:r w:rsidR="00B00053" w:rsidRPr="003D0C08">
              <w:rPr>
                <w:vertAlign w:val="superscript"/>
              </w:rPr>
              <w:t>2</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Membrane capacitance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g</w:t>
            </w:r>
            <w:r w:rsidR="00B00053" w:rsidRPr="003D0C08">
              <w:rPr>
                <w:vertAlign w:val="subscript"/>
              </w:rPr>
              <w:t>Na</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 xml:space="preserve">5 </w:t>
            </w:r>
            <w:bookmarkStart w:id="1" w:name="__DdeLink__0_615908872"/>
            <w:r>
              <w:t>nS/dm</w:t>
            </w:r>
            <w:r w:rsidRPr="003D0C08">
              <w:rPr>
                <w:vertAlign w:val="superscript"/>
              </w:rPr>
              <w:t>2</w:t>
            </w:r>
            <w:bookmarkEnd w:id="1"/>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Na</w:t>
            </w:r>
            <w:r w:rsidRPr="003D0C08">
              <w:rPr>
                <w:vertAlign w:val="superscript"/>
              </w:rPr>
              <w:t>+</w:t>
            </w:r>
            <w:r>
              <w:t xml:space="preserve"> leak conductance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g</w:t>
            </w:r>
            <w:r w:rsidR="00B00053" w:rsidRPr="003D0C08">
              <w:rPr>
                <w:vertAlign w:val="subscript"/>
              </w:rPr>
              <w:t>K</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50 nS/dm</w:t>
            </w:r>
            <w:r w:rsidRPr="003D0C08">
              <w:rPr>
                <w:vertAlign w:val="superscript"/>
              </w:rPr>
              <w:t>2</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K</w:t>
            </w:r>
            <w:r w:rsidRPr="003D0C08">
              <w:rPr>
                <w:vertAlign w:val="superscript"/>
              </w:rPr>
              <w:t>+</w:t>
            </w:r>
            <w:r>
              <w:t xml:space="preserve"> leak conductance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g</w:t>
            </w:r>
            <w:r w:rsidR="00B00053" w:rsidRPr="003D0C08">
              <w:rPr>
                <w:vertAlign w:val="subscript"/>
              </w:rPr>
              <w:t>Cl</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10 nS/dm</w:t>
            </w:r>
            <w:r w:rsidRPr="003D0C08">
              <w:rPr>
                <w:vertAlign w:val="superscript"/>
              </w:rPr>
              <w:t>2</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Cl</w:t>
            </w:r>
            <w:r w:rsidRPr="003D0C08">
              <w:rPr>
                <w:vertAlign w:val="superscript"/>
              </w:rPr>
              <w:t>-</w:t>
            </w:r>
            <w:r>
              <w:t xml:space="preserve"> leak conductance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g</w:t>
            </w:r>
            <w:r w:rsidR="00B00053" w:rsidRPr="003D0C08">
              <w:rPr>
                <w:vertAlign w:val="subscript"/>
              </w:rPr>
              <w:t>KCC2</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10 nS/dm</w:t>
            </w:r>
            <w:r w:rsidRPr="003D0C08">
              <w:rPr>
                <w:vertAlign w:val="superscript"/>
              </w:rPr>
              <w:t>2</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KCC2 conductance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r</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 xml:space="preserve">0.5 </w:t>
            </w:r>
            <w:bookmarkStart w:id="2" w:name="__DdeLink__4_615908872"/>
            <w:r>
              <w:t>μm</w:t>
            </w:r>
            <w:bookmarkEnd w:id="2"/>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Radius</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A</w:t>
            </w:r>
            <w:r w:rsidRPr="003D0C08">
              <w:rPr>
                <w:vertAlign w:val="subscript"/>
              </w:rPr>
              <w:t>m</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4 μm</w:t>
            </w:r>
            <w:r w:rsidRPr="003D0C08">
              <w:rPr>
                <w:vertAlign w:val="superscript"/>
              </w:rPr>
              <w:t>-1</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Membrane scaling constant</w:t>
            </w:r>
          </w:p>
        </w:tc>
      </w:tr>
      <w:tr w:rsidR="00BB3BC5">
        <w:tblPrEx>
          <w:tblCellMar>
            <w:top w:w="0" w:type="dxa"/>
            <w:bottom w:w="0" w:type="dxa"/>
          </w:tblCellMar>
        </w:tblPrEx>
        <w:trPr>
          <w:trHeight w:val="450"/>
        </w:trPr>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P</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2A1C12">
            <w:pPr>
              <w:pStyle w:val="Standard"/>
            </w:pPr>
            <w:r>
              <w:t>10</w:t>
            </w:r>
            <w:r w:rsidR="00B00053" w:rsidRPr="002A1C12">
              <w:rPr>
                <w:vertAlign w:val="superscript"/>
              </w:rPr>
              <w:t>-2.432631</w:t>
            </w:r>
            <w:r w:rsidR="00B00053">
              <w:t xml:space="preserve"> / F</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Default pump rate constant</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[Na</w:t>
            </w:r>
            <w:r w:rsidRPr="003D0C08">
              <w:rPr>
                <w:vertAlign w:val="superscript"/>
              </w:rPr>
              <w:t>+</w:t>
            </w:r>
            <w:r>
              <w:t>]</w:t>
            </w:r>
            <w:r w:rsidRPr="003D0C08">
              <w:rPr>
                <w:vertAlign w:val="subscript"/>
              </w:rPr>
              <w:t>e</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145 mM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Extracellular Na</w:t>
            </w:r>
            <w:r w:rsidRPr="003D0C08">
              <w:rPr>
                <w:vertAlign w:val="superscript"/>
              </w:rPr>
              <w:t>+</w:t>
            </w:r>
            <w:r>
              <w:t xml:space="preserve"> concentration</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lastRenderedPageBreak/>
              <w:t>[K</w:t>
            </w:r>
            <w:r w:rsidRPr="003D0C08">
              <w:rPr>
                <w:vertAlign w:val="superscript"/>
              </w:rPr>
              <w:t>+</w:t>
            </w:r>
            <w:r>
              <w:t>]</w:t>
            </w:r>
            <w:r w:rsidRPr="003D0C08">
              <w:rPr>
                <w:vertAlign w:val="subscript"/>
              </w:rPr>
              <w:t>e</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3.5 mM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Extracellular K</w:t>
            </w:r>
            <w:r w:rsidRPr="003D0C08">
              <w:rPr>
                <w:vertAlign w:val="superscript"/>
              </w:rPr>
              <w:t>+</w:t>
            </w:r>
            <w:r>
              <w:t xml:space="preserve"> concentration</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[Cl</w:t>
            </w:r>
            <w:r w:rsidRPr="003D0C08">
              <w:rPr>
                <w:vertAlign w:val="superscript"/>
              </w:rPr>
              <w:t>-</w:t>
            </w:r>
            <w:r>
              <w:t>]</w:t>
            </w:r>
            <w:r w:rsidRPr="003D0C08">
              <w:rPr>
                <w:vertAlign w:val="subscript"/>
              </w:rPr>
              <w:t>e</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119 mM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Extracellular Cl</w:t>
            </w:r>
            <w:r w:rsidRPr="003D0C08">
              <w:rPr>
                <w:vertAlign w:val="superscript"/>
              </w:rPr>
              <w:t>-</w:t>
            </w:r>
            <w:r>
              <w:t xml:space="preserve"> concentration</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[A</w:t>
            </w:r>
            <w:r w:rsidRPr="003D0C08">
              <w:rPr>
                <w:vertAlign w:val="superscript"/>
              </w:rPr>
              <w:t>-</w:t>
            </w:r>
            <w:r>
              <w:t>]</w:t>
            </w:r>
            <w:r w:rsidRPr="003D0C08">
              <w:rPr>
                <w:vertAlign w:val="subscript"/>
              </w:rPr>
              <w:t>e</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28.5 mM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Extracellular A</w:t>
            </w:r>
            <w:r w:rsidRPr="003D0C08">
              <w:rPr>
                <w:vertAlign w:val="superscript"/>
              </w:rPr>
              <w:t>-</w:t>
            </w:r>
            <w:r>
              <w:t xml:space="preserve"> concentration</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D</w:t>
            </w:r>
            <w:r w:rsidRPr="003D0C08">
              <w:rPr>
                <w:vertAlign w:val="subscript"/>
              </w:rPr>
              <w:t>Na</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 xml:space="preserve">1.33 </w:t>
            </w:r>
            <m:oMath>
              <m:r>
                <w:rPr>
                  <w:rFonts w:ascii="Cambria Math" w:hAnsi="Cambria Math"/>
                </w:rPr>
                <m:t>×</m:t>
              </m:r>
            </m:oMath>
            <w:r w:rsidR="00B00053">
              <w:t xml:space="preserve"> 10</w:t>
            </w:r>
            <w:r w:rsidR="00B00053" w:rsidRPr="002A1C12">
              <w:rPr>
                <w:vertAlign w:val="superscript"/>
              </w:rPr>
              <w:t>-7</w:t>
            </w:r>
            <w:r w:rsidR="00B00053">
              <w:t xml:space="preserve"> </w:t>
            </w:r>
            <w:r>
              <w:t>dm</w:t>
            </w:r>
            <w:r w:rsidRPr="003D0C08">
              <w:rPr>
                <w:vertAlign w:val="superscript"/>
              </w:rPr>
              <w:t>2</w:t>
            </w:r>
            <w:r w:rsidR="00B00053">
              <w:t>/s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Na</w:t>
            </w:r>
            <w:r w:rsidRPr="003D0C08">
              <w:rPr>
                <w:vertAlign w:val="superscript"/>
              </w:rPr>
              <w:t>+</w:t>
            </w:r>
            <w:r>
              <w:t xml:space="preserve"> diffusion constant</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D</w:t>
            </w:r>
            <w:r w:rsidRPr="003D0C08">
              <w:rPr>
                <w:vertAlign w:val="subscript"/>
              </w:rPr>
              <w:t>K</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 xml:space="preserve">1.96 </w:t>
            </w:r>
            <m:oMath>
              <m:r>
                <w:rPr>
                  <w:rFonts w:ascii="Cambria Math" w:hAnsi="Cambria Math"/>
                </w:rPr>
                <m:t>×</m:t>
              </m:r>
            </m:oMath>
            <w:r>
              <w:t xml:space="preserve"> </w:t>
            </w:r>
            <w:r w:rsidR="00B00053">
              <w:t xml:space="preserve"> 10</w:t>
            </w:r>
            <w:r w:rsidR="00B00053" w:rsidRPr="002A1C12">
              <w:rPr>
                <w:vertAlign w:val="superscript"/>
              </w:rPr>
              <w:t>-7</w:t>
            </w:r>
            <w:r w:rsidR="00B00053">
              <w:t xml:space="preserve"> </w:t>
            </w:r>
            <w:r>
              <w:t>dm</w:t>
            </w:r>
            <w:r w:rsidRPr="003D0C08">
              <w:rPr>
                <w:vertAlign w:val="superscript"/>
              </w:rPr>
              <w:t>2</w:t>
            </w:r>
            <w:r w:rsidR="00B00053">
              <w:t>/s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K</w:t>
            </w:r>
            <w:r w:rsidRPr="003D0C08">
              <w:rPr>
                <w:vertAlign w:val="superscript"/>
              </w:rPr>
              <w:t>+</w:t>
            </w:r>
            <w:r>
              <w:t xml:space="preserve"> diffusion constant</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D</w:t>
            </w:r>
            <w:r w:rsidRPr="003D0C08">
              <w:rPr>
                <w:vertAlign w:val="subscript"/>
              </w:rPr>
              <w:t>Cl</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 xml:space="preserve">2.03 </w:t>
            </w:r>
            <m:oMath>
              <m:r>
                <w:rPr>
                  <w:rFonts w:ascii="Cambria Math" w:hAnsi="Cambria Math"/>
                </w:rPr>
                <m:t>×</m:t>
              </m:r>
            </m:oMath>
            <w:r>
              <w:t xml:space="preserve"> </w:t>
            </w:r>
            <w:r w:rsidR="00B00053">
              <w:t xml:space="preserve"> 10</w:t>
            </w:r>
            <w:r w:rsidR="00B00053" w:rsidRPr="002A1C12">
              <w:rPr>
                <w:vertAlign w:val="superscript"/>
              </w:rPr>
              <w:t>-7</w:t>
            </w:r>
            <w:r w:rsidR="00B00053">
              <w:t xml:space="preserve"> </w:t>
            </w:r>
            <w:r>
              <w:t>dm</w:t>
            </w:r>
            <w:r w:rsidRPr="003D0C08">
              <w:rPr>
                <w:vertAlign w:val="superscript"/>
              </w:rPr>
              <w:t>2</w:t>
            </w:r>
            <w:r w:rsidR="00B00053">
              <w:t>/s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Cl</w:t>
            </w:r>
            <w:r w:rsidRPr="003D0C08">
              <w:rPr>
                <w:vertAlign w:val="superscript"/>
              </w:rPr>
              <w:t>-</w:t>
            </w:r>
            <w:r>
              <w:t xml:space="preserve"> diffusion constant</w:t>
            </w:r>
          </w:p>
        </w:tc>
      </w:tr>
      <w:tr w:rsidR="00BB3BC5">
        <w:tblPrEx>
          <w:tblCellMar>
            <w:top w:w="0" w:type="dxa"/>
            <w:bottom w:w="0" w:type="dxa"/>
          </w:tblCellMar>
        </w:tblPrEx>
        <w:tc>
          <w:tcPr>
            <w:tcW w:w="997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Variables (default steady state)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V</w:t>
            </w:r>
            <w:r w:rsidRPr="003D0C08">
              <w:rPr>
                <w:vertAlign w:val="subscript"/>
              </w:rPr>
              <w:t>m</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B3BC5">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Membrane potential</w:t>
            </w:r>
          </w:p>
        </w:tc>
      </w:tr>
      <w:tr w:rsidR="003D0C08">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r>
              <w:t>[Na</w:t>
            </w:r>
            <w:r w:rsidRPr="003D0C08">
              <w:rPr>
                <w:vertAlign w:val="superscript"/>
              </w:rPr>
              <w:t>+</w:t>
            </w:r>
            <w:r>
              <w:t>]</w:t>
            </w:r>
            <w:r>
              <w:rPr>
                <w:vertAlign w:val="subscript"/>
              </w:rPr>
              <w:t>i</w:t>
            </w:r>
          </w:p>
        </w:tc>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C08" w:rsidRDefault="003D0C08" w:rsidP="003D0C08">
            <w:pPr>
              <w:pStyle w:val="TableContents"/>
            </w:pPr>
            <w:r>
              <w:t>Intracellular Na</w:t>
            </w:r>
            <w:r w:rsidRPr="003D0C08">
              <w:rPr>
                <w:vertAlign w:val="superscript"/>
              </w:rPr>
              <w:t>+</w:t>
            </w:r>
            <w:r>
              <w:t xml:space="preserve"> concentration</w:t>
            </w:r>
          </w:p>
        </w:tc>
      </w:tr>
      <w:tr w:rsidR="003D0C08">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r>
              <w:t>[K</w:t>
            </w:r>
            <w:r w:rsidRPr="003D0C08">
              <w:rPr>
                <w:vertAlign w:val="superscript"/>
              </w:rPr>
              <w:t>+</w:t>
            </w:r>
            <w:r>
              <w:t>]</w:t>
            </w:r>
            <w:r>
              <w:rPr>
                <w:vertAlign w:val="subscript"/>
              </w:rPr>
              <w:t>i</w:t>
            </w:r>
          </w:p>
        </w:tc>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C08" w:rsidRDefault="003D0C08" w:rsidP="003D0C08">
            <w:pPr>
              <w:pStyle w:val="TableContents"/>
            </w:pPr>
            <w:r>
              <w:t>Intracellular K</w:t>
            </w:r>
            <w:r w:rsidRPr="003D0C08">
              <w:rPr>
                <w:vertAlign w:val="superscript"/>
              </w:rPr>
              <w:t>+</w:t>
            </w:r>
            <w:r>
              <w:t xml:space="preserve"> concentration</w:t>
            </w:r>
          </w:p>
        </w:tc>
      </w:tr>
      <w:tr w:rsidR="003D0C08">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r>
              <w:t>[Cl</w:t>
            </w:r>
            <w:r w:rsidRPr="003D0C08">
              <w:rPr>
                <w:vertAlign w:val="superscript"/>
              </w:rPr>
              <w:t>-</w:t>
            </w:r>
            <w:r>
              <w:t>]</w:t>
            </w:r>
            <w:r>
              <w:rPr>
                <w:vertAlign w:val="subscript"/>
              </w:rPr>
              <w:t>i</w:t>
            </w:r>
          </w:p>
        </w:tc>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C08" w:rsidRDefault="003D0C08" w:rsidP="003D0C08">
            <w:pPr>
              <w:pStyle w:val="TableContents"/>
            </w:pPr>
            <w:r>
              <w:t>Intracellular Cl</w:t>
            </w:r>
            <w:r w:rsidRPr="003D0C08">
              <w:rPr>
                <w:vertAlign w:val="superscript"/>
              </w:rPr>
              <w:t>-</w:t>
            </w:r>
            <w:r>
              <w:t xml:space="preserve"> concentration</w:t>
            </w:r>
          </w:p>
        </w:tc>
      </w:tr>
      <w:tr w:rsidR="003D0C08">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r>
              <w:t>[A</w:t>
            </w:r>
            <w:r>
              <w:rPr>
                <w:vertAlign w:val="superscript"/>
              </w:rPr>
              <w:t>z</w:t>
            </w:r>
            <w:r>
              <w:t>]</w:t>
            </w:r>
            <w:r>
              <w:rPr>
                <w:vertAlign w:val="subscript"/>
              </w:rPr>
              <w:t>i</w:t>
            </w:r>
          </w:p>
        </w:tc>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C08" w:rsidRDefault="003D0C08" w:rsidP="003D0C08">
            <w:pPr>
              <w:pStyle w:val="TableContents"/>
            </w:pPr>
            <w:r>
              <w:t>Intracellular A</w:t>
            </w:r>
            <w:r w:rsidRPr="003D0C08">
              <w:rPr>
                <w:vertAlign w:val="superscript"/>
              </w:rPr>
              <w:t>z</w:t>
            </w:r>
            <w:r>
              <w:t xml:space="preserve"> concentration</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z</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-0.85</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Average charge of intracellular A</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W</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B3BC5">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Volume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h</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B3BC5">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3D0C08">
            <w:pPr>
              <w:pStyle w:val="TableContents"/>
            </w:pPr>
            <w:r>
              <w:t>Compartment height</w:t>
            </w:r>
          </w:p>
        </w:tc>
      </w:tr>
    </w:tbl>
    <w:p w:rsidR="00BB3BC5" w:rsidRDefault="00BB3BC5">
      <w:pPr>
        <w:pStyle w:val="Standard"/>
        <w:rPr>
          <w:i/>
          <w:iCs/>
        </w:rPr>
      </w:pPr>
    </w:p>
    <w:sectPr w:rsidR="00BB3BC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11B" w:rsidRDefault="00EA611B">
      <w:r>
        <w:separator/>
      </w:r>
    </w:p>
  </w:endnote>
  <w:endnote w:type="continuationSeparator" w:id="0">
    <w:p w:rsidR="00EA611B" w:rsidRDefault="00EA6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Nimbus Mono L">
    <w:charset w:val="00"/>
    <w:family w:val="modern"/>
    <w:pitch w:val="fixed"/>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11B" w:rsidRDefault="00EA611B">
      <w:r>
        <w:rPr>
          <w:color w:val="000000"/>
        </w:rPr>
        <w:separator/>
      </w:r>
    </w:p>
  </w:footnote>
  <w:footnote w:type="continuationSeparator" w:id="0">
    <w:p w:rsidR="00EA611B" w:rsidRDefault="00EA61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B3BC5"/>
    <w:rsid w:val="000460B5"/>
    <w:rsid w:val="002A1C12"/>
    <w:rsid w:val="002C68CE"/>
    <w:rsid w:val="003D0C08"/>
    <w:rsid w:val="0064487C"/>
    <w:rsid w:val="006F2BAE"/>
    <w:rsid w:val="0082716E"/>
    <w:rsid w:val="008A428C"/>
    <w:rsid w:val="00B00053"/>
    <w:rsid w:val="00BB3BC5"/>
    <w:rsid w:val="00BF4A4F"/>
    <w:rsid w:val="00C10840"/>
    <w:rsid w:val="00C87A7F"/>
    <w:rsid w:val="00E34F42"/>
    <w:rsid w:val="00EA61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1279"/>
  <w15:docId w15:val="{B237FFFA-0F06-426F-98BB-E44906F9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Heading">
    <w:name w:val="Table Heading"/>
    <w:basedOn w:val="TableContents"/>
    <w:pPr>
      <w:jc w:val="center"/>
    </w:pPr>
    <w:rPr>
      <w:b/>
      <w:bCs/>
    </w:rPr>
  </w:style>
  <w:style w:type="character" w:styleId="PlaceholderText">
    <w:name w:val="Placeholder Text"/>
    <w:basedOn w:val="DefaultParagraphFont"/>
    <w:uiPriority w:val="99"/>
    <w:semiHidden/>
    <w:rsid w:val="006F2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 Düsterwald</cp:lastModifiedBy>
  <cp:revision>2</cp:revision>
  <dcterms:created xsi:type="dcterms:W3CDTF">2017-05-08T21:08:00Z</dcterms:created>
  <dcterms:modified xsi:type="dcterms:W3CDTF">2017-05-08T21:08:00Z</dcterms:modified>
</cp:coreProperties>
</file>