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28" w:rsidRDefault="007046C1">
      <w:r>
        <w:t>Figure 1</w:t>
      </w:r>
    </w:p>
    <w:p w:rsidR="00465D3F" w:rsidRDefault="007046C1" w:rsidP="003D1BAA">
      <w:r>
        <w:rPr>
          <w:b/>
        </w:rPr>
        <w:t xml:space="preserve">The pump leak </w:t>
      </w:r>
      <w:r w:rsidR="00371584">
        <w:rPr>
          <w:b/>
        </w:rPr>
        <w:t>equations and their</w:t>
      </w:r>
      <w:r>
        <w:rPr>
          <w:b/>
        </w:rPr>
        <w:t xml:space="preserve"> </w:t>
      </w:r>
      <w:r w:rsidR="00EA7DEC">
        <w:rPr>
          <w:b/>
        </w:rPr>
        <w:t>parametric-analytic</w:t>
      </w:r>
      <w:r>
        <w:rPr>
          <w:b/>
        </w:rPr>
        <w:t xml:space="preserve"> solution</w:t>
      </w:r>
      <w:r w:rsidR="00371584">
        <w:rPr>
          <w:b/>
        </w:rPr>
        <w:t xml:space="preserve"> provide a unified model of ion dynamics and demonstrate the importance of the Na</w:t>
      </w:r>
      <w:r w:rsidR="00371584">
        <w:rPr>
          <w:b/>
          <w:vertAlign w:val="superscript"/>
        </w:rPr>
        <w:t>+</w:t>
      </w:r>
      <w:r w:rsidR="00371584">
        <w:rPr>
          <w:b/>
        </w:rPr>
        <w:t>-K</w:t>
      </w:r>
      <w:r w:rsidR="00371584">
        <w:rPr>
          <w:b/>
          <w:vertAlign w:val="superscript"/>
        </w:rPr>
        <w:t>+</w:t>
      </w:r>
      <w:r w:rsidR="00371584">
        <w:rPr>
          <w:b/>
        </w:rPr>
        <w:t>-ATPase in setting transmembrane ion gradients</w:t>
      </w:r>
      <w:r w:rsidR="00621131">
        <w:rPr>
          <w:b/>
        </w:rPr>
        <w:t>.</w:t>
      </w:r>
      <w:r w:rsidR="00AF6EFD">
        <w:rPr>
          <w:b/>
        </w:rPr>
        <w:t xml:space="preserve"> </w:t>
      </w:r>
      <w:r w:rsidR="00AF6EFD" w:rsidRPr="003D1BAA">
        <w:t>(</w:t>
      </w:r>
      <w:r w:rsidR="00AF6EFD" w:rsidRPr="003D1BAA">
        <w:rPr>
          <w:b/>
        </w:rPr>
        <w:t>A</w:t>
      </w:r>
      <w:r w:rsidR="00AF6EFD">
        <w:t>)</w:t>
      </w:r>
      <w:r w:rsidR="003D1BAA">
        <w:rPr>
          <w:b/>
        </w:rPr>
        <w:t xml:space="preserve"> </w:t>
      </w:r>
      <w:r w:rsidR="003D1BAA">
        <w:t xml:space="preserve">In the model, </w:t>
      </w:r>
      <w:r w:rsidR="00AF6EFD">
        <w:t xml:space="preserve">a </w:t>
      </w:r>
      <w:r w:rsidR="003D1BAA">
        <w:t>single</w:t>
      </w:r>
      <w:r w:rsidR="00C2789F">
        <w:t xml:space="preserve"> compartment is approximated by a cylinder and volume changes are equivalent to changes in the cylindrical height. </w:t>
      </w:r>
      <w:r>
        <w:t>Potassium</w:t>
      </w:r>
      <w:r w:rsidR="00C2789F">
        <w:t xml:space="preserve"> (green, K</w:t>
      </w:r>
      <w:r w:rsidR="00C2789F" w:rsidRPr="003D1BAA">
        <w:rPr>
          <w:vertAlign w:val="superscript"/>
        </w:rPr>
        <w:t>+</w:t>
      </w:r>
      <w:r w:rsidR="00C2789F">
        <w:t>)</w:t>
      </w:r>
      <w:r>
        <w:t>, sodium</w:t>
      </w:r>
      <w:r w:rsidR="00C2789F">
        <w:t xml:space="preserve"> (orange, Na</w:t>
      </w:r>
      <w:r w:rsidR="00C2789F" w:rsidRPr="003D1BAA">
        <w:rPr>
          <w:vertAlign w:val="superscript"/>
        </w:rPr>
        <w:t>+</w:t>
      </w:r>
      <w:r w:rsidR="00C2789F">
        <w:t>)</w:t>
      </w:r>
      <w:r>
        <w:t xml:space="preserve"> and chloride</w:t>
      </w:r>
      <w:r w:rsidR="00C2789F">
        <w:t xml:space="preserve"> (blue, Cl</w:t>
      </w:r>
      <w:r w:rsidR="00C2789F" w:rsidRPr="003D1BAA">
        <w:rPr>
          <w:vertAlign w:val="superscript"/>
        </w:rPr>
        <w:t>-</w:t>
      </w:r>
      <w:r w:rsidR="00C2789F">
        <w:t>)</w:t>
      </w:r>
      <w:r>
        <w:t xml:space="preserve"> are</w:t>
      </w:r>
      <w:r w:rsidR="00C2789F">
        <w:t xml:space="preserve"> included as permeable ions; impermeable anions (magenta, </w:t>
      </w:r>
      <w:proofErr w:type="spellStart"/>
      <w:r w:rsidR="00C2789F">
        <w:t>A</w:t>
      </w:r>
      <w:r w:rsidR="00C2789F" w:rsidRPr="003D1BAA">
        <w:rPr>
          <w:vertAlign w:val="superscript"/>
        </w:rPr>
        <w:t>z</w:t>
      </w:r>
      <w:proofErr w:type="spellEnd"/>
      <w:r w:rsidR="00C2789F">
        <w:t xml:space="preserve">) have </w:t>
      </w:r>
      <w:r w:rsidR="003D1BAA">
        <w:t xml:space="preserve">an </w:t>
      </w:r>
      <w:r w:rsidR="00C2789F">
        <w:t>average intracellular charge z. The KCC2 transporter causes efflux of equal parts Cl</w:t>
      </w:r>
      <w:r w:rsidR="00C2789F" w:rsidRPr="003D1BAA">
        <w:rPr>
          <w:vertAlign w:val="superscript"/>
        </w:rPr>
        <w:t xml:space="preserve">- </w:t>
      </w:r>
      <w:r w:rsidR="00C2789F">
        <w:t>and K</w:t>
      </w:r>
      <w:r w:rsidR="00C2789F" w:rsidRPr="003D1BAA">
        <w:rPr>
          <w:vertAlign w:val="superscript"/>
        </w:rPr>
        <w:t>+</w:t>
      </w:r>
      <w:r w:rsidR="00C2789F">
        <w:t xml:space="preserve"> and the sodium-potassium ATPase effluxes 3 Na</w:t>
      </w:r>
      <w:r w:rsidR="00C2789F" w:rsidRPr="003D1BAA">
        <w:rPr>
          <w:vertAlign w:val="superscript"/>
        </w:rPr>
        <w:t>+</w:t>
      </w:r>
      <w:r w:rsidR="00C2789F">
        <w:t xml:space="preserve"> parts for 2 K</w:t>
      </w:r>
      <w:r w:rsidR="00C2789F" w:rsidRPr="003D1BAA">
        <w:rPr>
          <w:vertAlign w:val="superscript"/>
        </w:rPr>
        <w:t>+</w:t>
      </w:r>
      <w:r w:rsidR="00C2789F">
        <w:t xml:space="preserve"> parts moved into the cell.</w:t>
      </w:r>
      <w:r w:rsidR="00AF6EFD">
        <w:t xml:space="preserve"> </w:t>
      </w:r>
      <w:r w:rsidR="00AF6EFD">
        <w:t>(</w:t>
      </w:r>
      <w:r w:rsidR="00AF6EFD" w:rsidRPr="003D1BAA">
        <w:rPr>
          <w:b/>
        </w:rPr>
        <w:t>B</w:t>
      </w:r>
      <w:r w:rsidR="00AF6EFD">
        <w:t xml:space="preserve">) </w:t>
      </w:r>
      <w:r w:rsidR="003D1BAA">
        <w:t>Different intracellular starting concentrations of the permeable ions do not affect any of the</w:t>
      </w:r>
      <w:r w:rsidR="00621131">
        <w:t xml:space="preserve"> steady state</w:t>
      </w:r>
      <w:r w:rsidR="003D1BAA">
        <w:t xml:space="preserve"> variables</w:t>
      </w:r>
      <w:r w:rsidR="00AF6EFD">
        <w:t>. W</w:t>
      </w:r>
      <w:r w:rsidR="003D1BAA">
        <w:t>e show the result for Cl</w:t>
      </w:r>
      <w:r w:rsidR="003D1BAA" w:rsidRPr="003D1BAA">
        <w:rPr>
          <w:vertAlign w:val="superscript"/>
        </w:rPr>
        <w:t>-</w:t>
      </w:r>
      <w:r w:rsidR="003D1BAA">
        <w:t xml:space="preserve"> as a time series of chloride concentration (top p</w:t>
      </w:r>
      <w:r w:rsidR="00AF6EFD">
        <w:t>anel) and volume (bottom panel)</w:t>
      </w:r>
      <w:r w:rsidR="003D1BAA">
        <w:t>.</w:t>
      </w:r>
      <w:r w:rsidR="00AF6EFD">
        <w:t xml:space="preserve"> </w:t>
      </w:r>
      <w:r w:rsidR="00AF6EFD">
        <w:t>(</w:t>
      </w:r>
      <w:r w:rsidR="00AF6EFD" w:rsidRPr="003D1BAA">
        <w:rPr>
          <w:b/>
        </w:rPr>
        <w:t>C</w:t>
      </w:r>
      <w:r w:rsidR="00AF6EFD">
        <w:t>)</w:t>
      </w:r>
      <w:r w:rsidR="003D1BAA">
        <w:t xml:space="preserve"> The ATPase plays a key role in maintaining steady state ion values and volume</w:t>
      </w:r>
      <w:r w:rsidR="00AF6EFD">
        <w:t>:</w:t>
      </w:r>
      <w:r w:rsidR="003D1BAA">
        <w:t xml:space="preserve"> volume explosions (bottom panel) with unstable membrane depolarisations (middle panel) and ion concentration shifts (top panel with colours per ion as in </w:t>
      </w:r>
      <w:r w:rsidR="003D1BAA">
        <w:rPr>
          <w:b/>
        </w:rPr>
        <w:t>A</w:t>
      </w:r>
      <w:r w:rsidR="003D1BAA">
        <w:t xml:space="preserve">) occur </w:t>
      </w:r>
      <w:r w:rsidR="00465D3F">
        <w:t xml:space="preserve">from steady state </w:t>
      </w:r>
      <w:r w:rsidR="003D1BAA">
        <w:t>when</w:t>
      </w:r>
      <w:r w:rsidR="00465D3F">
        <w:t xml:space="preserve"> the ATPase is switched off between 150 and 350 seconds</w:t>
      </w:r>
      <w:r w:rsidR="003D1BAA">
        <w:t>, but the cell recovers when the ATPase is re-activated</w:t>
      </w:r>
      <w:r w:rsidR="00465D3F">
        <w:t>.</w:t>
      </w:r>
      <w:r w:rsidR="007F1716">
        <w:t xml:space="preserve"> </w:t>
      </w:r>
      <w:r w:rsidR="00AF6EFD">
        <w:t>(</w:t>
      </w:r>
      <w:r w:rsidR="00AF6EFD" w:rsidRPr="00AF6EFD">
        <w:rPr>
          <w:b/>
        </w:rPr>
        <w:t>D</w:t>
      </w:r>
      <w:r w:rsidR="00AF6EFD">
        <w:t>) The p</w:t>
      </w:r>
      <w:r w:rsidR="00EA7DEC">
        <w:t>arametric-analytic</w:t>
      </w:r>
      <w:r w:rsidR="00465D3F">
        <w:t xml:space="preserve"> solution</w:t>
      </w:r>
      <w:r w:rsidR="007F1716">
        <w:t xml:space="preserve"> including KCC2</w:t>
      </w:r>
      <w:r w:rsidR="00465D3F">
        <w:t xml:space="preserve"> (solid lines) </w:t>
      </w:r>
      <w:r w:rsidR="007F1716">
        <w:t>predicts time series runs (dots) for varying ATPase pump r</w:t>
      </w:r>
      <w:r w:rsidR="00AF6EFD">
        <w:t xml:space="preserve">ate in all parameters: </w:t>
      </w:r>
      <w:r w:rsidR="007F1716">
        <w:t>concentrations of the ions</w:t>
      </w:r>
      <w:r w:rsidR="00AF6EFD">
        <w:t xml:space="preserve"> with </w:t>
      </w:r>
      <w:r w:rsidR="00AF6EFD">
        <w:t>colours as in</w:t>
      </w:r>
      <w:r w:rsidR="00AF6EFD" w:rsidRPr="00AF6EFD">
        <w:rPr>
          <w:b/>
        </w:rPr>
        <w:t xml:space="preserve"> A</w:t>
      </w:r>
      <w:r w:rsidR="00AF6EFD">
        <w:t xml:space="preserve"> (top panel); membrane potential (middle)</w:t>
      </w:r>
      <w:r w:rsidR="007F1716">
        <w:t xml:space="preserve"> and volum</w:t>
      </w:r>
      <w:r w:rsidR="007F1716">
        <w:t>e</w:t>
      </w:r>
      <w:r w:rsidR="00AF6EFD">
        <w:t xml:space="preserve"> (bottom)</w:t>
      </w:r>
      <w:r w:rsidR="007F1716">
        <w:t xml:space="preserve">. The </w:t>
      </w:r>
      <w:r w:rsidR="00621131">
        <w:t>vertical dashes indicate</w:t>
      </w:r>
      <w:r w:rsidR="007F1716">
        <w:t xml:space="preserve"> the </w:t>
      </w:r>
      <w:r w:rsidR="00621131">
        <w:t xml:space="preserve">state at </w:t>
      </w:r>
      <w:r w:rsidR="007F1716">
        <w:t>default pump rate.</w:t>
      </w:r>
    </w:p>
    <w:p w:rsidR="00EA7DEC" w:rsidRDefault="00EA7DEC">
      <w:r>
        <w:br w:type="page"/>
      </w:r>
    </w:p>
    <w:p w:rsidR="00EA7DEC" w:rsidRDefault="00EA7DEC" w:rsidP="00EA7DEC">
      <w:r>
        <w:lastRenderedPageBreak/>
        <w:t>Figure 2</w:t>
      </w:r>
    </w:p>
    <w:p w:rsidR="00AF6EFD" w:rsidRDefault="00371584" w:rsidP="00621131">
      <w:r>
        <w:rPr>
          <w:b/>
        </w:rPr>
        <w:t xml:space="preserve">Ionic </w:t>
      </w:r>
      <w:proofErr w:type="spellStart"/>
      <w:r>
        <w:rPr>
          <w:b/>
        </w:rPr>
        <w:t>conductances</w:t>
      </w:r>
      <w:proofErr w:type="spellEnd"/>
      <w:r>
        <w:rPr>
          <w:b/>
        </w:rPr>
        <w:t xml:space="preserve"> affect the cellular steady state provided non-passive mechanisms control some of the ionic flux: </w:t>
      </w:r>
      <w:proofErr w:type="spellStart"/>
      <w:r>
        <w:rPr>
          <w:b/>
        </w:rPr>
        <w:t>g</w:t>
      </w:r>
      <w:r w:rsidRPr="00371584">
        <w:rPr>
          <w:b/>
          <w:vertAlign w:val="subscript"/>
        </w:rPr>
        <w:t>Cl</w:t>
      </w:r>
      <w:proofErr w:type="spellEnd"/>
      <w:r>
        <w:rPr>
          <w:b/>
        </w:rPr>
        <w:t xml:space="preserve"> requires active KCC2 transporters to shift chloride homeostasis</w:t>
      </w:r>
      <w:r w:rsidR="00621131">
        <w:rPr>
          <w:b/>
        </w:rPr>
        <w:t xml:space="preserve">. </w:t>
      </w:r>
      <w:r w:rsidR="00155434" w:rsidRPr="00155434">
        <w:t>(</w:t>
      </w:r>
      <w:r w:rsidR="00155434">
        <w:rPr>
          <w:b/>
        </w:rPr>
        <w:t>A-C</w:t>
      </w:r>
      <w:r w:rsidR="00155434" w:rsidRPr="00155434">
        <w:t>)</w:t>
      </w:r>
      <w:r w:rsidR="00155434">
        <w:rPr>
          <w:b/>
        </w:rPr>
        <w:t xml:space="preserve"> </w:t>
      </w:r>
      <w:r>
        <w:t xml:space="preserve">The parametric-analytic solution was run </w:t>
      </w:r>
      <w:r w:rsidR="00621131">
        <w:t>for varying</w:t>
      </w:r>
      <w:r>
        <w:t xml:space="preserve"> </w:t>
      </w:r>
      <w:r w:rsidR="00621131">
        <w:t xml:space="preserve">ionic </w:t>
      </w:r>
      <w:proofErr w:type="spellStart"/>
      <w:r>
        <w:t>conductance</w:t>
      </w:r>
      <w:r w:rsidR="00621131">
        <w:t>s</w:t>
      </w:r>
      <w:proofErr w:type="spellEnd"/>
      <w:r w:rsidR="00621131">
        <w:t>: i</w:t>
      </w:r>
      <w:r w:rsidR="00155434">
        <w:t xml:space="preserve">n </w:t>
      </w:r>
      <w:r w:rsidR="00621131" w:rsidRPr="00621131">
        <w:rPr>
          <w:b/>
        </w:rPr>
        <w:t>A</w:t>
      </w:r>
      <w:r w:rsidR="00621131">
        <w:t xml:space="preserve"> against </w:t>
      </w:r>
      <w:r w:rsidR="00621131">
        <w:t xml:space="preserve">the sodium conductance </w:t>
      </w:r>
      <w:proofErr w:type="spellStart"/>
      <w:r w:rsidR="00621131" w:rsidRPr="00621131">
        <w:t>g</w:t>
      </w:r>
      <w:r w:rsidR="00621131" w:rsidRPr="00621131">
        <w:rPr>
          <w:vertAlign w:val="subscript"/>
        </w:rPr>
        <w:t>Na</w:t>
      </w:r>
      <w:proofErr w:type="spellEnd"/>
      <w:r w:rsidR="00621131">
        <w:t xml:space="preserve">; </w:t>
      </w:r>
      <w:r w:rsidR="00621131" w:rsidRPr="00621131">
        <w:rPr>
          <w:b/>
        </w:rPr>
        <w:t>B</w:t>
      </w:r>
      <w:r w:rsidR="00621131">
        <w:t xml:space="preserve"> potassium</w:t>
      </w:r>
      <w:r w:rsidR="00621131">
        <w:t xml:space="preserve"> </w:t>
      </w:r>
      <w:proofErr w:type="spellStart"/>
      <w:r w:rsidR="00621131">
        <w:t>g</w:t>
      </w:r>
      <w:r w:rsidR="00621131">
        <w:rPr>
          <w:vertAlign w:val="subscript"/>
        </w:rPr>
        <w:t>K</w:t>
      </w:r>
      <w:proofErr w:type="spellEnd"/>
      <w:r w:rsidR="00621131">
        <w:t xml:space="preserve">; </w:t>
      </w:r>
      <w:r w:rsidR="00621131">
        <w:t>and</w:t>
      </w:r>
      <w:r w:rsidR="00155434">
        <w:t xml:space="preserve"> </w:t>
      </w:r>
      <w:r w:rsidR="00621131">
        <w:rPr>
          <w:b/>
        </w:rPr>
        <w:t>C</w:t>
      </w:r>
      <w:r w:rsidR="00621131">
        <w:t xml:space="preserve"> </w:t>
      </w:r>
      <w:r w:rsidR="00621131">
        <w:t xml:space="preserve">chloride </w:t>
      </w:r>
      <w:proofErr w:type="spellStart"/>
      <w:r w:rsidR="00621131">
        <w:t>g</w:t>
      </w:r>
      <w:r w:rsidR="00621131">
        <w:rPr>
          <w:vertAlign w:val="subscript"/>
        </w:rPr>
        <w:t>Cl</w:t>
      </w:r>
      <w:proofErr w:type="spellEnd"/>
      <w:r w:rsidR="00621131">
        <w:t>.</w:t>
      </w:r>
      <w:r w:rsidR="00621131">
        <w:t xml:space="preserve"> Trends in c</w:t>
      </w:r>
      <w:r>
        <w:t xml:space="preserve">hanges in </w:t>
      </w:r>
      <w:proofErr w:type="spellStart"/>
      <w:r>
        <w:t>E</w:t>
      </w:r>
      <w:r w:rsidRPr="00621131">
        <w:rPr>
          <w:vertAlign w:val="subscript"/>
        </w:rPr>
        <w:t>Cl</w:t>
      </w:r>
      <w:proofErr w:type="spellEnd"/>
      <w:r>
        <w:t xml:space="preserve"> (blue, top panel</w:t>
      </w:r>
      <w:r w:rsidR="00621131">
        <w:t>s</w:t>
      </w:r>
      <w:r>
        <w:t xml:space="preserve">), </w:t>
      </w:r>
      <w:proofErr w:type="spellStart"/>
      <w:r>
        <w:t>V</w:t>
      </w:r>
      <w:r w:rsidRPr="00621131">
        <w:rPr>
          <w:vertAlign w:val="subscript"/>
        </w:rPr>
        <w:t>m</w:t>
      </w:r>
      <w:proofErr w:type="spellEnd"/>
      <w:r w:rsidRPr="00621131">
        <w:rPr>
          <w:vertAlign w:val="subscript"/>
        </w:rPr>
        <w:t xml:space="preserve"> </w:t>
      </w:r>
      <w:r>
        <w:t>(black, top panel</w:t>
      </w:r>
      <w:r w:rsidR="00621131">
        <w:t>s</w:t>
      </w:r>
      <w:r>
        <w:t>)</w:t>
      </w:r>
      <w:r w:rsidR="00621131">
        <w:t>, E</w:t>
      </w:r>
      <w:r w:rsidR="00621131" w:rsidRPr="00621131">
        <w:rPr>
          <w:vertAlign w:val="subscript"/>
        </w:rPr>
        <w:t>K</w:t>
      </w:r>
      <w:r w:rsidR="00621131">
        <w:t xml:space="preserve"> (green, top panels) and volume (bottom panels</w:t>
      </w:r>
      <w:bookmarkStart w:id="0" w:name="_GoBack"/>
      <w:bookmarkEnd w:id="0"/>
      <w:r w:rsidR="00621131">
        <w:t>) were compared to values at the default conductance (vertical dashes). (</w:t>
      </w:r>
      <w:r w:rsidR="00621131" w:rsidRPr="00621131">
        <w:rPr>
          <w:b/>
        </w:rPr>
        <w:t>D</w:t>
      </w:r>
      <w:r w:rsidR="00621131">
        <w:t xml:space="preserve">) </w:t>
      </w:r>
      <w:proofErr w:type="spellStart"/>
      <w:r w:rsidR="00621131">
        <w:t>g</w:t>
      </w:r>
      <w:r w:rsidR="00621131">
        <w:rPr>
          <w:vertAlign w:val="subscript"/>
        </w:rPr>
        <w:t>Cl</w:t>
      </w:r>
      <w:proofErr w:type="spellEnd"/>
      <w:r w:rsidR="00621131">
        <w:t xml:space="preserve"> is varied again but without any flux through KCC2, and thus </w:t>
      </w:r>
      <w:proofErr w:type="spellStart"/>
      <w:r w:rsidR="00621131">
        <w:t>g</w:t>
      </w:r>
      <w:r w:rsidR="00621131">
        <w:rPr>
          <w:vertAlign w:val="subscript"/>
        </w:rPr>
        <w:t>Cl</w:t>
      </w:r>
      <w:proofErr w:type="spellEnd"/>
      <w:r w:rsidR="00621131">
        <w:t xml:space="preserve"> does not affect the steady state values.</w:t>
      </w:r>
    </w:p>
    <w:p w:rsidR="00AF6EFD" w:rsidRDefault="00AF6EFD">
      <w:r>
        <w:br w:type="page"/>
      </w:r>
    </w:p>
    <w:p w:rsidR="00AF6EFD" w:rsidRDefault="00AF6EFD" w:rsidP="00621131">
      <w:r>
        <w:lastRenderedPageBreak/>
        <w:t>Figure 3</w:t>
      </w:r>
    </w:p>
    <w:p w:rsidR="00AF6EFD" w:rsidRPr="00155434" w:rsidRDefault="00AF6EFD" w:rsidP="00621131">
      <w:r>
        <w:rPr>
          <w:b/>
        </w:rPr>
        <w:t xml:space="preserve">Shifts in KCC2 flux / conductance cause persistent shifts in the membrane potential and chloride gradient. </w:t>
      </w:r>
      <w:r>
        <w:t>(</w:t>
      </w:r>
      <w:r w:rsidRPr="00AF6EFD">
        <w:rPr>
          <w:b/>
        </w:rPr>
        <w:t>A</w:t>
      </w:r>
      <w:r>
        <w:t>) A ramp increase in KCC2 conductance, g</w:t>
      </w:r>
      <w:r w:rsidRPr="00AF6EFD">
        <w:rPr>
          <w:vertAlign w:val="subscript"/>
        </w:rPr>
        <w:t>KCC2</w:t>
      </w:r>
      <w:r w:rsidR="009B3B61">
        <w:t xml:space="preserve"> (bottom panel),</w:t>
      </w:r>
      <w:r>
        <w:t xml:space="preserve"> which contributes towards flux velocity through KCC2</w:t>
      </w:r>
      <w:r w:rsidR="009B3B61">
        <w:t xml:space="preserve">, causes lasting shifts in </w:t>
      </w:r>
      <w:proofErr w:type="spellStart"/>
      <w:r w:rsidR="009B3B61">
        <w:t>E</w:t>
      </w:r>
      <w:r w:rsidR="009B3B61" w:rsidRPr="00621131">
        <w:rPr>
          <w:vertAlign w:val="subscript"/>
        </w:rPr>
        <w:t>Cl</w:t>
      </w:r>
      <w:proofErr w:type="spellEnd"/>
      <w:r w:rsidR="009B3B61">
        <w:t xml:space="preserve"> (blue, top panel</w:t>
      </w:r>
      <w:r w:rsidR="009B3B61">
        <w:t xml:space="preserve">) and </w:t>
      </w:r>
      <w:proofErr w:type="spellStart"/>
      <w:r w:rsidR="009B3B61">
        <w:t>V</w:t>
      </w:r>
      <w:r w:rsidR="009B3B61" w:rsidRPr="00621131">
        <w:rPr>
          <w:vertAlign w:val="subscript"/>
        </w:rPr>
        <w:t>m</w:t>
      </w:r>
      <w:proofErr w:type="spellEnd"/>
      <w:r w:rsidR="009B3B61" w:rsidRPr="00621131">
        <w:rPr>
          <w:vertAlign w:val="subscript"/>
        </w:rPr>
        <w:t xml:space="preserve"> </w:t>
      </w:r>
      <w:r w:rsidR="009B3B61">
        <w:t>(black, top)</w:t>
      </w:r>
      <w:r w:rsidR="009B3B61">
        <w:t xml:space="preserve"> with minimal changes to </w:t>
      </w:r>
      <w:r w:rsidR="009B3B61">
        <w:t>E</w:t>
      </w:r>
      <w:r w:rsidR="009B3B61" w:rsidRPr="00621131">
        <w:rPr>
          <w:vertAlign w:val="subscript"/>
        </w:rPr>
        <w:t>K</w:t>
      </w:r>
      <w:r w:rsidR="009B3B61">
        <w:t xml:space="preserve"> (green, top) and volume (middle panel</w:t>
      </w:r>
      <w:r w:rsidR="009B3B61">
        <w:t>)</w:t>
      </w:r>
      <w:r w:rsidR="009B3B61">
        <w:t>. (</w:t>
      </w:r>
      <w:r w:rsidR="009B3B61" w:rsidRPr="009B3B61">
        <w:rPr>
          <w:b/>
        </w:rPr>
        <w:t>B</w:t>
      </w:r>
      <w:r w:rsidR="009B3B61">
        <w:t xml:space="preserve">) The ATPase rate </w:t>
      </w:r>
      <w:r w:rsidR="00155434">
        <w:t xml:space="preserve">can cause shifts to the steady state ionic gradients (top panel, colours as for </w:t>
      </w:r>
      <w:r w:rsidR="00155434">
        <w:rPr>
          <w:b/>
        </w:rPr>
        <w:t>A</w:t>
      </w:r>
      <w:r w:rsidR="00155434">
        <w:t>) and volume (bottom panel), but these variables are relatively stable near the default pump rate (vertical dashes). (</w:t>
      </w:r>
      <w:r w:rsidR="00155434">
        <w:rPr>
          <w:b/>
        </w:rPr>
        <w:t>C</w:t>
      </w:r>
      <w:r w:rsidR="00155434">
        <w:t>)</w:t>
      </w:r>
      <w:r w:rsidR="00155434">
        <w:t xml:space="preserve"> g</w:t>
      </w:r>
      <w:r w:rsidR="00155434" w:rsidRPr="00AF6EFD">
        <w:rPr>
          <w:vertAlign w:val="subscript"/>
        </w:rPr>
        <w:t>KCC2</w:t>
      </w:r>
      <w:r w:rsidR="00155434">
        <w:t xml:space="preserve"> can shift the steady state variables as indicated for </w:t>
      </w:r>
      <w:r w:rsidR="00155434">
        <w:rPr>
          <w:b/>
        </w:rPr>
        <w:t>B</w:t>
      </w:r>
      <w:r w:rsidR="00155434">
        <w:t xml:space="preserve">, but these are susceptible to small shifts in </w:t>
      </w:r>
      <w:r w:rsidR="00155434">
        <w:t>g</w:t>
      </w:r>
      <w:r w:rsidR="00155434" w:rsidRPr="00AF6EFD">
        <w:rPr>
          <w:vertAlign w:val="subscript"/>
        </w:rPr>
        <w:t>KCC2</w:t>
      </w:r>
      <w:r w:rsidR="00155434">
        <w:rPr>
          <w:vertAlign w:val="subscript"/>
        </w:rPr>
        <w:t xml:space="preserve"> </w:t>
      </w:r>
      <w:r w:rsidR="00155434">
        <w:t>near its default value (vertical dashes). (</w:t>
      </w:r>
      <w:r w:rsidR="00155434">
        <w:rPr>
          <w:b/>
        </w:rPr>
        <w:t>D</w:t>
      </w:r>
      <w:r w:rsidR="00155434">
        <w:t>) [Meta-analysis]</w:t>
      </w:r>
    </w:p>
    <w:sectPr w:rsidR="00AF6EFD" w:rsidRPr="0015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2D32"/>
    <w:multiLevelType w:val="hybridMultilevel"/>
    <w:tmpl w:val="09AA059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0ED0"/>
    <w:multiLevelType w:val="hybridMultilevel"/>
    <w:tmpl w:val="1C681A4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65DD6"/>
    <w:multiLevelType w:val="hybridMultilevel"/>
    <w:tmpl w:val="9AC6156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A73A2"/>
    <w:multiLevelType w:val="hybridMultilevel"/>
    <w:tmpl w:val="4BBE1A9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1"/>
    <w:rsid w:val="00155434"/>
    <w:rsid w:val="00371584"/>
    <w:rsid w:val="003D1BAA"/>
    <w:rsid w:val="00465D3F"/>
    <w:rsid w:val="00621131"/>
    <w:rsid w:val="007046C1"/>
    <w:rsid w:val="00732428"/>
    <w:rsid w:val="007F1716"/>
    <w:rsid w:val="009B3B61"/>
    <w:rsid w:val="00AF6EFD"/>
    <w:rsid w:val="00B53022"/>
    <w:rsid w:val="00C2789F"/>
    <w:rsid w:val="00EA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EC520"/>
  <w15:chartTrackingRefBased/>
  <w15:docId w15:val="{F2E39BD4-C88A-4532-B553-C6F8DB01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Düsterwald</dc:creator>
  <cp:keywords/>
  <dc:description/>
  <cp:lastModifiedBy>Kira Düsterwald</cp:lastModifiedBy>
  <cp:revision>3</cp:revision>
  <dcterms:created xsi:type="dcterms:W3CDTF">2017-01-05T10:14:00Z</dcterms:created>
  <dcterms:modified xsi:type="dcterms:W3CDTF">2017-01-05T15:15:00Z</dcterms:modified>
</cp:coreProperties>
</file>