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8A053" w14:textId="14C1E24D" w:rsidR="008F7DB0" w:rsidRPr="002570D6" w:rsidRDefault="003A3C69" w:rsidP="008B6971">
      <w:pPr>
        <w:rPr>
          <w:rStyle w:val="apple-converted-space"/>
          <w:rFonts w:cs="Times New Roman"/>
          <w:b/>
        </w:rPr>
      </w:pPr>
      <w:r w:rsidRPr="002570D6">
        <w:rPr>
          <w:rFonts w:cs="Times New Roman"/>
          <w:b/>
        </w:rPr>
        <w:t>Decision letter</w:t>
      </w:r>
    </w:p>
    <w:p w14:paraId="24E68A04" w14:textId="48424274" w:rsidR="008B6971" w:rsidRPr="002570D6" w:rsidRDefault="00117CEB" w:rsidP="008B6971">
      <w:pPr>
        <w:rPr>
          <w:rFonts w:cs="Arial"/>
          <w:color w:val="000000"/>
          <w:shd w:val="clear" w:color="auto" w:fill="FFFFFF"/>
        </w:rPr>
      </w:pPr>
      <w:r w:rsidRPr="002570D6">
        <w:rPr>
          <w:rFonts w:cs="Arial"/>
          <w:color w:val="000000"/>
        </w:rPr>
        <w:br/>
      </w:r>
      <w:r w:rsidR="007C4DC4" w:rsidRPr="002570D6">
        <w:rPr>
          <w:rFonts w:cs="Arial"/>
          <w:color w:val="000000"/>
          <w:shd w:val="clear" w:color="auto" w:fill="FFFFFF"/>
        </w:rPr>
        <w:t xml:space="preserve">Thank you for submitting your article "Ligand-dependent electrostatic control of anion access to the pore of the calcium-activated chloride channel TMEM16A" for consideration by </w:t>
      </w:r>
      <w:r w:rsidR="00FA7660" w:rsidRPr="002570D6">
        <w:rPr>
          <w:rFonts w:cs="Arial"/>
          <w:i/>
          <w:color w:val="000000"/>
          <w:shd w:val="clear" w:color="auto" w:fill="FFFFFF"/>
        </w:rPr>
        <w:t>eLife</w:t>
      </w:r>
      <w:r w:rsidR="007C4DC4" w:rsidRPr="002570D6">
        <w:rPr>
          <w:rFonts w:cs="Arial"/>
          <w:color w:val="000000"/>
          <w:shd w:val="clear" w:color="auto" w:fill="FFFFFF"/>
        </w:rPr>
        <w:t xml:space="preserve">. Your article has been reviewed by </w:t>
      </w:r>
      <w:r w:rsidR="008B6971" w:rsidRPr="002570D6">
        <w:rPr>
          <w:rFonts w:cs="Arial"/>
          <w:color w:val="000000"/>
          <w:shd w:val="clear" w:color="auto" w:fill="FFFFFF"/>
        </w:rPr>
        <w:t>three</w:t>
      </w:r>
      <w:r w:rsidR="007C4DC4" w:rsidRPr="002570D6">
        <w:rPr>
          <w:rFonts w:cs="Arial"/>
          <w:color w:val="000000"/>
          <w:shd w:val="clear" w:color="auto" w:fill="FFFFFF"/>
        </w:rPr>
        <w:t xml:space="preserve"> peer reviewers, and the evaluation has been overseen by a Reviewing Editor and Richard Aldrich as the Senior Editor. The following individuals involved in review of your submission have agreed to reveal their identity: Criss Hartzell (Reviewer#1) and Alessio Accardi (Reviewer #2)</w:t>
      </w:r>
      <w:r w:rsidR="008B6971" w:rsidRPr="002570D6">
        <w:rPr>
          <w:rFonts w:cs="Arial"/>
          <w:color w:val="000000"/>
          <w:shd w:val="clear" w:color="auto" w:fill="FFFFFF"/>
        </w:rPr>
        <w:t>.</w:t>
      </w:r>
      <w:r w:rsidR="007C4DC4" w:rsidRPr="002570D6">
        <w:rPr>
          <w:rFonts w:cs="Arial"/>
          <w:color w:val="000000"/>
          <w:shd w:val="clear" w:color="auto" w:fill="FFFFFF"/>
        </w:rPr>
        <w:t> </w:t>
      </w:r>
      <w:r w:rsidR="007C4DC4" w:rsidRPr="002570D6">
        <w:rPr>
          <w:rFonts w:cs="Arial"/>
          <w:color w:val="000000"/>
        </w:rPr>
        <w:br/>
      </w:r>
      <w:r w:rsidR="007C4DC4" w:rsidRPr="002570D6">
        <w:rPr>
          <w:rFonts w:cs="Arial"/>
          <w:color w:val="000000"/>
        </w:rPr>
        <w:br/>
      </w:r>
      <w:r w:rsidR="007C4DC4" w:rsidRPr="002570D6">
        <w:rPr>
          <w:rFonts w:cs="Arial"/>
          <w:color w:val="000000"/>
          <w:shd w:val="clear" w:color="auto" w:fill="FFFFFF"/>
        </w:rPr>
        <w:t>The reviewers have discussed the reviews with one another and the Reviewing Editor has drafted this decision to help you prepare a revised submission. </w:t>
      </w:r>
      <w:r w:rsidR="007C4DC4" w:rsidRPr="002570D6">
        <w:rPr>
          <w:rFonts w:cs="Arial"/>
          <w:color w:val="000000"/>
        </w:rPr>
        <w:br/>
      </w:r>
      <w:r w:rsidR="007C4DC4" w:rsidRPr="002570D6">
        <w:rPr>
          <w:rFonts w:cs="Arial"/>
          <w:color w:val="000000"/>
        </w:rPr>
        <w:br/>
      </w:r>
      <w:r w:rsidR="007C4DC4" w:rsidRPr="002570D6">
        <w:rPr>
          <w:rFonts w:cs="Arial"/>
          <w:color w:val="000000"/>
          <w:shd w:val="clear" w:color="auto" w:fill="FFFFFF"/>
        </w:rPr>
        <w:t>S</w:t>
      </w:r>
      <w:r w:rsidR="008B6971" w:rsidRPr="002570D6">
        <w:rPr>
          <w:rFonts w:cs="Arial"/>
          <w:color w:val="000000"/>
          <w:shd w:val="clear" w:color="auto" w:fill="FFFFFF"/>
        </w:rPr>
        <w:t>ummary</w:t>
      </w:r>
      <w:r w:rsidR="007C4DC4" w:rsidRPr="002570D6">
        <w:rPr>
          <w:rFonts w:cs="Arial"/>
          <w:color w:val="000000"/>
          <w:shd w:val="clear" w:color="auto" w:fill="FFFFFF"/>
        </w:rPr>
        <w:t>:</w:t>
      </w:r>
    </w:p>
    <w:p w14:paraId="602B5133" w14:textId="462BC50A" w:rsidR="008B6971" w:rsidRPr="002570D6" w:rsidRDefault="007C4DC4" w:rsidP="008B6971">
      <w:pPr>
        <w:rPr>
          <w:rFonts w:cs="Arial"/>
          <w:color w:val="000000"/>
          <w:shd w:val="clear" w:color="auto" w:fill="FFFFFF"/>
        </w:rPr>
      </w:pPr>
      <w:r w:rsidRPr="002570D6">
        <w:rPr>
          <w:rFonts w:cs="Arial"/>
          <w:color w:val="000000"/>
          <w:shd w:val="clear" w:color="auto" w:fill="FFFFFF"/>
        </w:rPr>
        <w:t> </w:t>
      </w:r>
      <w:r w:rsidRPr="002570D6">
        <w:rPr>
          <w:rFonts w:cs="Arial"/>
          <w:color w:val="000000"/>
        </w:rPr>
        <w:br/>
      </w:r>
      <w:r w:rsidRPr="002570D6">
        <w:rPr>
          <w:rFonts w:cs="Arial"/>
          <w:color w:val="000000"/>
          <w:shd w:val="clear" w:color="auto" w:fill="FFFFFF"/>
        </w:rPr>
        <w:t xml:space="preserve">Lam and Dutzler discover that the negatively charged residues that form the </w:t>
      </w:r>
      <w:r w:rsidR="00FA7660" w:rsidRPr="002570D6">
        <w:rPr>
          <w:rFonts w:cs="Arial"/>
          <w:color w:val="000000"/>
          <w:shd w:val="clear" w:color="auto" w:fill="FFFFFF"/>
        </w:rPr>
        <w:t>Ca</w:t>
      </w:r>
      <w:r w:rsidR="00FA7660" w:rsidRPr="002570D6">
        <w:rPr>
          <w:rFonts w:cs="Arial"/>
          <w:color w:val="000000"/>
          <w:shd w:val="clear" w:color="auto" w:fill="FFFFFF"/>
          <w:vertAlign w:val="superscript"/>
        </w:rPr>
        <w:t>2+</w:t>
      </w:r>
      <w:r w:rsidRPr="002570D6">
        <w:rPr>
          <w:rFonts w:cs="Arial"/>
          <w:color w:val="000000"/>
          <w:shd w:val="clear" w:color="auto" w:fill="FFFFFF"/>
        </w:rPr>
        <w:t xml:space="preserve">-binding sites act as an electrostatic barrier for the flow of anions once the pore has adopted the open conformation, thus acting as an additional activation gate in the absence of </w:t>
      </w:r>
      <w:r w:rsidR="00FA7660" w:rsidRPr="002570D6">
        <w:rPr>
          <w:rFonts w:cs="Arial"/>
          <w:color w:val="000000"/>
          <w:shd w:val="clear" w:color="auto" w:fill="FFFFFF"/>
        </w:rPr>
        <w:t>Ca</w:t>
      </w:r>
      <w:r w:rsidR="00FA7660" w:rsidRPr="002570D6">
        <w:rPr>
          <w:rFonts w:cs="Arial"/>
          <w:color w:val="000000"/>
          <w:shd w:val="clear" w:color="auto" w:fill="FFFFFF"/>
          <w:vertAlign w:val="superscript"/>
        </w:rPr>
        <w:t>2+</w:t>
      </w:r>
      <w:r w:rsidRPr="002570D6">
        <w:rPr>
          <w:rFonts w:cs="Arial"/>
          <w:color w:val="000000"/>
          <w:shd w:val="clear" w:color="auto" w:fill="FFFFFF"/>
        </w:rPr>
        <w:t xml:space="preserve">. By introducing mutations in the </w:t>
      </w:r>
      <w:r w:rsidR="00FA7660" w:rsidRPr="002570D6">
        <w:rPr>
          <w:rFonts w:cs="Arial"/>
          <w:color w:val="000000"/>
          <w:shd w:val="clear" w:color="auto" w:fill="FFFFFF"/>
        </w:rPr>
        <w:t>Ca</w:t>
      </w:r>
      <w:r w:rsidR="00FA7660" w:rsidRPr="002570D6">
        <w:rPr>
          <w:rFonts w:cs="Arial"/>
          <w:color w:val="000000"/>
          <w:shd w:val="clear" w:color="auto" w:fill="FFFFFF"/>
          <w:vertAlign w:val="superscript"/>
        </w:rPr>
        <w:t>2+</w:t>
      </w:r>
      <w:r w:rsidRPr="002570D6">
        <w:rPr>
          <w:rFonts w:cs="Arial"/>
          <w:color w:val="000000"/>
          <w:shd w:val="clear" w:color="auto" w:fill="FFFFFF"/>
        </w:rPr>
        <w:t xml:space="preserve">-sites in constitutively active mutants of TMEM16A and measuring their I-V relations at various </w:t>
      </w:r>
      <w:r w:rsidR="00FA7660" w:rsidRPr="002570D6">
        <w:rPr>
          <w:rFonts w:cs="Arial"/>
          <w:color w:val="000000"/>
          <w:shd w:val="clear" w:color="auto" w:fill="FFFFFF"/>
        </w:rPr>
        <w:t>Ca</w:t>
      </w:r>
      <w:r w:rsidR="00FA7660" w:rsidRPr="002570D6">
        <w:rPr>
          <w:rFonts w:cs="Arial"/>
          <w:color w:val="000000"/>
          <w:shd w:val="clear" w:color="auto" w:fill="FFFFFF"/>
          <w:vertAlign w:val="superscript"/>
        </w:rPr>
        <w:t>2+</w:t>
      </w:r>
      <w:r w:rsidRPr="002570D6">
        <w:rPr>
          <w:rFonts w:cs="Arial"/>
          <w:color w:val="000000"/>
          <w:shd w:val="clear" w:color="auto" w:fill="FFFFFF"/>
        </w:rPr>
        <w:t xml:space="preserve">concentrations, the authors show that the binding of calcium reduces the two innermost energy barriers of an open channel through an electrostatic mechanism, allowing ions to flow. In the absence of </w:t>
      </w:r>
      <w:r w:rsidR="00FA7660" w:rsidRPr="002570D6">
        <w:rPr>
          <w:rFonts w:cs="Arial"/>
          <w:color w:val="000000"/>
          <w:shd w:val="clear" w:color="auto" w:fill="FFFFFF"/>
        </w:rPr>
        <w:t>Ca</w:t>
      </w:r>
      <w:r w:rsidR="00FA7660" w:rsidRPr="002570D6">
        <w:rPr>
          <w:rFonts w:cs="Arial"/>
          <w:color w:val="000000"/>
          <w:shd w:val="clear" w:color="auto" w:fill="FFFFFF"/>
          <w:vertAlign w:val="superscript"/>
        </w:rPr>
        <w:t>2+</w:t>
      </w:r>
      <w:r w:rsidRPr="002570D6">
        <w:rPr>
          <w:rFonts w:cs="Arial"/>
          <w:color w:val="000000"/>
          <w:shd w:val="clear" w:color="auto" w:fill="FFFFFF"/>
        </w:rPr>
        <w:t>, the constitutively active mutants display pronounced outward rectification due to this electrostatic effect. Overall, these studies highlight a novel mechanism of regulation of ion permeation by a ligand. Nevertheless, the reviewers raise several concerns that should be addressed in the revised version. </w:t>
      </w:r>
      <w:r w:rsidRPr="002570D6">
        <w:rPr>
          <w:rFonts w:cs="Arial"/>
          <w:color w:val="000000"/>
        </w:rPr>
        <w:br/>
      </w:r>
      <w:r w:rsidRPr="002570D6">
        <w:rPr>
          <w:rFonts w:cs="Arial"/>
          <w:color w:val="000000"/>
        </w:rPr>
        <w:br/>
      </w:r>
      <w:r w:rsidRPr="002570D6">
        <w:rPr>
          <w:rFonts w:cs="Arial"/>
          <w:color w:val="000000"/>
          <w:shd w:val="clear" w:color="auto" w:fill="FFFFFF"/>
        </w:rPr>
        <w:t>E</w:t>
      </w:r>
      <w:r w:rsidR="008B6971" w:rsidRPr="002570D6">
        <w:rPr>
          <w:rFonts w:cs="Arial"/>
          <w:color w:val="000000"/>
          <w:shd w:val="clear" w:color="auto" w:fill="FFFFFF"/>
        </w:rPr>
        <w:t>ssential revisions</w:t>
      </w:r>
      <w:r w:rsidRPr="002570D6">
        <w:rPr>
          <w:rFonts w:cs="Arial"/>
          <w:color w:val="000000"/>
          <w:shd w:val="clear" w:color="auto" w:fill="FFFFFF"/>
        </w:rPr>
        <w:t>:</w:t>
      </w:r>
    </w:p>
    <w:p w14:paraId="7220DE0C" w14:textId="4699D69D" w:rsidR="00D36181" w:rsidRPr="002570D6" w:rsidRDefault="007C4DC4" w:rsidP="008B6971">
      <w:pPr>
        <w:rPr>
          <w:rFonts w:cs="Arial"/>
          <w:color w:val="000000"/>
          <w:shd w:val="clear" w:color="auto" w:fill="FFFFFF"/>
        </w:rPr>
      </w:pPr>
      <w:r w:rsidRPr="002570D6">
        <w:rPr>
          <w:rFonts w:cs="Arial"/>
          <w:color w:val="000000"/>
          <w:shd w:val="clear" w:color="auto" w:fill="FFFFFF"/>
        </w:rPr>
        <w:t> </w:t>
      </w:r>
      <w:r w:rsidRPr="002570D6">
        <w:rPr>
          <w:rFonts w:cs="Arial"/>
          <w:color w:val="000000"/>
        </w:rPr>
        <w:br/>
      </w:r>
      <w:r w:rsidRPr="002570D6">
        <w:rPr>
          <w:rFonts w:cs="Arial"/>
          <w:color w:val="000000"/>
          <w:shd w:val="clear" w:color="auto" w:fill="FFFFFF"/>
        </w:rPr>
        <w:t>1</w:t>
      </w:r>
      <w:r w:rsidR="008B6971" w:rsidRPr="002570D6">
        <w:rPr>
          <w:rFonts w:cs="Arial"/>
          <w:color w:val="000000"/>
          <w:shd w:val="clear" w:color="auto" w:fill="FFFFFF"/>
        </w:rPr>
        <w:t>)</w:t>
      </w:r>
      <w:r w:rsidRPr="002570D6">
        <w:rPr>
          <w:rFonts w:cs="Arial"/>
          <w:color w:val="000000"/>
          <w:shd w:val="clear" w:color="auto" w:fill="FFFFFF"/>
        </w:rPr>
        <w:t xml:space="preserve"> I am not sure that I understand the permeation model. Why do the electrostatics of </w:t>
      </w:r>
      <w:r w:rsidR="00FA7660" w:rsidRPr="002570D6">
        <w:rPr>
          <w:rFonts w:cs="Arial"/>
          <w:color w:val="000000"/>
          <w:shd w:val="clear" w:color="auto" w:fill="FFFFFF"/>
        </w:rPr>
        <w:t>Ca</w:t>
      </w:r>
      <w:r w:rsidR="00FA7660" w:rsidRPr="002570D6">
        <w:rPr>
          <w:rFonts w:cs="Arial"/>
          <w:color w:val="000000"/>
          <w:shd w:val="clear" w:color="auto" w:fill="FFFFFF"/>
          <w:vertAlign w:val="superscript"/>
        </w:rPr>
        <w:t>2+</w:t>
      </w:r>
      <w:r w:rsidRPr="002570D6">
        <w:rPr>
          <w:rFonts w:cs="Arial"/>
          <w:color w:val="000000"/>
          <w:shd w:val="clear" w:color="auto" w:fill="FFFFFF"/>
        </w:rPr>
        <w:t xml:space="preserve"> affect only inward and not outward current? The energy profile in </w:t>
      </w:r>
      <w:r w:rsidR="00FA7660" w:rsidRPr="002570D6">
        <w:rPr>
          <w:rFonts w:cs="Arial"/>
          <w:color w:val="000000"/>
          <w:shd w:val="clear" w:color="auto" w:fill="FFFFFF"/>
        </w:rPr>
        <w:t xml:space="preserve">Figure </w:t>
      </w:r>
      <w:r w:rsidRPr="002570D6">
        <w:rPr>
          <w:rFonts w:cs="Arial"/>
          <w:color w:val="000000"/>
          <w:shd w:val="clear" w:color="auto" w:fill="FFFFFF"/>
        </w:rPr>
        <w:t xml:space="preserve">1D could not lead to rectification, because the height of each energy barrier is the same whether the ion is coming from the inside or the outside. Outward rectification requires an energy well between the barriers </w:t>
      </w:r>
      <w:r w:rsidRPr="002570D6">
        <w:rPr>
          <w:rFonts w:cs="Arial"/>
          <w:i/>
          <w:color w:val="000000"/>
          <w:shd w:val="clear" w:color="auto" w:fill="FFFFFF"/>
        </w:rPr>
        <w:t>h</w:t>
      </w:r>
      <w:r w:rsidRPr="002570D6">
        <w:rPr>
          <w:rFonts w:cs="Arial"/>
          <w:color w:val="000000"/>
          <w:shd w:val="clear" w:color="auto" w:fill="FFFFFF"/>
        </w:rPr>
        <w:t xml:space="preserve"> and </w:t>
      </w:r>
      <w:r w:rsidRPr="002570D6">
        <w:rPr>
          <w:i/>
        </w:rPr>
        <w:t>β</w:t>
      </w:r>
      <w:r w:rsidRPr="002570D6">
        <w:t xml:space="preserve"> so that the height of </w:t>
      </w:r>
      <w:r w:rsidRPr="002570D6">
        <w:rPr>
          <w:i/>
        </w:rPr>
        <w:t>β</w:t>
      </w:r>
      <w:r w:rsidRPr="002570D6">
        <w:rPr>
          <w:rFonts w:cs="Arial"/>
          <w:color w:val="000000"/>
          <w:shd w:val="clear" w:color="auto" w:fill="FFFFFF"/>
        </w:rPr>
        <w:t xml:space="preserve"> is greater from the out&gt;in than the in&gt;out direction. It would seem that the depth of this well would be significant considering the degree of rectification observed. </w:t>
      </w:r>
      <w:r w:rsidRPr="002570D6">
        <w:rPr>
          <w:rFonts w:cs="Arial"/>
          <w:color w:val="000000"/>
        </w:rPr>
        <w:br/>
      </w:r>
      <w:r w:rsidRPr="002570D6">
        <w:rPr>
          <w:rFonts w:cs="Arial"/>
          <w:color w:val="000000"/>
        </w:rPr>
        <w:br/>
      </w:r>
      <w:r w:rsidRPr="002570D6">
        <w:rPr>
          <w:rFonts w:cs="Arial"/>
          <w:color w:val="000000"/>
          <w:shd w:val="clear" w:color="auto" w:fill="FFFFFF"/>
        </w:rPr>
        <w:t>2</w:t>
      </w:r>
      <w:r w:rsidR="008B6971" w:rsidRPr="002570D6">
        <w:rPr>
          <w:rFonts w:cs="Arial"/>
          <w:color w:val="000000"/>
          <w:shd w:val="clear" w:color="auto" w:fill="FFFFFF"/>
        </w:rPr>
        <w:t>)</w:t>
      </w:r>
      <w:r w:rsidRPr="002570D6">
        <w:rPr>
          <w:rFonts w:cs="Arial"/>
          <w:color w:val="000000"/>
          <w:shd w:val="clear" w:color="auto" w:fill="FFFFFF"/>
        </w:rPr>
        <w:t xml:space="preserve"> Furthermore, </w:t>
      </w:r>
      <w:r w:rsidR="008B6971" w:rsidRPr="002570D6">
        <w:rPr>
          <w:rFonts w:cs="Arial"/>
          <w:color w:val="000000"/>
          <w:shd w:val="clear" w:color="auto" w:fill="FFFFFF"/>
        </w:rPr>
        <w:t>the second paragraph of the subsection “Data analysis”</w:t>
      </w:r>
      <w:r w:rsidRPr="002570D6">
        <w:rPr>
          <w:rFonts w:cs="Arial"/>
          <w:color w:val="000000"/>
          <w:shd w:val="clear" w:color="auto" w:fill="FFFFFF"/>
        </w:rPr>
        <w:t xml:space="preserve"> states that </w:t>
      </w:r>
      <w:r w:rsidRPr="002570D6">
        <w:rPr>
          <w:rFonts w:cs="Arial"/>
          <w:i/>
          <w:color w:val="000000"/>
          <w:shd w:val="clear" w:color="auto" w:fill="FFFFFF"/>
        </w:rPr>
        <w:t>σ</w:t>
      </w:r>
      <w:r w:rsidRPr="002570D6">
        <w:rPr>
          <w:rFonts w:cs="Arial"/>
          <w:i/>
          <w:color w:val="000000"/>
          <w:shd w:val="clear" w:color="auto" w:fill="FFFFFF"/>
          <w:vertAlign w:val="subscript"/>
        </w:rPr>
        <w:t>h</w:t>
      </w:r>
      <w:r w:rsidRPr="002570D6">
        <w:rPr>
          <w:rFonts w:cs="Arial"/>
          <w:color w:val="000000"/>
          <w:shd w:val="clear" w:color="auto" w:fill="FFFFFF"/>
        </w:rPr>
        <w:t xml:space="preserve"> and </w:t>
      </w:r>
      <w:r w:rsidRPr="002570D6">
        <w:rPr>
          <w:rFonts w:cs="Arial"/>
          <w:i/>
          <w:color w:val="000000"/>
          <w:shd w:val="clear" w:color="auto" w:fill="FFFFFF"/>
        </w:rPr>
        <w:t>σ</w:t>
      </w:r>
      <w:r w:rsidRPr="002570D6">
        <w:rPr>
          <w:rFonts w:cs="Arial"/>
          <w:i/>
          <w:color w:val="000000"/>
          <w:shd w:val="clear" w:color="auto" w:fill="FFFFFF"/>
          <w:vertAlign w:val="subscript"/>
        </w:rPr>
        <w:t>β</w:t>
      </w:r>
      <w:r w:rsidRPr="002570D6">
        <w:rPr>
          <w:rFonts w:cs="Arial"/>
          <w:color w:val="000000"/>
          <w:shd w:val="clear" w:color="auto" w:fill="FFFFFF"/>
        </w:rPr>
        <w:t xml:space="preserve"> are voltage-independent, but </w:t>
      </w:r>
      <w:r w:rsidR="00FA7660" w:rsidRPr="002570D6">
        <w:rPr>
          <w:rFonts w:cs="Arial"/>
          <w:color w:val="000000"/>
          <w:shd w:val="clear" w:color="auto" w:fill="FFFFFF"/>
        </w:rPr>
        <w:t xml:space="preserve">Figure </w:t>
      </w:r>
      <w:r w:rsidRPr="002570D6">
        <w:rPr>
          <w:rFonts w:cs="Arial"/>
          <w:color w:val="000000"/>
          <w:shd w:val="clear" w:color="auto" w:fill="FFFFFF"/>
        </w:rPr>
        <w:t xml:space="preserve">1G seems to show that </w:t>
      </w:r>
      <w:r w:rsidRPr="002570D6">
        <w:rPr>
          <w:rFonts w:cs="Arial"/>
          <w:i/>
          <w:color w:val="000000"/>
          <w:shd w:val="clear" w:color="auto" w:fill="FFFFFF"/>
        </w:rPr>
        <w:t>σ</w:t>
      </w:r>
      <w:r w:rsidRPr="002570D6">
        <w:rPr>
          <w:rFonts w:cs="Arial"/>
          <w:i/>
          <w:color w:val="000000"/>
          <w:shd w:val="clear" w:color="auto" w:fill="FFFFFF"/>
          <w:vertAlign w:val="subscript"/>
        </w:rPr>
        <w:t>β</w:t>
      </w:r>
      <w:r w:rsidRPr="002570D6">
        <w:rPr>
          <w:rFonts w:cs="Arial"/>
          <w:color w:val="000000"/>
          <w:shd w:val="clear" w:color="auto" w:fill="FFFFFF"/>
        </w:rPr>
        <w:t xml:space="preserve"> is voltage-dependent. The statement </w:t>
      </w:r>
      <w:r w:rsidR="008B6971" w:rsidRPr="002570D6">
        <w:rPr>
          <w:rFonts w:cs="Arial"/>
          <w:color w:val="000000"/>
          <w:shd w:val="clear" w:color="auto" w:fill="FFFFFF"/>
        </w:rPr>
        <w:t>in the next paragraph</w:t>
      </w:r>
      <w:r w:rsidRPr="002570D6">
        <w:rPr>
          <w:rFonts w:cs="Arial"/>
          <w:color w:val="000000"/>
          <w:shd w:val="clear" w:color="auto" w:fill="FFFFFF"/>
        </w:rPr>
        <w:t xml:space="preserve"> is rather inscrutable, as is the subsequent explanation about why the "decay" was omitted from the fits. What does "inaccurate estimation of </w:t>
      </w:r>
      <w:r w:rsidRPr="002570D6">
        <w:rPr>
          <w:rFonts w:cs="Arial"/>
          <w:i/>
          <w:color w:val="000000"/>
          <w:shd w:val="clear" w:color="auto" w:fill="FFFFFF"/>
        </w:rPr>
        <w:t>σ</w:t>
      </w:r>
      <w:r w:rsidRPr="002570D6">
        <w:rPr>
          <w:rFonts w:cs="Arial"/>
          <w:i/>
          <w:color w:val="000000"/>
          <w:shd w:val="clear" w:color="auto" w:fill="FFFFFF"/>
          <w:vertAlign w:val="subscript"/>
        </w:rPr>
        <w:t>β</w:t>
      </w:r>
      <w:r w:rsidRPr="002570D6">
        <w:rPr>
          <w:rFonts w:cs="Arial"/>
          <w:color w:val="000000"/>
          <w:shd w:val="clear" w:color="auto" w:fill="FFFFFF"/>
        </w:rPr>
        <w:t xml:space="preserve">" mean? It would be useful to know how the conclusions are affected by changing </w:t>
      </w:r>
      <w:r w:rsidRPr="002570D6">
        <w:rPr>
          <w:rFonts w:cs="Arial"/>
          <w:i/>
          <w:color w:val="000000"/>
          <w:shd w:val="clear" w:color="auto" w:fill="FFFFFF"/>
        </w:rPr>
        <w:t>n</w:t>
      </w:r>
      <w:r w:rsidRPr="002570D6">
        <w:rPr>
          <w:rFonts w:cs="Arial"/>
          <w:color w:val="000000"/>
          <w:shd w:val="clear" w:color="auto" w:fill="FFFFFF"/>
        </w:rPr>
        <w:t xml:space="preserve"> in </w:t>
      </w:r>
      <w:r w:rsidR="008B6971" w:rsidRPr="002570D6">
        <w:rPr>
          <w:rFonts w:cs="Arial"/>
          <w:color w:val="000000"/>
          <w:shd w:val="clear" w:color="auto" w:fill="FFFFFF"/>
        </w:rPr>
        <w:t>E</w:t>
      </w:r>
      <w:r w:rsidRPr="002570D6">
        <w:rPr>
          <w:rFonts w:cs="Arial"/>
          <w:color w:val="000000"/>
          <w:shd w:val="clear" w:color="auto" w:fill="FFFFFF"/>
        </w:rPr>
        <w:t xml:space="preserve">quation 2. And why is </w:t>
      </w:r>
      <w:r w:rsidRPr="002570D6">
        <w:rPr>
          <w:rFonts w:cs="Arial"/>
          <w:i/>
          <w:color w:val="000000"/>
          <w:shd w:val="clear" w:color="auto" w:fill="FFFFFF"/>
        </w:rPr>
        <w:t>σ</w:t>
      </w:r>
      <w:r w:rsidRPr="002570D6">
        <w:rPr>
          <w:rFonts w:cs="Arial"/>
          <w:i/>
          <w:color w:val="000000"/>
          <w:shd w:val="clear" w:color="auto" w:fill="FFFFFF"/>
          <w:vertAlign w:val="subscript"/>
        </w:rPr>
        <w:t>h</w:t>
      </w:r>
      <w:r w:rsidRPr="002570D6">
        <w:rPr>
          <w:rFonts w:cs="Arial"/>
          <w:color w:val="000000"/>
          <w:shd w:val="clear" w:color="auto" w:fill="FFFFFF"/>
        </w:rPr>
        <w:t xml:space="preserve"> not shown beyond </w:t>
      </w:r>
      <w:r w:rsidR="00FA7660" w:rsidRPr="002570D6">
        <w:rPr>
          <w:rFonts w:cs="Arial"/>
          <w:color w:val="000000"/>
          <w:shd w:val="clear" w:color="auto" w:fill="FFFFFF"/>
        </w:rPr>
        <w:t xml:space="preserve">Figure </w:t>
      </w:r>
      <w:r w:rsidRPr="002570D6">
        <w:rPr>
          <w:rFonts w:cs="Arial"/>
          <w:color w:val="000000"/>
          <w:shd w:val="clear" w:color="auto" w:fill="FFFFFF"/>
        </w:rPr>
        <w:t>1? </w:t>
      </w:r>
      <w:r w:rsidRPr="002570D6">
        <w:rPr>
          <w:rFonts w:cs="Arial"/>
          <w:color w:val="000000"/>
        </w:rPr>
        <w:br/>
      </w:r>
      <w:r w:rsidRPr="002570D6">
        <w:rPr>
          <w:rFonts w:cs="Arial"/>
          <w:color w:val="000000"/>
        </w:rPr>
        <w:br/>
      </w:r>
      <w:r w:rsidRPr="002570D6">
        <w:rPr>
          <w:rFonts w:cs="Arial"/>
          <w:color w:val="000000"/>
          <w:shd w:val="clear" w:color="auto" w:fill="FFFFFF"/>
        </w:rPr>
        <w:t>3</w:t>
      </w:r>
      <w:r w:rsidR="008B6971" w:rsidRPr="002570D6">
        <w:rPr>
          <w:rFonts w:cs="Arial"/>
          <w:color w:val="000000"/>
          <w:shd w:val="clear" w:color="auto" w:fill="FFFFFF"/>
        </w:rPr>
        <w:t>)</w:t>
      </w:r>
      <w:r w:rsidRPr="002570D6">
        <w:rPr>
          <w:rFonts w:cs="Arial"/>
          <w:color w:val="000000"/>
          <w:shd w:val="clear" w:color="auto" w:fill="FFFFFF"/>
        </w:rPr>
        <w:t xml:space="preserve"> Even though the G644P and Q649A mutations increase the baseline open probability of the channel, it is unclear whether the protein with any of these </w:t>
      </w:r>
      <w:r w:rsidRPr="002570D6">
        <w:rPr>
          <w:rFonts w:cs="Arial"/>
          <w:color w:val="000000"/>
          <w:shd w:val="clear" w:color="auto" w:fill="FFFFFF"/>
        </w:rPr>
        <w:lastRenderedPageBreak/>
        <w:t xml:space="preserve">mutations still undergoes some gating-associated conformational changes. If this were the case, some of the effects of </w:t>
      </w:r>
      <w:r w:rsidR="00FA7660" w:rsidRPr="002570D6">
        <w:rPr>
          <w:rFonts w:cs="Arial"/>
          <w:color w:val="000000"/>
          <w:shd w:val="clear" w:color="auto" w:fill="FFFFFF"/>
        </w:rPr>
        <w:t>Ca</w:t>
      </w:r>
      <w:r w:rsidR="00FA7660" w:rsidRPr="002570D6">
        <w:rPr>
          <w:rFonts w:cs="Arial"/>
          <w:color w:val="000000"/>
          <w:shd w:val="clear" w:color="auto" w:fill="FFFFFF"/>
          <w:vertAlign w:val="superscript"/>
        </w:rPr>
        <w:t>2+</w:t>
      </w:r>
      <w:r w:rsidRPr="002570D6">
        <w:rPr>
          <w:rFonts w:cs="Arial"/>
          <w:color w:val="000000"/>
          <w:shd w:val="clear" w:color="auto" w:fill="FFFFFF"/>
        </w:rPr>
        <w:t xml:space="preserve">-binding on the rectification of the mutant channels could arise from these conformational changes rather than the simple electrostatic influence of the site and the bound </w:t>
      </w:r>
      <w:r w:rsidR="00FA7660" w:rsidRPr="002570D6">
        <w:rPr>
          <w:rFonts w:cs="Arial"/>
          <w:color w:val="000000"/>
          <w:shd w:val="clear" w:color="auto" w:fill="FFFFFF"/>
        </w:rPr>
        <w:t>Ca</w:t>
      </w:r>
      <w:r w:rsidR="00FA7660" w:rsidRPr="002570D6">
        <w:rPr>
          <w:rFonts w:cs="Arial"/>
          <w:color w:val="000000"/>
          <w:shd w:val="clear" w:color="auto" w:fill="FFFFFF"/>
          <w:vertAlign w:val="superscript"/>
        </w:rPr>
        <w:t>2+</w:t>
      </w:r>
      <w:r w:rsidRPr="002570D6">
        <w:rPr>
          <w:rFonts w:cs="Arial"/>
          <w:color w:val="000000"/>
          <w:shd w:val="clear" w:color="auto" w:fill="FFFFFF"/>
        </w:rPr>
        <w:t xml:space="preserve"> ions. To test for this possibility, the authors could use </w:t>
      </w:r>
      <w:r w:rsidR="00FA7660" w:rsidRPr="002570D6">
        <w:rPr>
          <w:rFonts w:cs="Arial"/>
          <w:color w:val="000000"/>
          <w:shd w:val="clear" w:color="auto" w:fill="FFFFFF"/>
        </w:rPr>
        <w:t>Mg</w:t>
      </w:r>
      <w:r w:rsidR="00FA7660" w:rsidRPr="002570D6">
        <w:rPr>
          <w:rFonts w:cs="Arial"/>
          <w:color w:val="000000"/>
          <w:shd w:val="clear" w:color="auto" w:fill="FFFFFF"/>
          <w:vertAlign w:val="superscript"/>
        </w:rPr>
        <w:t>2+</w:t>
      </w:r>
      <w:r w:rsidRPr="002570D6">
        <w:rPr>
          <w:rFonts w:cs="Arial"/>
          <w:color w:val="000000"/>
          <w:shd w:val="clear" w:color="auto" w:fill="FFFFFF"/>
        </w:rPr>
        <w:t xml:space="preserve"> instead of </w:t>
      </w:r>
      <w:r w:rsidR="00FA7660" w:rsidRPr="002570D6">
        <w:rPr>
          <w:rFonts w:cs="Arial"/>
          <w:color w:val="000000"/>
          <w:shd w:val="clear" w:color="auto" w:fill="FFFFFF"/>
        </w:rPr>
        <w:t>Ca</w:t>
      </w:r>
      <w:r w:rsidR="00FA7660" w:rsidRPr="002570D6">
        <w:rPr>
          <w:rFonts w:cs="Arial"/>
          <w:color w:val="000000"/>
          <w:shd w:val="clear" w:color="auto" w:fill="FFFFFF"/>
          <w:vertAlign w:val="superscript"/>
        </w:rPr>
        <w:t>2+</w:t>
      </w:r>
      <w:r w:rsidRPr="002570D6">
        <w:rPr>
          <w:rFonts w:cs="Arial"/>
          <w:color w:val="000000"/>
          <w:shd w:val="clear" w:color="auto" w:fill="FFFFFF"/>
        </w:rPr>
        <w:t xml:space="preserve">, as it is reported to compete with </w:t>
      </w:r>
      <w:r w:rsidR="00FA7660" w:rsidRPr="002570D6">
        <w:rPr>
          <w:rFonts w:cs="Arial"/>
          <w:color w:val="000000"/>
          <w:shd w:val="clear" w:color="auto" w:fill="FFFFFF"/>
        </w:rPr>
        <w:t>Ca</w:t>
      </w:r>
      <w:r w:rsidR="00FA7660" w:rsidRPr="002570D6">
        <w:rPr>
          <w:rFonts w:cs="Arial"/>
          <w:color w:val="000000"/>
          <w:shd w:val="clear" w:color="auto" w:fill="FFFFFF"/>
          <w:vertAlign w:val="superscript"/>
        </w:rPr>
        <w:t>2+</w:t>
      </w:r>
      <w:r w:rsidRPr="002570D6">
        <w:rPr>
          <w:rFonts w:cs="Arial"/>
          <w:color w:val="000000"/>
          <w:shd w:val="clear" w:color="auto" w:fill="FFFFFF"/>
        </w:rPr>
        <w:t xml:space="preserve"> without activating the channel. The authors should test whether the presence of internal magnesium in the context of either of the constitutively active mutants has the same effect as </w:t>
      </w:r>
      <w:r w:rsidR="00FA7660" w:rsidRPr="002570D6">
        <w:rPr>
          <w:rFonts w:cs="Arial"/>
          <w:color w:val="000000"/>
          <w:shd w:val="clear" w:color="auto" w:fill="FFFFFF"/>
        </w:rPr>
        <w:t>Ca</w:t>
      </w:r>
      <w:r w:rsidR="00FA7660" w:rsidRPr="002570D6">
        <w:rPr>
          <w:rFonts w:cs="Arial"/>
          <w:color w:val="000000"/>
          <w:shd w:val="clear" w:color="auto" w:fill="FFFFFF"/>
          <w:vertAlign w:val="superscript"/>
        </w:rPr>
        <w:t>2+</w:t>
      </w:r>
      <w:r w:rsidRPr="002570D6">
        <w:rPr>
          <w:rFonts w:cs="Arial"/>
          <w:color w:val="000000"/>
          <w:shd w:val="clear" w:color="auto" w:fill="FFFFFF"/>
        </w:rPr>
        <w:t xml:space="preserve">, as expected from their proposed mechanism. Although it is not necessary, I think it would be also interesting to test whether a trivalent cation could also bind and have a larger effect than </w:t>
      </w:r>
      <w:r w:rsidR="00FA7660" w:rsidRPr="002570D6">
        <w:rPr>
          <w:rFonts w:cs="Arial"/>
          <w:color w:val="000000"/>
          <w:shd w:val="clear" w:color="auto" w:fill="FFFFFF"/>
        </w:rPr>
        <w:t>Ca</w:t>
      </w:r>
      <w:r w:rsidR="00FA7660" w:rsidRPr="002570D6">
        <w:rPr>
          <w:rFonts w:cs="Arial"/>
          <w:color w:val="000000"/>
          <w:shd w:val="clear" w:color="auto" w:fill="FFFFFF"/>
          <w:vertAlign w:val="superscript"/>
        </w:rPr>
        <w:t>2+</w:t>
      </w:r>
      <w:r w:rsidRPr="002570D6">
        <w:rPr>
          <w:rFonts w:cs="Arial"/>
          <w:color w:val="000000"/>
          <w:shd w:val="clear" w:color="auto" w:fill="FFFFFF"/>
        </w:rPr>
        <w:t>. </w:t>
      </w:r>
      <w:r w:rsidRPr="002570D6">
        <w:rPr>
          <w:rFonts w:cs="Arial"/>
          <w:color w:val="000000"/>
        </w:rPr>
        <w:br/>
      </w:r>
      <w:r w:rsidRPr="002570D6">
        <w:rPr>
          <w:rFonts w:cs="Arial"/>
          <w:color w:val="000000"/>
        </w:rPr>
        <w:br/>
      </w:r>
      <w:r w:rsidRPr="002570D6">
        <w:rPr>
          <w:rFonts w:cs="Arial"/>
          <w:color w:val="000000"/>
          <w:shd w:val="clear" w:color="auto" w:fill="FFFFFF"/>
        </w:rPr>
        <w:t>4</w:t>
      </w:r>
      <w:r w:rsidR="008B6971" w:rsidRPr="002570D6">
        <w:rPr>
          <w:rFonts w:cs="Arial"/>
          <w:color w:val="000000"/>
          <w:shd w:val="clear" w:color="auto" w:fill="FFFFFF"/>
        </w:rPr>
        <w:t>)</w:t>
      </w:r>
      <w:r w:rsidRPr="002570D6">
        <w:rPr>
          <w:rFonts w:cs="Arial"/>
          <w:color w:val="000000"/>
          <w:shd w:val="clear" w:color="auto" w:fill="FFFFFF"/>
        </w:rPr>
        <w:t xml:space="preserve"> Large portions of the data shown depend on the use of a permeation model for analysis, together with the use of several equations for permeation and electrostatics. I think these play such a central role in the manuscript that it would make the reading easier if some of these models and equations were described with more detail in the main text, rather than the </w:t>
      </w:r>
      <w:r w:rsidR="00FA7660" w:rsidRPr="002570D6">
        <w:rPr>
          <w:rFonts w:cs="Arial"/>
          <w:color w:val="000000"/>
          <w:shd w:val="clear" w:color="auto" w:fill="FFFFFF"/>
        </w:rPr>
        <w:t>Materials and methods</w:t>
      </w:r>
      <w:r w:rsidRPr="002570D6">
        <w:rPr>
          <w:rFonts w:cs="Arial"/>
          <w:color w:val="000000"/>
          <w:shd w:val="clear" w:color="auto" w:fill="FFFFFF"/>
        </w:rPr>
        <w:t xml:space="preserve"> section. </w:t>
      </w:r>
    </w:p>
    <w:p w14:paraId="5183E121" w14:textId="4B6090EB" w:rsidR="007C4DC4" w:rsidRPr="002570D6" w:rsidRDefault="007C4DC4" w:rsidP="008B6971">
      <w:pPr>
        <w:rPr>
          <w:rFonts w:cs="Times New Roman"/>
          <w:b/>
        </w:rPr>
      </w:pPr>
    </w:p>
    <w:p w14:paraId="52A470B8" w14:textId="77777777" w:rsidR="007C4DC4" w:rsidRPr="002570D6" w:rsidRDefault="007C4DC4" w:rsidP="008B6971">
      <w:pPr>
        <w:rPr>
          <w:rFonts w:cs="Times New Roman"/>
          <w:b/>
        </w:rPr>
      </w:pPr>
    </w:p>
    <w:p w14:paraId="46CDF884" w14:textId="4AFEA9AE" w:rsidR="003A3C69" w:rsidRPr="002570D6" w:rsidRDefault="003A3C69" w:rsidP="008B6971">
      <w:pPr>
        <w:rPr>
          <w:rFonts w:cs="Times New Roman"/>
          <w:b/>
        </w:rPr>
      </w:pPr>
      <w:r w:rsidRPr="002570D6">
        <w:rPr>
          <w:rFonts w:cs="Times New Roman"/>
          <w:b/>
        </w:rPr>
        <w:t>Author response</w:t>
      </w:r>
    </w:p>
    <w:p w14:paraId="35E6D5E0" w14:textId="22E76F34" w:rsidR="00F77220" w:rsidRPr="002570D6" w:rsidRDefault="00F77220" w:rsidP="00165149">
      <w:pPr>
        <w:rPr>
          <w:rFonts w:cs="Times New Roman"/>
          <w:i/>
        </w:rPr>
      </w:pPr>
    </w:p>
    <w:p w14:paraId="16B81D79" w14:textId="77777777" w:rsidR="008B6971" w:rsidRPr="002570D6" w:rsidRDefault="008B6971" w:rsidP="00165149">
      <w:pPr>
        <w:rPr>
          <w:rFonts w:cs="Arial"/>
          <w:i/>
          <w:color w:val="000000"/>
          <w:shd w:val="clear" w:color="auto" w:fill="FFFFFF"/>
        </w:rPr>
      </w:pPr>
      <w:r w:rsidRPr="002570D6">
        <w:rPr>
          <w:rFonts w:cs="Arial"/>
          <w:i/>
          <w:color w:val="000000"/>
          <w:shd w:val="clear" w:color="auto" w:fill="FFFFFF"/>
        </w:rPr>
        <w:t>Essential revisions:</w:t>
      </w:r>
    </w:p>
    <w:p w14:paraId="12552060" w14:textId="40A3FB3F" w:rsidR="008B6971" w:rsidRPr="002570D6" w:rsidRDefault="008B6971" w:rsidP="00165149">
      <w:pPr>
        <w:rPr>
          <w:rFonts w:cs="Arial"/>
          <w:i/>
          <w:color w:val="000000"/>
        </w:rPr>
      </w:pPr>
      <w:r w:rsidRPr="002570D6">
        <w:rPr>
          <w:rFonts w:cs="Arial"/>
          <w:i/>
          <w:color w:val="000000"/>
          <w:shd w:val="clear" w:color="auto" w:fill="FFFFFF"/>
        </w:rPr>
        <w:t> </w:t>
      </w:r>
      <w:r w:rsidRPr="002570D6">
        <w:rPr>
          <w:rFonts w:cs="Arial"/>
          <w:i/>
          <w:color w:val="000000"/>
        </w:rPr>
        <w:br/>
      </w:r>
      <w:r w:rsidRPr="002570D6">
        <w:rPr>
          <w:rFonts w:cs="Arial"/>
          <w:i/>
          <w:color w:val="000000"/>
          <w:shd w:val="clear" w:color="auto" w:fill="FFFFFF"/>
        </w:rPr>
        <w:t xml:space="preserve">1) I am not sure that I understand the permeation model. Why do the electrostatics of </w:t>
      </w:r>
      <w:r w:rsidR="00FA7660" w:rsidRPr="002570D6">
        <w:rPr>
          <w:rFonts w:cs="Arial"/>
          <w:i/>
          <w:color w:val="000000"/>
          <w:shd w:val="clear" w:color="auto" w:fill="FFFFFF"/>
        </w:rPr>
        <w:t>Ca</w:t>
      </w:r>
      <w:r w:rsidR="00FA7660" w:rsidRPr="002570D6">
        <w:rPr>
          <w:rFonts w:cs="Arial"/>
          <w:i/>
          <w:color w:val="000000"/>
          <w:shd w:val="clear" w:color="auto" w:fill="FFFFFF"/>
          <w:vertAlign w:val="superscript"/>
        </w:rPr>
        <w:t>2+</w:t>
      </w:r>
      <w:r w:rsidRPr="002570D6">
        <w:rPr>
          <w:rFonts w:cs="Arial"/>
          <w:i/>
          <w:color w:val="000000"/>
          <w:shd w:val="clear" w:color="auto" w:fill="FFFFFF"/>
        </w:rPr>
        <w:t xml:space="preserve"> affect only inward and not outward current? The energy profile in </w:t>
      </w:r>
      <w:r w:rsidR="00FA7660" w:rsidRPr="002570D6">
        <w:rPr>
          <w:rFonts w:cs="Arial"/>
          <w:i/>
          <w:color w:val="000000"/>
          <w:shd w:val="clear" w:color="auto" w:fill="FFFFFF"/>
        </w:rPr>
        <w:t xml:space="preserve">Figure </w:t>
      </w:r>
      <w:r w:rsidRPr="002570D6">
        <w:rPr>
          <w:rFonts w:cs="Arial"/>
          <w:i/>
          <w:color w:val="000000"/>
          <w:shd w:val="clear" w:color="auto" w:fill="FFFFFF"/>
        </w:rPr>
        <w:t>1D could not lead to rectification, because the height of each energy barrier is the same whether the ion is coming from the inside or the outside. Outward rectification requires an energy well between the barriers h and β so that the height of β is greater from the out&gt;in than the in&gt;out direction. It would seem that the depth of this well would be significant considering the degree of rectification observed. </w:t>
      </w:r>
      <w:r w:rsidRPr="002570D6">
        <w:rPr>
          <w:rFonts w:cs="Arial"/>
          <w:i/>
          <w:color w:val="000000"/>
        </w:rPr>
        <w:br/>
      </w:r>
    </w:p>
    <w:p w14:paraId="67CD75ED" w14:textId="6999EC27" w:rsidR="008B6971" w:rsidRPr="002570D6" w:rsidRDefault="008B6971" w:rsidP="00165149">
      <w:pPr>
        <w:rPr>
          <w:rFonts w:cs="Times New Roman"/>
        </w:rPr>
      </w:pPr>
      <w:r w:rsidRPr="002570D6">
        <w:rPr>
          <w:rFonts w:cs="Times New Roman"/>
        </w:rPr>
        <w:t xml:space="preserve">In our analysis, we rely on a simple rate theory model proposed by Peter Läuger </w:t>
      </w:r>
      <w:r w:rsidRPr="002570D6">
        <w:rPr>
          <w:rFonts w:cs="Times New Roman"/>
        </w:rPr>
        <w:fldChar w:fldCharType="begin"/>
      </w:r>
      <w:r w:rsidRPr="002570D6">
        <w:rPr>
          <w:rFonts w:cs="Times New Roman"/>
        </w:rPr>
        <w:instrText xml:space="preserve"> ADDIN EN.CITE &lt;EndNote&gt;&lt;Cite&gt;&lt;Author&gt;Lauger&lt;/Author&gt;&lt;Year&gt;1973&lt;/Year&gt;&lt;RecNum&gt;567&lt;/RecNum&gt;&lt;DisplayText&gt;(Lauger, 1973)&lt;/DisplayText&gt;&lt;record&gt;&lt;rec-number&gt;567&lt;/rec-number&gt;&lt;foreign-keys&gt;&lt;key app="EN" db-id="ta2avwe0oree26edfspxxxp2xaxd05rpvxsp" timestamp="1484204802"&gt;567&lt;/key&gt;&lt;/foreign-keys&gt;&lt;ref-type name="Journal Article"&gt;17&lt;/ref-type&gt;&lt;contributors&gt;&lt;authors&gt;&lt;author&gt;Lauger, P.&lt;/author&gt;&lt;/authors&gt;&lt;/contributors&gt;&lt;titles&gt;&lt;title&gt;Ion transport through pores: a rate-theory analysis&lt;/title&gt;&lt;secondary-title&gt;Biochim Biophys Acta&lt;/secondary-title&gt;&lt;alt-title&gt;Biochimica et biophysica acta&lt;/alt-title&gt;&lt;/titles&gt;&lt;periodical&gt;&lt;full-title&gt;Biochim Biophys Acta&lt;/full-title&gt;&lt;abbr-1&gt;Biochimica et biophysica acta&lt;/abbr-1&gt;&lt;/periodical&gt;&lt;alt-periodical&gt;&lt;full-title&gt;Biochim Biophys Acta&lt;/full-title&gt;&lt;abbr-1&gt;Biochimica et biophysica acta&lt;/abbr-1&gt;&lt;/alt-periodical&gt;&lt;pages&gt;423-41&lt;/pages&gt;&lt;volume&gt;311&lt;/volume&gt;&lt;number&gt;3&lt;/number&gt;&lt;keywords&gt;&lt;keyword&gt;Electric Conductivity&lt;/keyword&gt;&lt;keyword&gt;Kinetics&lt;/keyword&gt;&lt;keyword&gt;Lipids&lt;/keyword&gt;&lt;keyword&gt;Mathematics&lt;/keyword&gt;&lt;keyword&gt;Membrane Potentials&lt;/keyword&gt;&lt;keyword&gt;*Membranes&lt;/keyword&gt;&lt;keyword&gt;Membranes, Artificial&lt;/keyword&gt;&lt;keyword&gt;Models, Chemical&lt;/keyword&gt;&lt;keyword&gt;*Permeability&lt;/keyword&gt;&lt;keyword&gt;Potassium&lt;/keyword&gt;&lt;keyword&gt;Sodium&lt;/keyword&gt;&lt;keyword&gt;Thermodynamics&lt;/keyword&gt;&lt;keyword&gt;Tyrothricin&lt;/keyword&gt;&lt;/keywords&gt;&lt;dates&gt;&lt;year&gt;1973&lt;/year&gt;&lt;pub-dates&gt;&lt;date&gt;Jul 06&lt;/date&gt;&lt;/pub-dates&gt;&lt;/dates&gt;&lt;isbn&gt;0006-3002 (Print)&amp;#xD;0006-3002 (Linking)&lt;/isbn&gt;&lt;accession-num&gt;4729828&lt;/accession-num&gt;&lt;urls&gt;&lt;related-urls&gt;&lt;url&gt;http://www.ncbi.nlm.nih.gov/pubmed/4729828&lt;/url&gt;&lt;/related-urls&gt;&lt;/urls&gt;&lt;/record&gt;&lt;/Cite&gt;&lt;/EndNote&gt;</w:instrText>
      </w:r>
      <w:r w:rsidRPr="002570D6">
        <w:rPr>
          <w:rFonts w:cs="Times New Roman"/>
        </w:rPr>
        <w:fldChar w:fldCharType="separate"/>
      </w:r>
      <w:r w:rsidRPr="002570D6">
        <w:rPr>
          <w:rFonts w:cs="Times New Roman"/>
          <w:noProof/>
        </w:rPr>
        <w:t>(Lauger, 1973)</w:t>
      </w:r>
      <w:r w:rsidRPr="002570D6">
        <w:rPr>
          <w:rFonts w:cs="Times New Roman"/>
        </w:rPr>
        <w:fldChar w:fldCharType="end"/>
      </w:r>
      <w:r w:rsidRPr="002570D6">
        <w:rPr>
          <w:rFonts w:cs="Times New Roman"/>
        </w:rPr>
        <w:t xml:space="preserve">. We have explained this model in detail in our previous manuscript published in </w:t>
      </w:r>
      <w:r w:rsidR="00FA7660" w:rsidRPr="002570D6">
        <w:rPr>
          <w:rFonts w:cs="Times New Roman"/>
          <w:i/>
        </w:rPr>
        <w:t>eLife</w:t>
      </w:r>
      <w:r w:rsidRPr="002570D6">
        <w:rPr>
          <w:rFonts w:cs="Times New Roman"/>
        </w:rPr>
        <w:t xml:space="preserve">, to which this work refers to </w:t>
      </w:r>
      <w:r w:rsidRPr="002570D6">
        <w:rPr>
          <w:rFonts w:cs="Times New Roman"/>
        </w:rPr>
        <w:fldChar w:fldCharType="begin"/>
      </w:r>
      <w:r w:rsidRPr="002570D6">
        <w:rPr>
          <w:rFonts w:cs="Times New Roman"/>
        </w:rPr>
        <w:instrText xml:space="preserve"> ADDIN EN.CITE &lt;EndNote&gt;&lt;Cite&gt;&lt;Author&gt;Paulino&lt;/Author&gt;&lt;Year&gt;2017&lt;/Year&gt;&lt;RecNum&gt;576&lt;/RecNum&gt;&lt;DisplayText&gt;(Paulino et al., 2017)&lt;/DisplayText&gt;&lt;record&gt;&lt;rec-number&gt;576&lt;/rec-number&gt;&lt;foreign-keys&gt;&lt;key app="EN" db-id="ta2avwe0oree26edfspxxxp2xaxd05rpvxsp" timestamp="1493040853"&gt;576&lt;/key&gt;&lt;/foreign-keys&gt;&lt;ref-type name="Journal Article"&gt;17&lt;/ref-type&gt;&lt;contributors&gt;&lt;authors&gt;&lt;author&gt;Paulino, C.&lt;/author&gt;&lt;author&gt;Neldner, Y.&lt;/author&gt;&lt;author&gt;Lam, A. K.&lt;/author&gt;&lt;author&gt;Kalienkova, V.&lt;/author&gt;&lt;author&gt;Brunner, J. D.&lt;/author&gt;&lt;author&gt;Schenck, S.&lt;/author&gt;&lt;author&gt;Dutzler, R.&lt;/author&gt;&lt;/authors&gt;&lt;/contributors&gt;&lt;auth-address&gt;Department of Biochemistry, University of Zurich, Zurich, Switzerland.&lt;/auth-address&gt;&lt;titles&gt;&lt;title&gt;Structural basis for anion conduction in the calcium-activated chloride channel TMEM16A&lt;/title&gt;&lt;secondary-title&gt;Elife&lt;/secondary-title&gt;&lt;/titles&gt;&lt;periodical&gt;&lt;full-title&gt;Elife&lt;/full-title&gt;&lt;abbr-1&gt;eLife&lt;/abbr-1&gt;&lt;/periodical&gt;&lt;volume&gt;6&lt;/volume&gt;&lt;keywords&gt;&lt;keyword&gt;Ligand Gated Ion Channels&lt;/keyword&gt;&lt;keyword&gt;biophysics&lt;/keyword&gt;&lt;keyword&gt;cryo-electron microscopy&lt;/keyword&gt;&lt;keyword&gt;ion permeation&lt;/keyword&gt;&lt;keyword&gt;mouse&lt;/keyword&gt;&lt;keyword&gt;patch-clamp electrophsiology&lt;/keyword&gt;&lt;keyword&gt;structural biology&lt;/keyword&gt;&lt;/keywords&gt;&lt;dates&gt;&lt;year&gt;2017&lt;/year&gt;&lt;pub-dates&gt;&lt;date&gt;May 31&lt;/date&gt;&lt;/pub-dates&gt;&lt;/dates&gt;&lt;isbn&gt;2050-084X (Electronic)&amp;#xD;2050-084X (Linking)&lt;/isbn&gt;&lt;accession-num&gt;28561733&lt;/accession-num&gt;&lt;urls&gt;&lt;related-urls&gt;&lt;url&gt;https://www.ncbi.nlm.nih.gov/pubmed/28561733&lt;/url&gt;&lt;/related-urls&gt;&lt;/urls&gt;&lt;/record&gt;&lt;/Cite&gt;&lt;/EndNote&gt;</w:instrText>
      </w:r>
      <w:r w:rsidRPr="002570D6">
        <w:rPr>
          <w:rFonts w:cs="Times New Roman"/>
        </w:rPr>
        <w:fldChar w:fldCharType="separate"/>
      </w:r>
      <w:r w:rsidRPr="002570D6">
        <w:rPr>
          <w:rFonts w:cs="Times New Roman"/>
          <w:noProof/>
        </w:rPr>
        <w:t xml:space="preserve">(Paulino </w:t>
      </w:r>
      <w:r w:rsidR="00FA7660" w:rsidRPr="002570D6">
        <w:rPr>
          <w:rFonts w:cs="Times New Roman"/>
          <w:noProof/>
        </w:rPr>
        <w:t>et al.</w:t>
      </w:r>
      <w:r w:rsidRPr="002570D6">
        <w:rPr>
          <w:rFonts w:cs="Times New Roman"/>
          <w:noProof/>
        </w:rPr>
        <w:t>, 2017)</w:t>
      </w:r>
      <w:r w:rsidRPr="002570D6">
        <w:rPr>
          <w:rFonts w:cs="Times New Roman"/>
        </w:rPr>
        <w:fldChar w:fldCharType="end"/>
      </w:r>
      <w:r w:rsidRPr="002570D6">
        <w:rPr>
          <w:rFonts w:cs="Times New Roman"/>
        </w:rPr>
        <w:t>. In this model, ions surmount energy barriers in a pore that does not contain deep energy wells and that cannot be saturated. We think that such model is appropriate for our analysis since we have not found evidence for tight ion binding sites in our structures and we have measured a K</w:t>
      </w:r>
      <w:r w:rsidRPr="002570D6">
        <w:rPr>
          <w:rFonts w:cs="Times New Roman"/>
          <w:vertAlign w:val="subscript"/>
        </w:rPr>
        <w:t>M</w:t>
      </w:r>
      <w:r w:rsidRPr="002570D6">
        <w:rPr>
          <w:rFonts w:cs="Times New Roman"/>
        </w:rPr>
        <w:t xml:space="preserve"> of chloride conduction between 300-400 mM, thus underlining that there is no saturation in the applied conditions </w:t>
      </w:r>
      <w:r w:rsidRPr="002570D6">
        <w:rPr>
          <w:rFonts w:cs="Times New Roman"/>
        </w:rPr>
        <w:fldChar w:fldCharType="begin"/>
      </w:r>
      <w:r w:rsidRPr="002570D6">
        <w:rPr>
          <w:rFonts w:cs="Times New Roman"/>
        </w:rPr>
        <w:instrText xml:space="preserve"> ADDIN EN.CITE &lt;EndNote&gt;&lt;Cite&gt;&lt;Author&gt;Paulino&lt;/Author&gt;&lt;Year&gt;2017&lt;/Year&gt;&lt;RecNum&gt;576&lt;/RecNum&gt;&lt;DisplayText&gt;(Paulino et al., 2017)&lt;/DisplayText&gt;&lt;record&gt;&lt;rec-number&gt;576&lt;/rec-number&gt;&lt;foreign-keys&gt;&lt;key app="EN" db-id="ta2avwe0oree26edfspxxxp2xaxd05rpvxsp" timestamp="1493040853"&gt;576&lt;/key&gt;&lt;/foreign-keys&gt;&lt;ref-type name="Journal Article"&gt;17&lt;/ref-type&gt;&lt;contributors&gt;&lt;authors&gt;&lt;author&gt;Paulino, C.&lt;/author&gt;&lt;author&gt;Neldner, Y.&lt;/author&gt;&lt;author&gt;Lam, A. K.&lt;/author&gt;&lt;author&gt;Kalienkova, V.&lt;/author&gt;&lt;author&gt;Brunner, J. D.&lt;/author&gt;&lt;author&gt;Schenck, S.&lt;/author&gt;&lt;author&gt;Dutzler, R.&lt;/author&gt;&lt;/authors&gt;&lt;/contributors&gt;&lt;auth-address&gt;Department of Biochemistry, University of Zurich, Zurich, Switzerland.&lt;/auth-address&gt;&lt;titles&gt;&lt;title&gt;Structural basis for anion conduction in the calcium-activated chloride channel TMEM16A&lt;/title&gt;&lt;secondary-title&gt;Elife&lt;/secondary-title&gt;&lt;/titles&gt;&lt;periodical&gt;&lt;full-title&gt;Elife&lt;/full-title&gt;&lt;abbr-1&gt;eLife&lt;/abbr-1&gt;&lt;/periodical&gt;&lt;volume&gt;6&lt;/volume&gt;&lt;keywords&gt;&lt;keyword&gt;Ligand Gated Ion Channels&lt;/keyword&gt;&lt;keyword&gt;biophysics&lt;/keyword&gt;&lt;keyword&gt;cryo-electron microscopy&lt;/keyword&gt;&lt;keyword&gt;ion permeation&lt;/keyword&gt;&lt;keyword&gt;mouse&lt;/keyword&gt;&lt;keyword&gt;patch-clamp electrophsiology&lt;/keyword&gt;&lt;keyword&gt;structural biology&lt;/keyword&gt;&lt;/keywords&gt;&lt;dates&gt;&lt;year&gt;2017&lt;/year&gt;&lt;pub-dates&gt;&lt;date&gt;May 31&lt;/date&gt;&lt;/pub-dates&gt;&lt;/dates&gt;&lt;isbn&gt;2050-084X (Electronic)&amp;#xD;2050-084X (Linking)&lt;/isbn&gt;&lt;accession-num&gt;28561733&lt;/accession-num&gt;&lt;urls&gt;&lt;related-urls&gt;&lt;url&gt;https://www.ncbi.nlm.nih.gov/pubmed/28561733&lt;/url&gt;&lt;/related-urls&gt;&lt;/urls&gt;&lt;/record&gt;&lt;/Cite&gt;&lt;/EndNote&gt;</w:instrText>
      </w:r>
      <w:r w:rsidRPr="002570D6">
        <w:rPr>
          <w:rFonts w:cs="Times New Roman"/>
        </w:rPr>
        <w:fldChar w:fldCharType="separate"/>
      </w:r>
      <w:r w:rsidRPr="002570D6">
        <w:rPr>
          <w:rFonts w:cs="Times New Roman"/>
          <w:noProof/>
        </w:rPr>
        <w:t xml:space="preserve">(Paulino </w:t>
      </w:r>
      <w:r w:rsidR="00FA7660" w:rsidRPr="002570D6">
        <w:rPr>
          <w:rFonts w:cs="Times New Roman"/>
          <w:noProof/>
        </w:rPr>
        <w:t>et al.</w:t>
      </w:r>
      <w:r w:rsidRPr="002570D6">
        <w:rPr>
          <w:rFonts w:cs="Times New Roman"/>
          <w:noProof/>
        </w:rPr>
        <w:t>, 2017)</w:t>
      </w:r>
      <w:r w:rsidRPr="002570D6">
        <w:rPr>
          <w:rFonts w:cs="Times New Roman"/>
        </w:rPr>
        <w:fldChar w:fldCharType="end"/>
      </w:r>
      <w:r w:rsidRPr="002570D6">
        <w:rPr>
          <w:rFonts w:cs="Times New Roman"/>
        </w:rPr>
        <w:t>. The energy profile displayed in Figure 1D or Figure 1</w:t>
      </w:r>
      <w:r w:rsidR="00FA7660" w:rsidRPr="002570D6">
        <w:rPr>
          <w:rFonts w:cs="Times New Roman"/>
        </w:rPr>
        <w:t>—figure supplement</w:t>
      </w:r>
      <w:r w:rsidRPr="002570D6">
        <w:rPr>
          <w:rFonts w:cs="Times New Roman"/>
        </w:rPr>
        <w:t xml:space="preserve"> 1 represents the potential of mean force for permeation in the absence of an applied electric field, where, in symmetric ion concentrations, the system is at equilibrium and there is no net flux in either direction. Upon application of a potential difference, the model predicts ionic currents. In such case, rectification is a consequence of the asymmetric free energy profile. The location of the barrier maximum governs the shape of the I-V relation, which becomes increasingly outwardly rectifying when </w:t>
      </w:r>
      <w:r w:rsidRPr="002570D6">
        <w:rPr>
          <w:rFonts w:cs="Times New Roman"/>
        </w:rPr>
        <w:lastRenderedPageBreak/>
        <w:t>the barrier maximum moves closer to the inner end. We note that the I-V relation is a function of both occupancy and rate of barrier crossing. Unlike the pseudo-ohmic cases, in case of low symmetric barriers, where the total occupancy remains approximately constant, ion depletion occurs in cases of an increased intracellular barrier at negative voltages where the channel is less conductive while ion accumulation occurs at positive voltages (</w:t>
      </w:r>
      <w:r w:rsidR="00FA7660" w:rsidRPr="002570D6">
        <w:rPr>
          <w:rFonts w:cs="Times New Roman"/>
        </w:rPr>
        <w:t>Author response image 1</w:t>
      </w:r>
      <w:r w:rsidRPr="002570D6">
        <w:rPr>
          <w:rFonts w:cs="Times New Roman"/>
        </w:rPr>
        <w:t xml:space="preserve">). Both behaviors likely account for the resulting outward rectification and the general reduction in ion conductance. The latter corresponds to an effect that also affects the outward current (as indicated by the reduction of current at positive voltages in the I-V profiles in </w:t>
      </w:r>
      <w:r w:rsidR="00FA7660" w:rsidRPr="002570D6">
        <w:rPr>
          <w:rFonts w:cs="Times New Roman"/>
        </w:rPr>
        <w:t>Author response image 1</w:t>
      </w:r>
      <w:r w:rsidRPr="002570D6">
        <w:rPr>
          <w:rFonts w:cs="Times New Roman"/>
        </w:rPr>
        <w:t>).</w:t>
      </w:r>
    </w:p>
    <w:p w14:paraId="3024B3D6" w14:textId="77777777" w:rsidR="00FA7660" w:rsidRPr="002570D6" w:rsidRDefault="00FA7660" w:rsidP="00165149">
      <w:pPr>
        <w:rPr>
          <w:rFonts w:cs="Times New Roman"/>
        </w:rPr>
      </w:pPr>
    </w:p>
    <w:p w14:paraId="13962469" w14:textId="77777777" w:rsidR="00FA7660" w:rsidRPr="002570D6" w:rsidRDefault="00FA7660" w:rsidP="00FA7660">
      <w:pPr>
        <w:rPr>
          <w:rFonts w:eastAsia="Times New Roman" w:cs="Times New Roman"/>
          <w:lang w:eastAsia="en-GB"/>
        </w:rPr>
      </w:pPr>
      <w:bookmarkStart w:id="0" w:name="_Hlk482177074"/>
      <w:bookmarkStart w:id="1" w:name="_Hlk482177220"/>
      <w:r w:rsidRPr="002570D6">
        <w:rPr>
          <w:rFonts w:eastAsia="Times New Roman" w:cs="Arial"/>
          <w:color w:val="000000"/>
          <w:shd w:val="clear" w:color="auto" w:fill="FFFF00"/>
          <w:lang w:eastAsia="en-GB"/>
        </w:rPr>
        <w:t>&lt;Author response image 1&gt;</w:t>
      </w:r>
    </w:p>
    <w:bookmarkEnd w:id="0"/>
    <w:p w14:paraId="01FF90D0" w14:textId="77777777" w:rsidR="00FA7660" w:rsidRPr="002570D6" w:rsidRDefault="00FA7660" w:rsidP="00FA7660">
      <w:pPr>
        <w:rPr>
          <w:rFonts w:eastAsia="Times New Roman" w:cs="Times New Roman"/>
          <w:lang w:eastAsia="en-GB"/>
        </w:rPr>
      </w:pPr>
    </w:p>
    <w:p w14:paraId="01C4C16F" w14:textId="3FF3FE9E" w:rsidR="00FA7660" w:rsidRPr="002570D6" w:rsidRDefault="00FA7660" w:rsidP="00FA7660">
      <w:pPr>
        <w:rPr>
          <w:rFonts w:cs="Times New Roman"/>
        </w:rPr>
      </w:pPr>
      <w:r w:rsidRPr="002570D6">
        <w:rPr>
          <w:rFonts w:eastAsia="Times New Roman" w:cs="Arial"/>
          <w:color w:val="000000"/>
          <w:shd w:val="clear" w:color="auto" w:fill="FFFF00"/>
          <w:lang w:eastAsia="en-GB"/>
        </w:rPr>
        <w:t>&lt;Author response image 1 title/legend&gt;</w:t>
      </w:r>
      <w:r w:rsidRPr="002570D6">
        <w:rPr>
          <w:rFonts w:eastAsia="Times New Roman" w:cs="Arial"/>
          <w:b/>
          <w:bCs/>
          <w:color w:val="000000"/>
          <w:lang w:eastAsia="en-GB"/>
        </w:rPr>
        <w:t>Author response image 1.</w:t>
      </w:r>
      <w:r w:rsidRPr="002570D6">
        <w:rPr>
          <w:rFonts w:cs="Times New Roman"/>
        </w:rPr>
        <w:t xml:space="preserve"> Model calculations based on the energy profile of G644P at zero Ca</w:t>
      </w:r>
      <w:r w:rsidRPr="002570D6">
        <w:rPr>
          <w:rFonts w:cs="Times New Roman"/>
          <w:vertAlign w:val="superscript"/>
        </w:rPr>
        <w:t>2+</w:t>
      </w:r>
      <w:r w:rsidRPr="002570D6">
        <w:rPr>
          <w:rFonts w:cs="Times New Roman"/>
        </w:rPr>
        <w:t xml:space="preserve"> (top) and a WT-like channel with a totally symmetric energy profile (bottom). Left, Ion occupancy in the model channel relative to that at the outermost wells (p</w:t>
      </w:r>
      <w:r w:rsidRPr="002570D6">
        <w:rPr>
          <w:rFonts w:cs="Times New Roman"/>
          <w:vertAlign w:val="subscript"/>
        </w:rPr>
        <w:t>n</w:t>
      </w:r>
      <w:r w:rsidRPr="002570D6">
        <w:rPr>
          <w:rFonts w:cs="Times New Roman"/>
        </w:rPr>
        <w:t xml:space="preserve"> or p</w:t>
      </w:r>
      <w:r w:rsidRPr="002570D6">
        <w:rPr>
          <w:rFonts w:cs="Times New Roman"/>
          <w:vertAlign w:val="subscript"/>
        </w:rPr>
        <w:t>0</w:t>
      </w:r>
      <w:r w:rsidRPr="002570D6">
        <w:rPr>
          <w:rFonts w:cs="Times New Roman"/>
        </w:rPr>
        <w:t xml:space="preserve">) as a function of voltage at the indicated locations. Right, Shape of the I-V relation at steady state. At zero voltage, the relative occupancy is 1 for all cases because our model assumes no binding affinity when no voltage gradient is present. The curves on the left panels were calculated using </w:t>
      </w:r>
    </w:p>
    <w:p w14:paraId="49250C95" w14:textId="77777777" w:rsidR="007F0834" w:rsidRPr="002570D6" w:rsidRDefault="007F0834" w:rsidP="00FA7660">
      <w:pPr>
        <w:rPr>
          <w:rFonts w:cs="Times New Roman"/>
        </w:rPr>
      </w:pPr>
    </w:p>
    <w:p w14:paraId="743D6443" w14:textId="77777777" w:rsidR="00FA7660" w:rsidRPr="002570D6" w:rsidRDefault="002570D6" w:rsidP="00FA7660">
      <w:pPr>
        <w:rPr>
          <w:rStyle w:val="mi"/>
          <w:iCs/>
        </w:rPr>
      </w:pPr>
      <m:oMathPara>
        <m:oMath>
          <m:f>
            <m:fPr>
              <m:ctrlPr>
                <w:rPr>
                  <w:rFonts w:ascii="Cambria Math" w:hAnsi="Cambria Math"/>
                  <w:i/>
                  <w:iCs/>
                </w:rPr>
              </m:ctrlPr>
            </m:fPr>
            <m:num>
              <m:sSub>
                <m:sSubPr>
                  <m:ctrlPr>
                    <w:rPr>
                      <w:rFonts w:ascii="Cambria Math" w:hAnsi="Cambria Math"/>
                      <w:i/>
                      <w:iCs/>
                    </w:rPr>
                  </m:ctrlPr>
                </m:sSubPr>
                <m:e>
                  <m:r>
                    <w:rPr>
                      <w:rStyle w:val="mi"/>
                      <w:rFonts w:ascii="Cambria Math" w:hAnsi="Cambria Math"/>
                    </w:rPr>
                    <m:t>p</m:t>
                  </m:r>
                </m:e>
                <m:sub>
                  <m:r>
                    <w:rPr>
                      <w:rStyle w:val="mi"/>
                      <w:rFonts w:ascii="Cambria Math" w:hAnsi="Cambria Math"/>
                    </w:rPr>
                    <m:t>1</m:t>
                  </m:r>
                </m:sub>
              </m:sSub>
            </m:num>
            <m:den>
              <m:r>
                <w:rPr>
                  <w:rStyle w:val="mi"/>
                  <w:rFonts w:ascii="Cambria Math" w:hAnsi="Cambria Math"/>
                </w:rPr>
                <m:t>vc</m:t>
              </m:r>
            </m:den>
          </m:f>
          <m:r>
            <m:rPr>
              <m:sty m:val="p"/>
            </m:rPr>
            <w:rPr>
              <w:rStyle w:val="mo"/>
              <w:rFonts w:ascii="Cambria Math" w:hAnsi="Cambria Math"/>
            </w:rPr>
            <m:t>=</m:t>
          </m:r>
          <m:r>
            <w:rPr>
              <w:rStyle w:val="mi"/>
              <w:rFonts w:ascii="Cambria Math" w:hAnsi="Cambria Math"/>
            </w:rPr>
            <m:t>ϕ</m:t>
          </m:r>
          <m:r>
            <m:rPr>
              <m:sty m:val="p"/>
            </m:rPr>
            <w:rPr>
              <w:rStyle w:val="mo"/>
              <w:rFonts w:ascii="Cambria Math" w:hAnsi="Cambria Math"/>
            </w:rPr>
            <m:t>+</m:t>
          </m:r>
          <m:f>
            <m:fPr>
              <m:ctrlPr>
                <w:rPr>
                  <w:rFonts w:ascii="Cambria Math" w:hAnsi="Cambria Math"/>
                  <w:i/>
                  <w:iCs/>
                </w:rPr>
              </m:ctrlPr>
            </m:fPr>
            <m:num>
              <m:r>
                <w:rPr>
                  <w:rStyle w:val="mi"/>
                  <w:rFonts w:ascii="Cambria Math" w:hAnsi="Cambria Math"/>
                </w:rPr>
                <m:t>J</m:t>
              </m:r>
            </m:num>
            <m:den>
              <m:r>
                <w:rPr>
                  <w:rStyle w:val="mi"/>
                  <w:rFonts w:ascii="Cambria Math" w:hAnsi="Cambria Math"/>
                </w:rPr>
                <m:t>vc</m:t>
              </m:r>
              <m:sSub>
                <m:sSubPr>
                  <m:ctrlPr>
                    <w:rPr>
                      <w:rFonts w:ascii="Cambria Math" w:hAnsi="Cambria Math"/>
                      <w:i/>
                      <w:iCs/>
                    </w:rPr>
                  </m:ctrlPr>
                </m:sSubPr>
                <m:e>
                  <m:r>
                    <w:rPr>
                      <w:rStyle w:val="mi"/>
                      <w:rFonts w:ascii="Cambria Math" w:hAnsi="Cambria Math"/>
                    </w:rPr>
                    <m:t>β</m:t>
                  </m:r>
                </m:e>
                <m:sub>
                  <m:r>
                    <w:rPr>
                      <w:rStyle w:val="mi"/>
                      <w:rFonts w:ascii="Cambria Math" w:hAnsi="Cambria Math"/>
                    </w:rPr>
                    <m:t>V</m:t>
                  </m:r>
                </m:sub>
              </m:sSub>
            </m:den>
          </m:f>
        </m:oMath>
      </m:oMathPara>
    </w:p>
    <w:p w14:paraId="723C4D3C" w14:textId="42E3D4DA" w:rsidR="00FA7660" w:rsidRPr="002570D6" w:rsidRDefault="002570D6" w:rsidP="00FA7660">
      <m:oMathPara>
        <m:oMath>
          <m:f>
            <m:fPr>
              <m:ctrlPr>
                <w:rPr>
                  <w:rFonts w:ascii="Cambria Math" w:hAnsi="Cambria Math"/>
                  <w:i/>
                  <w:iCs/>
                </w:rPr>
              </m:ctrlPr>
            </m:fPr>
            <m:num>
              <m:sSub>
                <m:sSubPr>
                  <m:ctrlPr>
                    <w:rPr>
                      <w:rFonts w:ascii="Cambria Math" w:hAnsi="Cambria Math"/>
                      <w:i/>
                      <w:iCs/>
                    </w:rPr>
                  </m:ctrlPr>
                </m:sSubPr>
                <m:e>
                  <m:r>
                    <w:rPr>
                      <w:rStyle w:val="mi"/>
                      <w:rFonts w:ascii="Cambria Math" w:hAnsi="Cambria Math"/>
                    </w:rPr>
                    <m:t>p</m:t>
                  </m:r>
                </m:e>
                <m:sub>
                  <m:r>
                    <w:rPr>
                      <w:rStyle w:val="mi"/>
                      <w:rFonts w:ascii="Cambria Math" w:hAnsi="Cambria Math"/>
                    </w:rPr>
                    <m:t>n-1</m:t>
                  </m:r>
                </m:sub>
              </m:sSub>
            </m:num>
            <m:den>
              <m:r>
                <w:rPr>
                  <w:rStyle w:val="mi"/>
                  <w:rFonts w:ascii="Cambria Math" w:hAnsi="Cambria Math"/>
                </w:rPr>
                <m:t>vc</m:t>
              </m:r>
            </m:den>
          </m:f>
          <m:r>
            <w:rPr>
              <w:rStyle w:val="mi"/>
              <w:rFonts w:ascii="Cambria Math" w:hAnsi="Cambria Math"/>
            </w:rPr>
            <m:t>=</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n-1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vc</m:t>
              </m:r>
              <m:sSub>
                <m:sSubPr>
                  <m:ctrlPr>
                    <w:rPr>
                      <w:rFonts w:ascii="Cambria Math" w:hAnsi="Cambria Math"/>
                      <w:i/>
                      <w:iCs/>
                    </w:rPr>
                  </m:ctrlPr>
                </m:sSubPr>
                <m:e>
                  <m:r>
                    <w:rPr>
                      <w:rStyle w:val="mi"/>
                      <w:rFonts w:ascii="Cambria Math" w:hAnsi="Cambria Math"/>
                    </w:rPr>
                    <m:t>β</m:t>
                  </m:r>
                </m:e>
                <m:sub>
                  <m:r>
                    <w:rPr>
                      <w:rStyle w:val="mi"/>
                      <w:rFonts w:ascii="Cambria Math" w:hAnsi="Cambria Math"/>
                    </w:rPr>
                    <m:t>V</m:t>
                  </m:r>
                </m:sub>
              </m:sSub>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n-2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n-2</m:t>
                          </m:r>
                        </m:sup>
                      </m:sSup>
                    </m:num>
                    <m:den>
                      <m:r>
                        <w:rPr>
                          <w:rFonts w:ascii="Cambria Math" w:hAnsi="Cambria Math" w:cs="Times New Roman"/>
                        </w:rPr>
                        <m:t>1-ϕ</m:t>
                      </m:r>
                    </m:den>
                  </m:f>
                </m:e>
              </m:d>
            </m:e>
          </m:d>
        </m:oMath>
      </m:oMathPara>
    </w:p>
    <w:p w14:paraId="39698A62" w14:textId="77777777" w:rsidR="00FA7660" w:rsidRPr="002570D6" w:rsidRDefault="00FA7660" w:rsidP="00FA7660">
      <w:pPr>
        <w:rPr>
          <w:rFonts w:eastAsiaTheme="minorHAnsi"/>
        </w:rPr>
      </w:pPr>
    </w:p>
    <w:p w14:paraId="0E6BE120" w14:textId="20EEAD9E" w:rsidR="00FA7660" w:rsidRPr="002570D6" w:rsidRDefault="00FA7660" w:rsidP="00FA7660">
      <w:pPr>
        <w:rPr>
          <w:rFonts w:cs="Times New Roman"/>
        </w:rPr>
      </w:pPr>
      <w:r w:rsidRPr="002570D6">
        <w:rPr>
          <w:rFonts w:cs="Times New Roman"/>
        </w:rPr>
        <w:t>and those on the right panels using</w:t>
      </w:r>
    </w:p>
    <w:p w14:paraId="7F873BF8" w14:textId="77777777" w:rsidR="00FA7660" w:rsidRPr="002570D6" w:rsidRDefault="00FA7660" w:rsidP="00FA7660">
      <w:pPr>
        <w:rPr>
          <w:rFonts w:cs="Times New Roman"/>
        </w:rPr>
      </w:pPr>
    </w:p>
    <w:p w14:paraId="5BA83282" w14:textId="7533ADF3" w:rsidR="00FA7660" w:rsidRPr="002570D6" w:rsidRDefault="00FA7660" w:rsidP="00FA7660">
      <w:pPr>
        <w:rPr>
          <w:rFonts w:cs="Times New Roman"/>
        </w:rPr>
      </w:pPr>
      <m:oMathPara>
        <m:oMath>
          <m:r>
            <w:rPr>
              <w:rFonts w:ascii="Cambria Math" w:hAnsi="Cambria Math" w:cs="Times New Roman"/>
            </w:rPr>
            <m:t>I=zFJ</m:t>
          </m:r>
        </m:oMath>
      </m:oMathPara>
    </w:p>
    <w:p w14:paraId="5AA53FA8" w14:textId="77777777" w:rsidR="00FA7660" w:rsidRPr="002570D6" w:rsidRDefault="00FA7660" w:rsidP="00FA7660">
      <w:pPr>
        <w:rPr>
          <w:rFonts w:cs="Times New Roman"/>
        </w:rPr>
      </w:pPr>
    </w:p>
    <w:p w14:paraId="5EA693AB" w14:textId="0E7BC3F3" w:rsidR="00FA7660" w:rsidRPr="002570D6" w:rsidRDefault="007F0834" w:rsidP="00FA7660">
      <w:pPr>
        <w:rPr>
          <w:rFonts w:cs="Times New Roman"/>
        </w:rPr>
      </w:pPr>
      <w:r w:rsidRPr="002570D6">
        <w:rPr>
          <w:rFonts w:cs="Times New Roman"/>
        </w:rPr>
        <w:t>w</w:t>
      </w:r>
      <w:r w:rsidR="00FA7660" w:rsidRPr="002570D6">
        <w:rPr>
          <w:rFonts w:cs="Times New Roman"/>
        </w:rPr>
        <w:t>here</w:t>
      </w:r>
    </w:p>
    <w:p w14:paraId="4C263F06" w14:textId="77777777" w:rsidR="00FA7660" w:rsidRPr="002570D6" w:rsidRDefault="00FA7660" w:rsidP="00FA7660">
      <w:pPr>
        <w:rPr>
          <w:rFonts w:cs="Times New Roman"/>
        </w:rPr>
      </w:pPr>
    </w:p>
    <w:p w14:paraId="377BFD49" w14:textId="52246DA5" w:rsidR="00FA7660" w:rsidRPr="002570D6" w:rsidRDefault="00FA7660" w:rsidP="002570D6">
      <w:pPr>
        <w:jc w:val="center"/>
        <w:rPr>
          <w:rFonts w:cs="Times New Roman"/>
        </w:rPr>
      </w:pPr>
      <m:oMathPara>
        <m:oMath>
          <m:r>
            <w:rPr>
              <w:rFonts w:ascii="Cambria Math" w:hAnsi="Cambria Math" w:cs="Times New Roman"/>
            </w:rPr>
            <m:t>J=</m:t>
          </m:r>
          <m:f>
            <m:fPr>
              <m:ctrlPr>
                <w:rPr>
                  <w:rFonts w:ascii="Cambria Math" w:hAnsi="Cambria Math" w:cs="Times New Roman"/>
                  <w:i/>
                </w:rPr>
              </m:ctrlPr>
            </m:fPr>
            <m:num>
              <m:sSub>
                <m:sSubPr>
                  <m:ctrlPr>
                    <w:rPr>
                      <w:rFonts w:ascii="Cambria Math" w:hAnsi="Cambria Math"/>
                      <w:i/>
                      <w:iCs/>
                    </w:rPr>
                  </m:ctrlPr>
                </m:sSubPr>
                <m:e>
                  <m:r>
                    <w:rPr>
                      <w:rStyle w:val="mi"/>
                      <w:rFonts w:ascii="Cambria Math" w:hAnsi="Cambria Math"/>
                    </w:rPr>
                    <m:t>β</m:t>
                  </m:r>
                </m:e>
                <m:sub>
                  <m:r>
                    <w:rPr>
                      <w:rStyle w:val="mi"/>
                      <w:rFonts w:ascii="Cambria Math" w:hAnsi="Cambria Math"/>
                    </w:rPr>
                    <m:t>V</m:t>
                  </m:r>
                </m:sub>
              </m:sSub>
              <m:r>
                <w:rPr>
                  <w:rFonts w:ascii="Cambria Math" w:hAnsi="Cambria Math" w:cs="Times New Roman"/>
                </w:rPr>
                <m:t>vc</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n</m:t>
                      </m:r>
                    </m:sup>
                  </m:sSup>
                </m:e>
              </m:d>
            </m:num>
            <m:den>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n-1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den>
              </m:f>
              <m:r>
                <w:rPr>
                  <w:rFonts w:ascii="Cambria Math" w:hAnsi="Cambria Math" w:cs="Times New Roman"/>
                </w:rPr>
                <m:t>ϕ</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n-2</m:t>
                          </m:r>
                        </m:sup>
                      </m:sSup>
                    </m:num>
                    <m:den>
                      <m:r>
                        <w:rPr>
                          <w:rFonts w:ascii="Cambria Math" w:hAnsi="Cambria Math" w:cs="Times New Roman"/>
                        </w:rPr>
                        <m:t>1-ϕ</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den>
              </m:f>
            </m:den>
          </m:f>
        </m:oMath>
      </m:oMathPara>
    </w:p>
    <w:p w14:paraId="2AB09E28" w14:textId="77777777" w:rsidR="00FA7660" w:rsidRPr="002570D6" w:rsidRDefault="00FA7660" w:rsidP="00FA7660">
      <w:pPr>
        <w:rPr>
          <w:rFonts w:cs="Times New Roman"/>
        </w:rPr>
      </w:pPr>
      <m:oMathPara>
        <m:oMath>
          <m:r>
            <w:rPr>
              <w:rFonts w:ascii="Cambria Math" w:hAnsi="Cambria Math" w:cs="Times New Roman"/>
            </w:rPr>
            <m:t>ϕ=</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zFV</m:t>
                  </m:r>
                </m:num>
                <m:den>
                  <m:r>
                    <w:rPr>
                      <w:rFonts w:ascii="Cambria Math" w:hAnsi="Cambria Math" w:cs="Times New Roman"/>
                    </w:rPr>
                    <m:t>nRT</m:t>
                  </m:r>
                </m:den>
              </m:f>
            </m:sup>
          </m:sSup>
        </m:oMath>
      </m:oMathPara>
    </w:p>
    <w:p w14:paraId="54B026B1" w14:textId="5A8F4762" w:rsidR="00FA7660" w:rsidRPr="002570D6" w:rsidRDefault="002570D6" w:rsidP="00FA7660">
      <w:pPr>
        <w:rPr>
          <w:rFonts w:cs="Times New Roman"/>
        </w:rPr>
      </w:pPr>
      <m:oMathPara>
        <m:oMath>
          <m:sSub>
            <m:sSubPr>
              <m:ctrlPr>
                <w:rPr>
                  <w:rFonts w:ascii="Cambria Math" w:hAnsi="Cambria Math"/>
                  <w:i/>
                  <w:iCs/>
                </w:rPr>
              </m:ctrlPr>
            </m:sSubPr>
            <m:e>
              <m:r>
                <w:rPr>
                  <w:rStyle w:val="mi"/>
                  <w:rFonts w:ascii="Cambria Math" w:hAnsi="Cambria Math"/>
                </w:rPr>
                <m:t>β</m:t>
              </m:r>
            </m:e>
            <m:sub>
              <m:r>
                <w:rPr>
                  <w:rStyle w:val="mi"/>
                  <w:rFonts w:ascii="Cambria Math" w:hAnsi="Cambria Math"/>
                </w:rPr>
                <m:t>V</m:t>
              </m:r>
            </m:sub>
          </m:sSub>
          <m:r>
            <w:rPr>
              <w:rStyle w:val="mi"/>
              <w:rFonts w:ascii="Cambria Math" w:hAnsi="Cambria Math"/>
            </w:rPr>
            <m:t>=</m:t>
          </m:r>
          <m:sSub>
            <m:sSubPr>
              <m:ctrlPr>
                <w:rPr>
                  <w:rFonts w:ascii="Cambria Math" w:hAnsi="Cambria Math"/>
                  <w:i/>
                  <w:iCs/>
                </w:rPr>
              </m:ctrlPr>
            </m:sSubPr>
            <m:e>
              <m:r>
                <w:rPr>
                  <w:rStyle w:val="mi"/>
                  <w:rFonts w:ascii="Cambria Math" w:hAnsi="Cambria Math"/>
                </w:rPr>
                <m:t>β</m:t>
              </m:r>
            </m:e>
            <m:sub>
              <m:r>
                <w:rPr>
                  <w:rStyle w:val="mi"/>
                  <w:rFonts w:ascii="Cambria Math" w:hAnsi="Cambria Math"/>
                </w:rPr>
                <m:t>0</m:t>
              </m:r>
            </m:sub>
          </m:sSub>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zFV</m:t>
                  </m:r>
                </m:num>
                <m:den>
                  <m:r>
                    <w:rPr>
                      <w:rFonts w:ascii="Cambria Math" w:hAnsi="Cambria Math" w:cs="Times New Roman"/>
                    </w:rPr>
                    <m:t>2nRT</m:t>
                  </m:r>
                </m:den>
              </m:f>
            </m:sup>
          </m:sSup>
        </m:oMath>
      </m:oMathPara>
    </w:p>
    <w:p w14:paraId="45B24F6C" w14:textId="77777777" w:rsidR="00FA7660" w:rsidRPr="002570D6" w:rsidRDefault="00FA7660" w:rsidP="00FA7660">
      <w:pPr>
        <w:rPr>
          <w:rFonts w:cs="Times New Roman"/>
        </w:rPr>
      </w:pPr>
    </w:p>
    <w:p w14:paraId="446325AC" w14:textId="3D18FEDE" w:rsidR="00FA7660" w:rsidRPr="002570D6" w:rsidRDefault="00FA7660" w:rsidP="00FA7660">
      <w:pPr>
        <w:rPr>
          <w:rFonts w:eastAsia="Times New Roman" w:cs="Times New Roman"/>
          <w:lang w:eastAsia="en-GB"/>
        </w:rPr>
      </w:pPr>
      <w:r w:rsidRPr="002570D6">
        <w:rPr>
          <w:rFonts w:cs="Times New Roman"/>
        </w:rPr>
        <w:t xml:space="preserve">under symmetrical ionic conditions. The number of barriers </w:t>
      </w:r>
      <m:oMath>
        <m:r>
          <w:rPr>
            <w:rFonts w:ascii="Cambria Math" w:hAnsi="Cambria Math" w:cs="Times New Roman"/>
          </w:rPr>
          <m:t>n</m:t>
        </m:r>
      </m:oMath>
      <w:r w:rsidRPr="002570D6">
        <w:rPr>
          <w:rFonts w:cs="Times New Roman"/>
        </w:rPr>
        <w:t xml:space="preserve"> is 3 in this model. This has been determined to describe the conduction properties of mutants in our previous study </w:t>
      </w:r>
      <w:r w:rsidRPr="002570D6">
        <w:rPr>
          <w:rFonts w:cs="Times New Roman"/>
        </w:rPr>
        <w:fldChar w:fldCharType="begin"/>
      </w:r>
      <w:r w:rsidRPr="002570D6">
        <w:rPr>
          <w:rFonts w:cs="Times New Roman"/>
        </w:rPr>
        <w:instrText xml:space="preserve"> ADDIN EN.CITE &lt;EndNote&gt;&lt;Cite&gt;&lt;Author&gt;Paulino&lt;/Author&gt;&lt;Year&gt;2017&lt;/Year&gt;&lt;RecNum&gt;576&lt;/RecNum&gt;&lt;DisplayText&gt;(Paulino et al., 2017)&lt;/DisplayText&gt;&lt;record&gt;&lt;rec-number&gt;576&lt;/rec-number&gt;&lt;foreign-keys&gt;&lt;key app="EN" db-id="ta2avwe0oree26edfspxxxp2xaxd05rpvxsp" timestamp="1493040853"&gt;576&lt;/key&gt;&lt;/foreign-keys&gt;&lt;ref-type name="Journal Article"&gt;17&lt;/ref-type&gt;&lt;contributors&gt;&lt;authors&gt;&lt;author&gt;Paulino, C.&lt;/author&gt;&lt;author&gt;Neldner, Y.&lt;/author&gt;&lt;author&gt;Lam, A. K.&lt;/author&gt;&lt;author&gt;Kalienkova, V.&lt;/author&gt;&lt;author&gt;Brunner, J. D.&lt;/author&gt;&lt;author&gt;Schenck, S.&lt;/author&gt;&lt;author&gt;Dutzler, R.&lt;/author&gt;&lt;/authors&gt;&lt;/contributors&gt;&lt;auth-address&gt;Department of Biochemistry, University of Zurich, Zurich, Switzerland.&lt;/auth-address&gt;&lt;titles&gt;&lt;title&gt;Structural basis for anion conduction in the calcium-activated chloride channel TMEM16A&lt;/title&gt;&lt;secondary-title&gt;Elife&lt;/secondary-title&gt;&lt;/titles&gt;&lt;periodical&gt;&lt;full-title&gt;Elife&lt;/full-title&gt;&lt;abbr-1&gt;eLife&lt;/abbr-1&gt;&lt;/periodical&gt;&lt;volume&gt;6&lt;/volume&gt;&lt;keywords&gt;&lt;keyword&gt;Ligand Gated Ion Channels&lt;/keyword&gt;&lt;keyword&gt;biophysics&lt;/keyword&gt;&lt;keyword&gt;cryo-electron microscopy&lt;/keyword&gt;&lt;keyword&gt;ion permeation&lt;/keyword&gt;&lt;keyword&gt;mouse&lt;/keyword&gt;&lt;keyword&gt;patch-clamp electrophsiology&lt;/keyword&gt;&lt;keyword&gt;structural biology&lt;/keyword&gt;&lt;/keywords&gt;&lt;dates&gt;&lt;year&gt;2017&lt;/year&gt;&lt;pub-dates&gt;&lt;date&gt;May 31&lt;/date&gt;&lt;/pub-dates&gt;&lt;/dates&gt;&lt;isbn&gt;2050-084X (Electronic)&amp;#xD;2050-084X (Linking)&lt;/isbn&gt;&lt;accession-num&gt;28561733&lt;/accession-num&gt;&lt;urls&gt;&lt;related-urls&gt;&lt;url&gt;https://www.ncbi.nlm.nih.gov/pubmed/28561733&lt;/url&gt;&lt;/related-urls&gt;&lt;/urls&gt;&lt;/record&gt;&lt;/Cite&gt;&lt;/EndNote&gt;</w:instrText>
      </w:r>
      <w:r w:rsidRPr="002570D6">
        <w:rPr>
          <w:rFonts w:cs="Times New Roman"/>
        </w:rPr>
        <w:fldChar w:fldCharType="separate"/>
      </w:r>
      <w:r w:rsidRPr="002570D6">
        <w:rPr>
          <w:rFonts w:cs="Times New Roman"/>
          <w:noProof/>
        </w:rPr>
        <w:t>(Paulino et al., 2017)</w:t>
      </w:r>
      <w:r w:rsidRPr="002570D6">
        <w:rPr>
          <w:rFonts w:cs="Times New Roman"/>
        </w:rPr>
        <w:fldChar w:fldCharType="end"/>
      </w:r>
      <w:r w:rsidRPr="002570D6">
        <w:rPr>
          <w:rFonts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V</m:t>
            </m:r>
          </m:sub>
        </m:sSub>
      </m:oMath>
      <w:r w:rsidRPr="002570D6">
        <w:rPr>
          <w:rFonts w:cs="Times New Roman"/>
        </w:rPr>
        <w:t xml:space="preserve"> is the voltage-dependent rate constant of the outermost barrier. The rate constant of the innermost barrier is defined as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V</m:t>
            </m:r>
          </m:sub>
        </m:sSub>
      </m:oMath>
      <w:r w:rsidRPr="002570D6">
        <w:rPr>
          <w:rFonts w:cs="Times New Roman"/>
        </w:rPr>
        <w:t xml:space="preserve"> and that of the middle barrier as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V</m:t>
            </m:r>
          </m:sub>
        </m:sSub>
      </m:oMath>
      <w:r w:rsidRPr="002570D6">
        <w:rPr>
          <w:rFonts w:cs="Times New Roman"/>
        </w:rPr>
        <w:t xml:space="preserve"> where both fitted parameters </w:t>
      </w:r>
      <w:r w:rsidRPr="002570D6">
        <w:rPr>
          <w:rFonts w:cs="Times New Roman"/>
          <w:i/>
        </w:rPr>
        <w:t>σ</w:t>
      </w:r>
      <w:r w:rsidRPr="002570D6">
        <w:rPr>
          <w:rFonts w:cs="Times New Roman"/>
          <w:i/>
          <w:vertAlign w:val="subscript"/>
        </w:rPr>
        <w:t>β</w:t>
      </w:r>
      <w:r w:rsidRPr="002570D6">
        <w:rPr>
          <w:rFonts w:cs="Times New Roman"/>
          <w:vertAlign w:val="subscript"/>
        </w:rPr>
        <w:t xml:space="preserve"> </w:t>
      </w:r>
      <w:r w:rsidRPr="002570D6">
        <w:rPr>
          <w:rFonts w:cs="Times New Roman"/>
        </w:rPr>
        <w:t xml:space="preserve">and </w:t>
      </w:r>
      <w:r w:rsidRPr="002570D6">
        <w:rPr>
          <w:rFonts w:cs="Times New Roman"/>
          <w:i/>
        </w:rPr>
        <w:t>σ</w:t>
      </w:r>
      <w:r w:rsidRPr="002570D6">
        <w:rPr>
          <w:rFonts w:cs="Times New Roman"/>
          <w:i/>
          <w:vertAlign w:val="subscript"/>
        </w:rPr>
        <w:t>h</w:t>
      </w:r>
      <w:r w:rsidRPr="002570D6">
        <w:rPr>
          <w:rFonts w:cs="Times New Roman"/>
          <w:vertAlign w:val="subscript"/>
        </w:rPr>
        <w:t xml:space="preserve"> </w:t>
      </w:r>
      <w:r w:rsidRPr="002570D6">
        <w:rPr>
          <w:rFonts w:cs="Times New Roman"/>
        </w:rPr>
        <w:t>are</w:t>
      </w:r>
      <w:r w:rsidRPr="002570D6">
        <w:rPr>
          <w:rFonts w:cs="Times New Roman"/>
          <w:vertAlign w:val="subscript"/>
        </w:rPr>
        <w:t xml:space="preserve"> </w:t>
      </w:r>
      <w:r w:rsidRPr="002570D6">
        <w:rPr>
          <w:rFonts w:cs="Times New Roman"/>
        </w:rPr>
        <w:t xml:space="preserve">independent of voltage. </w:t>
      </w:r>
      <m:oMath>
        <m:sSub>
          <m:sSubPr>
            <m:ctrlPr>
              <w:rPr>
                <w:rFonts w:ascii="Cambria Math" w:hAnsi="Cambria Math"/>
                <w:i/>
                <w:iCs/>
              </w:rPr>
            </m:ctrlPr>
          </m:sSubPr>
          <m:e>
            <m:r>
              <w:rPr>
                <w:rStyle w:val="mi"/>
                <w:rFonts w:ascii="Cambria Math" w:hAnsi="Cambria Math"/>
              </w:rPr>
              <m:t>p</m:t>
            </m:r>
          </m:e>
          <m:sub>
            <m:r>
              <w:rPr>
                <w:rStyle w:val="mi"/>
                <w:rFonts w:ascii="Cambria Math" w:hAnsi="Cambria Math"/>
              </w:rPr>
              <m:t>i</m:t>
            </m:r>
          </m:sub>
        </m:sSub>
      </m:oMath>
      <w:r w:rsidRPr="002570D6">
        <w:rPr>
          <w:rFonts w:cs="Times New Roman"/>
        </w:rPr>
        <w:t>’s are the probabilities of occupying the i</w:t>
      </w:r>
      <w:r w:rsidRPr="002570D6">
        <w:rPr>
          <w:rFonts w:cs="Times New Roman"/>
          <w:vertAlign w:val="superscript"/>
        </w:rPr>
        <w:t>th</w:t>
      </w:r>
      <w:r w:rsidRPr="002570D6">
        <w:rPr>
          <w:rFonts w:cs="Times New Roman"/>
        </w:rPr>
        <w:t xml:space="preserve"> wells (from </w:t>
      </w:r>
      <m:oMath>
        <m:sSub>
          <m:sSubPr>
            <m:ctrlPr>
              <w:rPr>
                <w:rFonts w:ascii="Cambria Math" w:hAnsi="Cambria Math"/>
                <w:i/>
                <w:iCs/>
              </w:rPr>
            </m:ctrlPr>
          </m:sSubPr>
          <m:e>
            <m:r>
              <w:rPr>
                <w:rStyle w:val="mi"/>
                <w:rFonts w:ascii="Cambria Math" w:hAnsi="Cambria Math"/>
              </w:rPr>
              <m:t>p</m:t>
            </m:r>
          </m:e>
          <m:sub>
            <m:r>
              <w:rPr>
                <w:rStyle w:val="mi"/>
                <w:rFonts w:ascii="Cambria Math" w:hAnsi="Cambria Math"/>
              </w:rPr>
              <m:t>0</m:t>
            </m:r>
          </m:sub>
        </m:sSub>
      </m:oMath>
      <w:r w:rsidRPr="002570D6">
        <w:rPr>
          <w:rFonts w:cs="Times New Roman"/>
        </w:rPr>
        <w:t xml:space="preserve"> to </w:t>
      </w:r>
      <m:oMath>
        <m:sSub>
          <m:sSubPr>
            <m:ctrlPr>
              <w:rPr>
                <w:rFonts w:ascii="Cambria Math" w:hAnsi="Cambria Math"/>
                <w:i/>
                <w:iCs/>
              </w:rPr>
            </m:ctrlPr>
          </m:sSubPr>
          <m:e>
            <m:r>
              <w:rPr>
                <w:rStyle w:val="mi"/>
                <w:rFonts w:ascii="Cambria Math" w:hAnsi="Cambria Math"/>
              </w:rPr>
              <m:t>p</m:t>
            </m:r>
          </m:e>
          <m:sub>
            <m:r>
              <w:rPr>
                <w:rStyle w:val="mi"/>
                <w:rFonts w:ascii="Cambria Math" w:hAnsi="Cambria Math"/>
              </w:rPr>
              <m:t>n</m:t>
            </m:r>
          </m:sub>
        </m:sSub>
      </m:oMath>
      <w:r w:rsidRPr="002570D6">
        <w:rPr>
          <w:rFonts w:cs="Times New Roman"/>
        </w:rPr>
        <w:t xml:space="preserve">). </w:t>
      </w:r>
      <w:r w:rsidRPr="002570D6">
        <w:rPr>
          <w:rFonts w:cs="Times New Roman"/>
          <w:i/>
        </w:rPr>
        <w:t>v</w:t>
      </w:r>
      <w:r w:rsidRPr="002570D6">
        <w:rPr>
          <w:rFonts w:cs="Times New Roman"/>
        </w:rPr>
        <w:t xml:space="preserve"> is a proportionality factor that has a dimension of volume and may be interpreted as the hypothetical volume for </w:t>
      </w:r>
      <w:r w:rsidRPr="002570D6">
        <w:rPr>
          <w:rFonts w:cs="Times New Roman"/>
        </w:rPr>
        <w:lastRenderedPageBreak/>
        <w:t xml:space="preserve">outermost well at the channel entrance. </w:t>
      </w:r>
      <m:oMath>
        <m:r>
          <w:rPr>
            <w:rFonts w:ascii="Cambria Math" w:hAnsi="Cambria Math" w:cs="Times New Roman"/>
          </w:rPr>
          <m:t>V</m:t>
        </m:r>
      </m:oMath>
      <w:r w:rsidRPr="002570D6">
        <w:rPr>
          <w:rFonts w:cs="Times New Roman"/>
        </w:rPr>
        <w:t xml:space="preserve"> is the membrane potential, </w:t>
      </w:r>
      <m:oMath>
        <m:r>
          <w:rPr>
            <w:rFonts w:ascii="Cambria Math" w:hAnsi="Cambria Math" w:cs="Times New Roman"/>
          </w:rPr>
          <m:t>z</m:t>
        </m:r>
      </m:oMath>
      <w:r w:rsidRPr="002570D6">
        <w:rPr>
          <w:rFonts w:cs="Times New Roman"/>
        </w:rPr>
        <w:t xml:space="preserve"> is the valence of the ion, and </w:t>
      </w:r>
      <m:oMath>
        <m:r>
          <w:rPr>
            <w:rFonts w:ascii="Cambria Math" w:hAnsi="Cambria Math" w:cs="Times New Roman"/>
          </w:rPr>
          <m:t>R</m:t>
        </m:r>
      </m:oMath>
      <w:r w:rsidRPr="002570D6">
        <w:rPr>
          <w:rFonts w:cs="Times New Roman"/>
        </w:rPr>
        <w:t xml:space="preserve">, </w:t>
      </w:r>
      <m:oMath>
        <m:r>
          <w:rPr>
            <w:rFonts w:ascii="Cambria Math" w:hAnsi="Cambria Math" w:cs="Times New Roman"/>
          </w:rPr>
          <m:t>T</m:t>
        </m:r>
      </m:oMath>
      <w:r w:rsidRPr="002570D6">
        <w:rPr>
          <w:rFonts w:cs="Times New Roman"/>
        </w:rPr>
        <w:t xml:space="preserve"> and </w:t>
      </w:r>
      <m:oMath>
        <m:r>
          <w:rPr>
            <w:rFonts w:ascii="Cambria Math" w:hAnsi="Cambria Math" w:cs="Times New Roman"/>
          </w:rPr>
          <m:t>F</m:t>
        </m:r>
      </m:oMath>
      <w:r w:rsidRPr="002570D6">
        <w:rPr>
          <w:rFonts w:cs="Times New Roman"/>
        </w:rPr>
        <w:t xml:space="preserve"> have their usual meanings.</w:t>
      </w:r>
      <w:r w:rsidRPr="002570D6">
        <w:rPr>
          <w:rFonts w:eastAsia="Times New Roman" w:cs="Arial"/>
          <w:color w:val="000000"/>
          <w:shd w:val="clear" w:color="auto" w:fill="FFFF00"/>
          <w:lang w:eastAsia="en-GB"/>
        </w:rPr>
        <w:t>&lt;/Author response image 1 title/legend&gt;</w:t>
      </w:r>
      <w:bookmarkEnd w:id="1"/>
    </w:p>
    <w:p w14:paraId="5CBCD904" w14:textId="77777777" w:rsidR="008B6971" w:rsidRPr="002570D6" w:rsidRDefault="008B6971" w:rsidP="00165149">
      <w:pPr>
        <w:rPr>
          <w:rFonts w:cs="Times New Roman"/>
        </w:rPr>
      </w:pPr>
    </w:p>
    <w:p w14:paraId="3A7C97A8" w14:textId="0B3216C0" w:rsidR="008B6971" w:rsidRPr="002570D6" w:rsidRDefault="008B6971" w:rsidP="00165149">
      <w:pPr>
        <w:rPr>
          <w:rFonts w:cs="Arial"/>
          <w:i/>
          <w:color w:val="000000"/>
          <w:shd w:val="clear" w:color="auto" w:fill="FFFFFF"/>
        </w:rPr>
      </w:pPr>
      <w:r w:rsidRPr="002570D6">
        <w:rPr>
          <w:rFonts w:cs="Arial"/>
          <w:i/>
          <w:color w:val="000000"/>
          <w:shd w:val="clear" w:color="auto" w:fill="FFFFFF"/>
        </w:rPr>
        <w:t>2) Furthermore, the second paragraph of the subsection “Data analysis” states that σ</w:t>
      </w:r>
      <w:r w:rsidRPr="002570D6">
        <w:rPr>
          <w:rFonts w:cs="Arial"/>
          <w:i/>
          <w:color w:val="000000"/>
          <w:shd w:val="clear" w:color="auto" w:fill="FFFFFF"/>
          <w:vertAlign w:val="subscript"/>
        </w:rPr>
        <w:t>h</w:t>
      </w:r>
      <w:r w:rsidRPr="002570D6">
        <w:rPr>
          <w:rFonts w:cs="Arial"/>
          <w:i/>
          <w:color w:val="000000"/>
          <w:shd w:val="clear" w:color="auto" w:fill="FFFFFF"/>
        </w:rPr>
        <w:t xml:space="preserve"> and σ</w:t>
      </w:r>
      <w:r w:rsidRPr="002570D6">
        <w:rPr>
          <w:rFonts w:cs="Arial"/>
          <w:i/>
          <w:color w:val="000000"/>
          <w:shd w:val="clear" w:color="auto" w:fill="FFFFFF"/>
          <w:vertAlign w:val="subscript"/>
        </w:rPr>
        <w:t>β</w:t>
      </w:r>
      <w:r w:rsidRPr="002570D6">
        <w:rPr>
          <w:rFonts w:cs="Arial"/>
          <w:i/>
          <w:color w:val="000000"/>
          <w:shd w:val="clear" w:color="auto" w:fill="FFFFFF"/>
        </w:rPr>
        <w:t xml:space="preserve"> are voltage-independent, but </w:t>
      </w:r>
      <w:r w:rsidR="00FA7660" w:rsidRPr="002570D6">
        <w:rPr>
          <w:rFonts w:cs="Arial"/>
          <w:i/>
          <w:color w:val="000000"/>
          <w:shd w:val="clear" w:color="auto" w:fill="FFFFFF"/>
        </w:rPr>
        <w:t xml:space="preserve">Figure </w:t>
      </w:r>
      <w:r w:rsidRPr="002570D6">
        <w:rPr>
          <w:rFonts w:cs="Arial"/>
          <w:i/>
          <w:color w:val="000000"/>
          <w:shd w:val="clear" w:color="auto" w:fill="FFFFFF"/>
        </w:rPr>
        <w:t>1G seems to show that σ</w:t>
      </w:r>
      <w:r w:rsidRPr="002570D6">
        <w:rPr>
          <w:rFonts w:cs="Arial"/>
          <w:i/>
          <w:color w:val="000000"/>
          <w:shd w:val="clear" w:color="auto" w:fill="FFFFFF"/>
          <w:vertAlign w:val="subscript"/>
        </w:rPr>
        <w:t>β</w:t>
      </w:r>
      <w:r w:rsidRPr="002570D6">
        <w:rPr>
          <w:rFonts w:cs="Arial"/>
          <w:i/>
          <w:color w:val="000000"/>
          <w:shd w:val="clear" w:color="auto" w:fill="FFFFFF"/>
        </w:rPr>
        <w:t xml:space="preserve"> is voltage-dependent.</w:t>
      </w:r>
    </w:p>
    <w:p w14:paraId="2DC572F6" w14:textId="77777777" w:rsidR="008B6971" w:rsidRPr="002570D6" w:rsidRDefault="008B6971" w:rsidP="00165149">
      <w:pPr>
        <w:rPr>
          <w:rFonts w:cs="Arial"/>
          <w:i/>
          <w:color w:val="000000"/>
          <w:shd w:val="clear" w:color="auto" w:fill="FFFFFF"/>
        </w:rPr>
      </w:pPr>
    </w:p>
    <w:p w14:paraId="1F1BF2BA" w14:textId="04C71062" w:rsidR="008B6971" w:rsidRPr="002570D6" w:rsidRDefault="008B6971" w:rsidP="00165149">
      <w:pPr>
        <w:rPr>
          <w:rFonts w:cs="Times New Roman"/>
        </w:rPr>
      </w:pPr>
      <w:r w:rsidRPr="002570D6">
        <w:rPr>
          <w:rFonts w:cs="Times New Roman"/>
          <w:i/>
        </w:rPr>
        <w:t>σ</w:t>
      </w:r>
      <w:r w:rsidRPr="002570D6">
        <w:rPr>
          <w:rFonts w:cs="Times New Roman"/>
          <w:i/>
          <w:vertAlign w:val="subscript"/>
        </w:rPr>
        <w:t>h</w:t>
      </w:r>
      <w:r w:rsidRPr="002570D6">
        <w:rPr>
          <w:rFonts w:cs="Times New Roman"/>
        </w:rPr>
        <w:t xml:space="preserve"> and </w:t>
      </w:r>
      <w:r w:rsidRPr="002570D6">
        <w:rPr>
          <w:rFonts w:cs="Times New Roman"/>
          <w:i/>
        </w:rPr>
        <w:t>σ</w:t>
      </w:r>
      <w:r w:rsidRPr="002570D6">
        <w:rPr>
          <w:rFonts w:cs="Times New Roman"/>
          <w:i/>
          <w:vertAlign w:val="subscript"/>
        </w:rPr>
        <w:t>β</w:t>
      </w:r>
      <w:r w:rsidRPr="002570D6">
        <w:rPr>
          <w:rFonts w:cs="Times New Roman"/>
        </w:rPr>
        <w:t xml:space="preserve"> are both not intrinsically voltage-dependent as they denote the ratio of the rate constants in the case of a linear voltage drop (also see equation above). In </w:t>
      </w:r>
      <w:r w:rsidR="00FA7660" w:rsidRPr="002570D6">
        <w:rPr>
          <w:rFonts w:cs="Times New Roman"/>
        </w:rPr>
        <w:t xml:space="preserve">Figure </w:t>
      </w:r>
      <w:r w:rsidRPr="002570D6">
        <w:rPr>
          <w:rFonts w:cs="Times New Roman"/>
        </w:rPr>
        <w:t>1G they are only voltage-dependent because they change as a function of calcium binding and calcium binding itself is voltage-dependent.</w:t>
      </w:r>
      <w:r w:rsidR="00FA7660" w:rsidRPr="002570D6">
        <w:rPr>
          <w:rFonts w:cs="Times New Roman"/>
        </w:rPr>
        <w:t xml:space="preserve"> </w:t>
      </w:r>
      <w:r w:rsidRPr="002570D6">
        <w:rPr>
          <w:rFonts w:cs="Times New Roman"/>
        </w:rPr>
        <w:t>We have added the following sentences to our manuscript:</w:t>
      </w:r>
    </w:p>
    <w:p w14:paraId="1DD10929" w14:textId="6A6BEE58" w:rsidR="008B6971" w:rsidRPr="002570D6" w:rsidRDefault="006F30F5" w:rsidP="00165149">
      <w:pPr>
        <w:rPr>
          <w:rFonts w:cs="Times New Roman"/>
        </w:rPr>
      </w:pPr>
      <w:r w:rsidRPr="002570D6">
        <w:rPr>
          <w:rFonts w:cs="Times New Roman"/>
        </w:rPr>
        <w:t>“</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vertAlign w:val="subscript"/>
              </w:rPr>
              <m:t>h</m:t>
            </m:r>
          </m:sub>
        </m:sSub>
      </m:oMath>
      <w:r w:rsidR="008B6971" w:rsidRPr="002570D6">
        <w:rPr>
          <w:rFonts w:cs="Times New Roman"/>
        </w:rPr>
        <w:t xml:space="preserve"> and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vertAlign w:val="subscript"/>
              </w:rPr>
              <m:t>β</m:t>
            </m:r>
          </m:sub>
        </m:sSub>
      </m:oMath>
      <w:r w:rsidR="008B6971" w:rsidRPr="002570D6">
        <w:rPr>
          <w:rFonts w:cs="Times New Roman"/>
        </w:rPr>
        <w:t xml:space="preserve"> are respectively the rate of barrier crossing at the middle and the innermost barriers relative to that at the outermost barrier (</w:t>
      </w:r>
      <m:oMath>
        <m:r>
          <w:rPr>
            <w:rFonts w:ascii="Cambria Math" w:hAnsi="Cambria Math" w:cs="Times New Roman"/>
          </w:rPr>
          <m:t>β</m:t>
        </m:r>
      </m:oMath>
      <w:r w:rsidR="008B6971" w:rsidRPr="002570D6">
        <w:rPr>
          <w:rFonts w:cs="Times New Roman"/>
        </w:rPr>
        <w:t>),</w:t>
      </w:r>
    </w:p>
    <w:p w14:paraId="49A38A13" w14:textId="77777777" w:rsidR="007F0834" w:rsidRPr="002570D6" w:rsidRDefault="007F0834" w:rsidP="00165149">
      <w:pPr>
        <w:rPr>
          <w:rFonts w:cs="Times New Roman"/>
        </w:rPr>
      </w:pPr>
    </w:p>
    <w:p w14:paraId="77592409" w14:textId="77777777" w:rsidR="008B6971" w:rsidRPr="002570D6" w:rsidRDefault="002570D6" w:rsidP="00165149">
      <w:pPr>
        <w:rPr>
          <w:rFonts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vertAlign w:val="subscript"/>
                </w:rPr>
                <m: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V</m:t>
                  </m:r>
                </m:sub>
              </m:sSub>
            </m:num>
            <m:den>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V</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zFV</m:t>
                      </m:r>
                    </m:num>
                    <m:den>
                      <m:r>
                        <w:rPr>
                          <w:rFonts w:ascii="Cambria Math" w:hAnsi="Cambria Math" w:cs="Times New Roman"/>
                        </w:rPr>
                        <m:t>2nRT</m:t>
                      </m:r>
                    </m:den>
                  </m:f>
                </m:sup>
              </m:sSup>
            </m:num>
            <m:den>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zFV</m:t>
                      </m:r>
                    </m:num>
                    <m:den>
                      <m:r>
                        <w:rPr>
                          <w:rFonts w:ascii="Cambria Math" w:hAnsi="Cambria Math" w:cs="Times New Roman"/>
                        </w:rPr>
                        <m:t>2nRT</m:t>
                      </m:r>
                    </m:den>
                  </m:f>
                </m:sup>
              </m:sSup>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en>
          </m:f>
        </m:oMath>
      </m:oMathPara>
    </w:p>
    <w:p w14:paraId="31C86BAD" w14:textId="21F4C828" w:rsidR="008B6971" w:rsidRPr="002570D6" w:rsidRDefault="002570D6" w:rsidP="00165149">
      <w:pPr>
        <w:rPr>
          <w:rFonts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vertAlign w:val="subscript"/>
                </w:rPr>
                <m:t>β</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V</m:t>
                  </m:r>
                </m:sub>
              </m:sSub>
            </m:num>
            <m:den>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V</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zFV</m:t>
                      </m:r>
                    </m:num>
                    <m:den>
                      <m:r>
                        <w:rPr>
                          <w:rFonts w:ascii="Cambria Math" w:hAnsi="Cambria Math" w:cs="Times New Roman"/>
                        </w:rPr>
                        <m:t>2nRT</m:t>
                      </m:r>
                    </m:den>
                  </m:f>
                </m:sup>
              </m:sSup>
            </m:num>
            <m:den>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zFV</m:t>
                      </m:r>
                    </m:num>
                    <m:den>
                      <m:r>
                        <w:rPr>
                          <w:rFonts w:ascii="Cambria Math" w:hAnsi="Cambria Math" w:cs="Times New Roman"/>
                        </w:rPr>
                        <m:t>2nRT</m:t>
                      </m:r>
                    </m:den>
                  </m:f>
                </m:sup>
              </m:sSup>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en>
          </m:f>
        </m:oMath>
      </m:oMathPara>
    </w:p>
    <w:p w14:paraId="46AF646C" w14:textId="77777777" w:rsidR="007F0834" w:rsidRPr="002570D6" w:rsidRDefault="007F0834" w:rsidP="00165149">
      <w:pPr>
        <w:rPr>
          <w:rFonts w:eastAsiaTheme="minorHAnsi" w:cs="Times New Roman"/>
        </w:rPr>
      </w:pPr>
    </w:p>
    <w:p w14:paraId="70D78FCE" w14:textId="1E367F60" w:rsidR="008B6971" w:rsidRPr="002570D6" w:rsidRDefault="008B6971" w:rsidP="00165149">
      <w:pPr>
        <w:rPr>
          <w:rFonts w:cs="Times New Roman"/>
        </w:rPr>
      </w:pPr>
      <w:r w:rsidRPr="002570D6">
        <w:rPr>
          <w:rFonts w:cs="Times New Roman"/>
        </w:rPr>
        <w:t xml:space="preserve">where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2570D6">
        <w:rPr>
          <w:rFonts w:cs="Times New Roman"/>
        </w:rPr>
        <w:t xml:space="preserve"> is the rate of barrier crossing at the middle barrier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oMath>
      <w:r w:rsidRPr="002570D6">
        <w:rPr>
          <w:rFonts w:cs="Times New Roman"/>
        </w:rPr>
        <w:t xml:space="preserve"> at the innermost barrier in the absence of voltage. Thus, for a linear voltage drop as is the case in our model,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vertAlign w:val="subscript"/>
              </w:rPr>
              <m:t>h</m:t>
            </m:r>
          </m:sub>
        </m:sSub>
      </m:oMath>
      <w:r w:rsidRPr="002570D6">
        <w:rPr>
          <w:rFonts w:cs="Times New Roman"/>
        </w:rPr>
        <w:t xml:space="preserve"> and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vertAlign w:val="subscript"/>
              </w:rPr>
              <m:t>β</m:t>
            </m:r>
          </m:sub>
        </m:sSub>
      </m:oMath>
      <w:r w:rsidRPr="002570D6">
        <w:rPr>
          <w:rFonts w:cs="Times New Roman"/>
        </w:rPr>
        <w:t xml:space="preserve"> are intrinsically voltage-independent and represent the relative rates when </w:t>
      </w:r>
      <m:oMath>
        <m:r>
          <w:rPr>
            <w:rFonts w:ascii="Cambria Math" w:hAnsi="Cambria Math" w:cs="Times New Roman"/>
          </w:rPr>
          <m:t>V</m:t>
        </m:r>
      </m:oMath>
      <w:r w:rsidRPr="002570D6">
        <w:rPr>
          <w:rFonts w:cs="Times New Roman"/>
        </w:rPr>
        <w:t xml:space="preserve"> = 0.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vertAlign w:val="subscript"/>
              </w:rPr>
              <m:t>β</m:t>
            </m:r>
          </m:sub>
        </m:sSub>
      </m:oMath>
      <w:r w:rsidRPr="002570D6">
        <w:rPr>
          <w:rFonts w:cs="Times New Roman"/>
        </w:rPr>
        <w:t xml:space="preserve"> appears to be voltage-dependent in Figure 1G because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vertAlign w:val="subscript"/>
              </w:rPr>
              <m:t>β</m:t>
            </m:r>
          </m:sub>
        </m:sSub>
      </m:oMath>
      <w:r w:rsidRPr="002570D6">
        <w:rPr>
          <w:rFonts w:cs="Times New Roman"/>
        </w:rPr>
        <w:t xml:space="preserve"> is a function of </w:t>
      </w:r>
      <w:r w:rsidR="00FA7660" w:rsidRPr="002570D6">
        <w:rPr>
          <w:rFonts w:cs="Times New Roman"/>
        </w:rPr>
        <w:t>Ca</w:t>
      </w:r>
      <w:r w:rsidR="00FA7660" w:rsidRPr="002570D6">
        <w:rPr>
          <w:rFonts w:cs="Times New Roman"/>
          <w:vertAlign w:val="superscript"/>
        </w:rPr>
        <w:t>2+</w:t>
      </w:r>
      <w:r w:rsidRPr="002570D6">
        <w:rPr>
          <w:rFonts w:cs="Times New Roman"/>
        </w:rPr>
        <w:t xml:space="preserve"> binding whose EC</w:t>
      </w:r>
      <w:r w:rsidRPr="002570D6">
        <w:rPr>
          <w:rFonts w:cs="Times New Roman"/>
          <w:vertAlign w:val="subscript"/>
        </w:rPr>
        <w:t>50</w:t>
      </w:r>
      <w:r w:rsidRPr="002570D6">
        <w:rPr>
          <w:rFonts w:cs="Times New Roman"/>
        </w:rPr>
        <w:t xml:space="preserve"> exhibits voltage dependence.</w:t>
      </w:r>
      <w:r w:rsidR="006F30F5" w:rsidRPr="002570D6">
        <w:rPr>
          <w:rFonts w:cs="Times New Roman"/>
        </w:rPr>
        <w:t>”</w:t>
      </w:r>
    </w:p>
    <w:p w14:paraId="325EFDA2" w14:textId="77777777" w:rsidR="008B6971" w:rsidRPr="002570D6" w:rsidRDefault="008B6971" w:rsidP="00165149">
      <w:pPr>
        <w:rPr>
          <w:rFonts w:cs="Arial"/>
          <w:i/>
          <w:color w:val="000000"/>
          <w:shd w:val="clear" w:color="auto" w:fill="FFFFFF"/>
        </w:rPr>
      </w:pPr>
    </w:p>
    <w:p w14:paraId="60DFFDCF" w14:textId="2BC1403F" w:rsidR="00165149" w:rsidRPr="002570D6" w:rsidRDefault="008B6971" w:rsidP="00165149">
      <w:pPr>
        <w:rPr>
          <w:rFonts w:cs="Arial"/>
          <w:i/>
          <w:color w:val="000000"/>
          <w:shd w:val="clear" w:color="auto" w:fill="FFFFFF"/>
        </w:rPr>
      </w:pPr>
      <w:r w:rsidRPr="002570D6">
        <w:rPr>
          <w:rFonts w:cs="Arial"/>
          <w:i/>
          <w:color w:val="000000"/>
          <w:shd w:val="clear" w:color="auto" w:fill="FFFFFF"/>
        </w:rPr>
        <w:t>The statement in the next paragraph is rather inscrutable, as is the subsequent explanation about why the "decay" was omitted from the fits. What does "inaccurate estimation of σ</w:t>
      </w:r>
      <w:r w:rsidRPr="002570D6">
        <w:rPr>
          <w:rFonts w:cs="Arial"/>
          <w:i/>
          <w:color w:val="000000"/>
          <w:shd w:val="clear" w:color="auto" w:fill="FFFFFF"/>
          <w:vertAlign w:val="subscript"/>
        </w:rPr>
        <w:t>β</w:t>
      </w:r>
      <w:r w:rsidRPr="002570D6">
        <w:rPr>
          <w:rFonts w:cs="Arial"/>
          <w:i/>
          <w:color w:val="000000"/>
          <w:shd w:val="clear" w:color="auto" w:fill="FFFFFF"/>
        </w:rPr>
        <w:t xml:space="preserve">" mean? It would be useful to know how the conclusions are affected by changing n in Equation 2. </w:t>
      </w:r>
    </w:p>
    <w:p w14:paraId="2F5726F1" w14:textId="77777777" w:rsidR="00165149" w:rsidRPr="002570D6" w:rsidRDefault="00165149" w:rsidP="00165149">
      <w:pPr>
        <w:rPr>
          <w:rFonts w:cs="Arial"/>
          <w:i/>
          <w:color w:val="000000"/>
          <w:shd w:val="clear" w:color="auto" w:fill="FFFFFF"/>
        </w:rPr>
      </w:pPr>
    </w:p>
    <w:p w14:paraId="6E8EC8EE" w14:textId="4134BD1F" w:rsidR="00165149" w:rsidRPr="002570D6" w:rsidRDefault="00165149" w:rsidP="00165149">
      <w:pPr>
        <w:rPr>
          <w:rFonts w:cs="Times New Roman"/>
        </w:rPr>
      </w:pPr>
      <w:r w:rsidRPr="002570D6">
        <w:rPr>
          <w:rFonts w:cs="Times New Roman"/>
        </w:rPr>
        <w:t>We note that the decay phase in general does not follow the same trend as the high affinity phase and occurs an order of magnitude above the concentration range where activation takes place (</w:t>
      </w:r>
      <w:r w:rsidR="006F30F5" w:rsidRPr="002570D6">
        <w:rPr>
          <w:rFonts w:cs="Times New Roman"/>
        </w:rPr>
        <w:t>Author response image 2</w:t>
      </w:r>
      <w:r w:rsidRPr="002570D6">
        <w:rPr>
          <w:rFonts w:cs="Times New Roman"/>
        </w:rPr>
        <w:t xml:space="preserve">). The decay might be related to additional processes conferred by </w:t>
      </w:r>
      <w:r w:rsidR="00FA7660" w:rsidRPr="002570D6">
        <w:rPr>
          <w:rFonts w:cs="Times New Roman"/>
        </w:rPr>
        <w:t>Ca</w:t>
      </w:r>
      <w:r w:rsidR="00FA7660" w:rsidRPr="002570D6">
        <w:rPr>
          <w:rFonts w:cs="Times New Roman"/>
          <w:vertAlign w:val="superscript"/>
        </w:rPr>
        <w:t>2+</w:t>
      </w:r>
      <w:r w:rsidRPr="002570D6">
        <w:rPr>
          <w:rFonts w:cs="Times New Roman"/>
        </w:rPr>
        <w:t xml:space="preserve"> not intrinsic to its high affinity binding, as we have observed in a previous study </w:t>
      </w:r>
      <w:r w:rsidRPr="002570D6">
        <w:rPr>
          <w:rFonts w:cs="Times New Roman"/>
        </w:rPr>
        <w:fldChar w:fldCharType="begin"/>
      </w:r>
      <w:r w:rsidRPr="002570D6">
        <w:rPr>
          <w:rFonts w:cs="Times New Roman"/>
        </w:rPr>
        <w:instrText xml:space="preserve"> ADDIN EN.CITE &lt;EndNote&gt;&lt;Cite&gt;&lt;Author&gt;Lim&lt;/Author&gt;&lt;Year&gt;2016&lt;/Year&gt;&lt;RecNum&gt;541&lt;/RecNum&gt;&lt;DisplayText&gt;(Lim et al., 2016)&lt;/DisplayText&gt;&lt;record&gt;&lt;rec-number&gt;541&lt;/rec-number&gt;&lt;foreign-keys&gt;&lt;key app="EN" db-id="ta2avwe0oree26edfspxxxp2xaxd05rpvxsp" timestamp="1482997424"&gt;541&lt;/key&gt;&lt;/foreign-keys&gt;&lt;ref-type name="Journal Article"&gt;17&lt;/ref-type&gt;&lt;contributors&gt;&lt;authors&gt;&lt;author&gt;Lim, N. K.&lt;/author&gt;&lt;author&gt;Lam, A. K.&lt;/author&gt;&lt;author&gt;Dutzler, R.&lt;/author&gt;&lt;/authors&gt;&lt;/contributors&gt;&lt;auth-address&gt;Department of Biochemistry, University of Zurich, CH-8057 Zurich, Switzerland.&amp;#xD;Department of Biochemistry, University of Zurich, CH-8057 Zurich, Switzerland dutzler@bioc.uzh.ch.&lt;/auth-address&gt;&lt;titles&gt;&lt;title&gt;Independent activation of ion conduction pores in the double-barreled calcium-activated chloride channel TMEM16A&lt;/title&gt;&lt;secondary-title&gt;J Gen Physiol&lt;/secondary-title&gt;&lt;alt-title&gt;The Journal of general physiology&lt;/alt-title&gt;&lt;/titles&gt;&lt;periodical&gt;&lt;full-title&gt;J Gen Physiol&lt;/full-title&gt;&lt;abbr-1&gt;The Journal of general physiology&lt;/abbr-1&gt;&lt;/periodical&gt;&lt;alt-periodical&gt;&lt;full-title&gt;J Gen Physiol&lt;/full-title&gt;&lt;abbr-1&gt;The Journal of general physiology&lt;/abbr-1&gt;&lt;/alt-periodical&gt;&lt;pages&gt;375-392&lt;/pages&gt;&lt;volume&gt;148&lt;/volume&gt;&lt;number&gt;5&lt;/number&gt;&lt;dates&gt;&lt;year&gt;2016&lt;/year&gt;&lt;pub-dates&gt;&lt;date&gt;Nov&lt;/date&gt;&lt;/pub-dates&gt;&lt;/dates&gt;&lt;isbn&gt;1540-7748 (Electronic)&amp;#xD;0022-1295 (Linking)&lt;/isbn&gt;&lt;accession-num&gt;27799318&lt;/accession-num&gt;&lt;urls&gt;&lt;related-urls&gt;&lt;url&gt;http://www.ncbi.nlm.nih.gov/pubmed/27799318&lt;/url&gt;&lt;/related-urls&gt;&lt;/urls&gt;&lt;custom2&gt;5089934&lt;/custom2&gt;&lt;electronic-resource-num&gt;10.1085/jgp.201611650&lt;/electronic-resource-num&gt;&lt;/record&gt;&lt;/Cite&gt;&lt;/EndNote&gt;</w:instrText>
      </w:r>
      <w:r w:rsidRPr="002570D6">
        <w:rPr>
          <w:rFonts w:cs="Times New Roman"/>
        </w:rPr>
        <w:fldChar w:fldCharType="separate"/>
      </w:r>
      <w:r w:rsidRPr="002570D6">
        <w:rPr>
          <w:rFonts w:cs="Times New Roman"/>
          <w:noProof/>
        </w:rPr>
        <w:t xml:space="preserve">(Lim </w:t>
      </w:r>
      <w:r w:rsidR="00FA7660" w:rsidRPr="002570D6">
        <w:rPr>
          <w:rFonts w:cs="Times New Roman"/>
          <w:noProof/>
        </w:rPr>
        <w:t>et al.</w:t>
      </w:r>
      <w:r w:rsidRPr="002570D6">
        <w:rPr>
          <w:rFonts w:cs="Times New Roman"/>
          <w:noProof/>
        </w:rPr>
        <w:t>, 2016)</w:t>
      </w:r>
      <w:r w:rsidRPr="002570D6">
        <w:rPr>
          <w:rFonts w:cs="Times New Roman"/>
        </w:rPr>
        <w:fldChar w:fldCharType="end"/>
      </w:r>
      <w:r w:rsidRPr="002570D6">
        <w:rPr>
          <w:rFonts w:cs="Times New Roman"/>
        </w:rPr>
        <w:t xml:space="preserve">. As we are interested in the effect of calcium binding to the high affinity transmembrane site, the low affinity phase becomes irrelevant and was therefore omitted from analysis. Since the same treatment was applied consistently, this does not affect the outcome of the analysis. The number of barrier </w:t>
      </w:r>
      <w:r w:rsidRPr="002570D6">
        <w:rPr>
          <w:rFonts w:cs="Times New Roman"/>
          <w:i/>
        </w:rPr>
        <w:t>n</w:t>
      </w:r>
      <w:r w:rsidRPr="002570D6">
        <w:rPr>
          <w:rFonts w:cs="Times New Roman"/>
        </w:rPr>
        <w:t xml:space="preserve"> is kept equal to that determined for the WT channel in our previous manuscript. This energy profile presents a minimal model required for a phenomenological description of ion permeation across a narrow neck region with two flanking barriers that account for the entry of ions into the neck whose </w:t>
      </w:r>
      <w:r w:rsidRPr="002570D6">
        <w:rPr>
          <w:rFonts w:cs="Times New Roman"/>
        </w:rPr>
        <w:lastRenderedPageBreak/>
        <w:t xml:space="preserve">heights are modulated by long-range electrostatics. It is reasonable to assume that the barrier heights are affected by the introduction of mutations, whereas the overall architecture of the energy profile remains similar. </w:t>
      </w:r>
    </w:p>
    <w:p w14:paraId="247614FF" w14:textId="77777777" w:rsidR="006F30F5" w:rsidRPr="002570D6" w:rsidRDefault="006F30F5" w:rsidP="00165149">
      <w:pPr>
        <w:rPr>
          <w:rFonts w:cs="Times New Roman"/>
        </w:rPr>
      </w:pPr>
    </w:p>
    <w:p w14:paraId="76BF3F54" w14:textId="0CF15F44" w:rsidR="00165149" w:rsidRPr="002570D6" w:rsidRDefault="00165149" w:rsidP="00165149">
      <w:pPr>
        <w:rPr>
          <w:rFonts w:cs="Times New Roman"/>
        </w:rPr>
      </w:pPr>
      <w:r w:rsidRPr="002570D6">
        <w:rPr>
          <w:rFonts w:cs="Times New Roman"/>
        </w:rPr>
        <w:t>We have added the following sentences:</w:t>
      </w:r>
    </w:p>
    <w:p w14:paraId="22E07498" w14:textId="77777777" w:rsidR="006F30F5" w:rsidRPr="002570D6" w:rsidRDefault="006F30F5" w:rsidP="00165149">
      <w:pPr>
        <w:rPr>
          <w:rFonts w:cs="Times New Roman"/>
        </w:rPr>
      </w:pPr>
    </w:p>
    <w:p w14:paraId="2DF61E82" w14:textId="221ECCB7" w:rsidR="00165149" w:rsidRPr="002570D6" w:rsidRDefault="006F30F5" w:rsidP="00165149">
      <w:pPr>
        <w:rPr>
          <w:rFonts w:cs="Times New Roman"/>
        </w:rPr>
      </w:pPr>
      <w:r w:rsidRPr="002570D6">
        <w:rPr>
          <w:rFonts w:cs="Times New Roman"/>
        </w:rPr>
        <w:t>“</w:t>
      </w:r>
      <w:r w:rsidR="00165149" w:rsidRPr="002570D6">
        <w:rPr>
          <w:rFonts w:cs="Times New Roman"/>
        </w:rPr>
        <w:t xml:space="preserve">We have previously shown that the model describes the behavior of WT best when the number of barriers </w:t>
      </w:r>
      <m:oMath>
        <m:r>
          <w:rPr>
            <w:rFonts w:ascii="Cambria Math" w:hAnsi="Cambria Math" w:cs="Times New Roman"/>
          </w:rPr>
          <m:t>n</m:t>
        </m:r>
      </m:oMath>
      <w:r w:rsidR="00165149" w:rsidRPr="002570D6">
        <w:rPr>
          <w:rFonts w:cs="Times New Roman"/>
        </w:rPr>
        <w:t xml:space="preserve"> equals 3 (Paulino </w:t>
      </w:r>
      <w:r w:rsidR="00FA7660" w:rsidRPr="002570D6">
        <w:rPr>
          <w:rFonts w:cs="Times New Roman"/>
        </w:rPr>
        <w:t>et al.</w:t>
      </w:r>
      <w:r w:rsidRPr="002570D6">
        <w:rPr>
          <w:rFonts w:cs="Times New Roman"/>
        </w:rPr>
        <w:t>,</w:t>
      </w:r>
      <w:r w:rsidR="00FA7660" w:rsidRPr="002570D6">
        <w:rPr>
          <w:rFonts w:cs="Times New Roman"/>
        </w:rPr>
        <w:t xml:space="preserve"> </w:t>
      </w:r>
      <w:r w:rsidR="00165149" w:rsidRPr="002570D6">
        <w:rPr>
          <w:rFonts w:cs="Times New Roman"/>
        </w:rPr>
        <w:t xml:space="preserve">2017b), which was used as a fixed parameter. This leaves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vertAlign w:val="subscript"/>
              </w:rPr>
              <m:t>h</m:t>
            </m:r>
          </m:sub>
        </m:sSub>
      </m:oMath>
      <w:r w:rsidR="00165149" w:rsidRPr="002570D6">
        <w:rPr>
          <w:rFonts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vertAlign w:val="subscript"/>
              </w:rPr>
              <m:t>β</m:t>
            </m:r>
          </m:sub>
        </m:sSub>
      </m:oMath>
      <w:r w:rsidR="00165149" w:rsidRPr="002570D6">
        <w:rPr>
          <w:rFonts w:cs="Times New Roman"/>
        </w:rPr>
        <w:t xml:space="preserve"> and the amplitude factor </w:t>
      </w:r>
      <m:oMath>
        <m:r>
          <w:rPr>
            <w:rFonts w:ascii="Cambria Math" w:hAnsi="Cambria Math" w:cs="Times New Roman"/>
          </w:rPr>
          <m:t>A</m:t>
        </m:r>
      </m:oMath>
      <w:r w:rsidR="00165149" w:rsidRPr="002570D6">
        <w:rPr>
          <w:rFonts w:cs="Times New Roman"/>
        </w:rPr>
        <w:t xml:space="preserve"> as the only free parameters to be fitted.</w:t>
      </w:r>
      <w:r w:rsidRPr="002570D6">
        <w:rPr>
          <w:rFonts w:cs="Times New Roman"/>
        </w:rPr>
        <w:t>”</w:t>
      </w:r>
    </w:p>
    <w:p w14:paraId="55FD1E5E" w14:textId="12A05B6E" w:rsidR="00165149" w:rsidRPr="002570D6" w:rsidRDefault="00165149" w:rsidP="00165149">
      <w:pPr>
        <w:rPr>
          <w:rFonts w:cs="Times New Roman"/>
        </w:rPr>
      </w:pPr>
    </w:p>
    <w:p w14:paraId="6A82DE61" w14:textId="3248648C" w:rsidR="00165149" w:rsidRPr="002570D6" w:rsidRDefault="006F30F5" w:rsidP="00165149">
      <w:pPr>
        <w:rPr>
          <w:rFonts w:cs="Times New Roman"/>
        </w:rPr>
      </w:pPr>
      <w:r w:rsidRPr="002570D6">
        <w:rPr>
          <w:rFonts w:cs="Times New Roman"/>
        </w:rPr>
        <w:t>“</w:t>
      </w:r>
      <w:r w:rsidR="00165149" w:rsidRPr="002570D6">
        <w:rPr>
          <w:rFonts w:cs="Times New Roman"/>
        </w:rPr>
        <w:t xml:space="preserve">We observed for mutants G644P/E654Q, G644P/E654R, G644P/E654Q/E705Q and G644P/E654R/E705Q a low affinity decay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vertAlign w:val="subscript"/>
              </w:rPr>
              <m:t>β</m:t>
            </m:r>
          </m:sub>
        </m:sSub>
      </m:oMath>
      <w:r w:rsidR="00165149" w:rsidRPr="002570D6">
        <w:rPr>
          <w:rFonts w:cs="Times New Roman"/>
        </w:rPr>
        <w:t xml:space="preserve"> at high </w:t>
      </w:r>
      <w:r w:rsidR="00FA7660" w:rsidRPr="002570D6">
        <w:rPr>
          <w:rFonts w:cs="Times New Roman"/>
        </w:rPr>
        <w:t>Ca</w:t>
      </w:r>
      <w:r w:rsidR="00FA7660" w:rsidRPr="002570D6">
        <w:rPr>
          <w:rFonts w:cs="Times New Roman"/>
          <w:vertAlign w:val="superscript"/>
        </w:rPr>
        <w:t>2+</w:t>
      </w:r>
      <w:r w:rsidR="00165149" w:rsidRPr="002570D6">
        <w:rPr>
          <w:rFonts w:cs="Times New Roman"/>
        </w:rPr>
        <w:t xml:space="preserve"> concentrations (Figure 3A, B, D, E). Since this decay might be related to processes not intrinsic to the transmembrane binding site (Lim </w:t>
      </w:r>
      <w:r w:rsidR="00FA7660" w:rsidRPr="002570D6">
        <w:rPr>
          <w:rFonts w:cs="Times New Roman"/>
        </w:rPr>
        <w:t>et al.</w:t>
      </w:r>
      <w:r w:rsidRPr="002570D6">
        <w:rPr>
          <w:rFonts w:cs="Times New Roman"/>
        </w:rPr>
        <w:t>,</w:t>
      </w:r>
      <w:r w:rsidR="00FA7660" w:rsidRPr="002570D6">
        <w:rPr>
          <w:rFonts w:cs="Times New Roman"/>
        </w:rPr>
        <w:t xml:space="preserve"> </w:t>
      </w:r>
      <w:r w:rsidR="00165149" w:rsidRPr="002570D6">
        <w:rPr>
          <w:rFonts w:cs="Times New Roman"/>
        </w:rPr>
        <w:t>2016), only the high affinity phase was analyzed.</w:t>
      </w:r>
      <w:r w:rsidRPr="002570D6">
        <w:rPr>
          <w:rFonts w:cs="Times New Roman"/>
        </w:rPr>
        <w:t>”</w:t>
      </w:r>
    </w:p>
    <w:p w14:paraId="006C1E42" w14:textId="4ED168FF" w:rsidR="00165149" w:rsidRPr="002570D6" w:rsidRDefault="00165149" w:rsidP="00165149">
      <w:pPr>
        <w:rPr>
          <w:rFonts w:cs="Arial"/>
          <w:i/>
          <w:color w:val="000000"/>
          <w:shd w:val="clear" w:color="auto" w:fill="FFFFFF"/>
        </w:rPr>
      </w:pPr>
    </w:p>
    <w:p w14:paraId="151DFF3D" w14:textId="77777777" w:rsidR="006F30F5" w:rsidRPr="002570D6" w:rsidRDefault="006F30F5" w:rsidP="006F30F5">
      <w:pPr>
        <w:rPr>
          <w:rFonts w:eastAsia="Times New Roman" w:cs="Times New Roman"/>
          <w:lang w:eastAsia="en-GB"/>
        </w:rPr>
      </w:pPr>
      <w:r w:rsidRPr="002570D6">
        <w:rPr>
          <w:rFonts w:eastAsia="Times New Roman" w:cs="Arial"/>
          <w:color w:val="000000"/>
          <w:shd w:val="clear" w:color="auto" w:fill="FFFF00"/>
          <w:lang w:eastAsia="en-GB"/>
        </w:rPr>
        <w:t>&lt;Author response image 2&gt;</w:t>
      </w:r>
    </w:p>
    <w:p w14:paraId="3AD582CE" w14:textId="77777777" w:rsidR="006F30F5" w:rsidRPr="002570D6" w:rsidRDefault="006F30F5" w:rsidP="006F30F5">
      <w:pPr>
        <w:rPr>
          <w:rFonts w:eastAsia="Times New Roman" w:cs="Times New Roman"/>
          <w:lang w:eastAsia="en-GB"/>
        </w:rPr>
      </w:pPr>
    </w:p>
    <w:p w14:paraId="2C07E2CB" w14:textId="05072788" w:rsidR="006F30F5" w:rsidRPr="002570D6" w:rsidRDefault="006F30F5" w:rsidP="006F30F5">
      <w:pPr>
        <w:rPr>
          <w:rFonts w:eastAsia="Times New Roman" w:cs="Times New Roman"/>
          <w:lang w:eastAsia="en-GB"/>
        </w:rPr>
      </w:pPr>
      <w:r w:rsidRPr="002570D6">
        <w:rPr>
          <w:rFonts w:eastAsia="Times New Roman" w:cs="Arial"/>
          <w:color w:val="000000"/>
          <w:shd w:val="clear" w:color="auto" w:fill="FFFF00"/>
          <w:lang w:eastAsia="en-GB"/>
        </w:rPr>
        <w:t>&lt;Author response image 2 title/legend&gt;</w:t>
      </w:r>
      <w:r w:rsidRPr="002570D6">
        <w:rPr>
          <w:rFonts w:eastAsia="Times New Roman" w:cs="Arial"/>
          <w:b/>
          <w:bCs/>
          <w:color w:val="000000"/>
          <w:lang w:eastAsia="en-GB"/>
        </w:rPr>
        <w:t xml:space="preserve">Author response image 2. </w:t>
      </w:r>
      <w:r w:rsidRPr="002570D6">
        <w:rPr>
          <w:rFonts w:cs="Times New Roman"/>
        </w:rPr>
        <w:t xml:space="preserve">Relationship between experimental </w:t>
      </w:r>
      <w:r w:rsidRPr="002570D6">
        <w:rPr>
          <w:rFonts w:cs="Times New Roman"/>
          <w:i/>
        </w:rPr>
        <w:t>σ</w:t>
      </w:r>
      <w:r w:rsidRPr="002570D6">
        <w:rPr>
          <w:rFonts w:cs="Times New Roman"/>
          <w:i/>
          <w:vertAlign w:val="subscript"/>
        </w:rPr>
        <w:t>β</w:t>
      </w:r>
      <w:r w:rsidRPr="002570D6">
        <w:rPr>
          <w:rFonts w:cs="Times New Roman"/>
        </w:rPr>
        <w:t xml:space="preserve"> and RI (I</w:t>
      </w:r>
      <w:r w:rsidRPr="002570D6">
        <w:rPr>
          <w:rFonts w:cs="Times New Roman"/>
          <w:vertAlign w:val="subscript"/>
        </w:rPr>
        <w:t>-100/+120</w:t>
      </w:r>
      <w:r w:rsidRPr="002570D6">
        <w:rPr>
          <w:rFonts w:cs="Times New Roman"/>
        </w:rPr>
        <w:t>) for the G644P family of constructs. Horizontal error bars indicate S.E.M and vertical error bars indicate the 95% confidence interval.</w:t>
      </w:r>
      <w:r w:rsidRPr="002570D6">
        <w:rPr>
          <w:rFonts w:eastAsia="Times New Roman" w:cs="Arial"/>
          <w:color w:val="000000"/>
          <w:shd w:val="clear" w:color="auto" w:fill="FFFF00"/>
          <w:lang w:eastAsia="en-GB"/>
        </w:rPr>
        <w:t>&lt;/Author response image 2 title/legend&gt;</w:t>
      </w:r>
    </w:p>
    <w:p w14:paraId="52B5E01E" w14:textId="77777777" w:rsidR="00165149" w:rsidRPr="002570D6" w:rsidRDefault="00165149" w:rsidP="00165149">
      <w:pPr>
        <w:rPr>
          <w:rFonts w:cs="Arial"/>
          <w:i/>
          <w:color w:val="000000"/>
          <w:shd w:val="clear" w:color="auto" w:fill="FFFFFF"/>
        </w:rPr>
      </w:pPr>
    </w:p>
    <w:p w14:paraId="7ADAC1D6" w14:textId="30CD6735" w:rsidR="00165149" w:rsidRPr="002570D6" w:rsidRDefault="008B6971" w:rsidP="00165149">
      <w:pPr>
        <w:rPr>
          <w:rFonts w:cs="Arial"/>
          <w:i/>
          <w:color w:val="000000"/>
        </w:rPr>
      </w:pPr>
      <w:r w:rsidRPr="002570D6">
        <w:rPr>
          <w:rFonts w:cs="Arial"/>
          <w:i/>
          <w:color w:val="000000"/>
          <w:shd w:val="clear" w:color="auto" w:fill="FFFFFF"/>
        </w:rPr>
        <w:t>And why is σ</w:t>
      </w:r>
      <w:r w:rsidRPr="002570D6">
        <w:rPr>
          <w:rFonts w:cs="Arial"/>
          <w:i/>
          <w:color w:val="000000"/>
          <w:shd w:val="clear" w:color="auto" w:fill="FFFFFF"/>
          <w:vertAlign w:val="subscript"/>
        </w:rPr>
        <w:t>h</w:t>
      </w:r>
      <w:r w:rsidRPr="002570D6">
        <w:rPr>
          <w:rFonts w:cs="Arial"/>
          <w:i/>
          <w:color w:val="000000"/>
          <w:shd w:val="clear" w:color="auto" w:fill="FFFFFF"/>
        </w:rPr>
        <w:t xml:space="preserve"> not shown beyond </w:t>
      </w:r>
      <w:r w:rsidR="00FA7660" w:rsidRPr="002570D6">
        <w:rPr>
          <w:rFonts w:cs="Arial"/>
          <w:i/>
          <w:color w:val="000000"/>
          <w:shd w:val="clear" w:color="auto" w:fill="FFFFFF"/>
        </w:rPr>
        <w:t xml:space="preserve">Figure </w:t>
      </w:r>
      <w:r w:rsidRPr="002570D6">
        <w:rPr>
          <w:rFonts w:cs="Arial"/>
          <w:i/>
          <w:color w:val="000000"/>
          <w:shd w:val="clear" w:color="auto" w:fill="FFFFFF"/>
        </w:rPr>
        <w:t>1? </w:t>
      </w:r>
      <w:r w:rsidRPr="002570D6">
        <w:rPr>
          <w:rFonts w:cs="Arial"/>
          <w:i/>
          <w:color w:val="000000"/>
        </w:rPr>
        <w:br/>
      </w:r>
    </w:p>
    <w:p w14:paraId="52A77208" w14:textId="56D78AFA" w:rsidR="00165149" w:rsidRPr="002570D6" w:rsidRDefault="00165149" w:rsidP="00165149">
      <w:pPr>
        <w:rPr>
          <w:rFonts w:cs="Times New Roman"/>
        </w:rPr>
      </w:pPr>
      <w:r w:rsidRPr="002570D6">
        <w:rPr>
          <w:rFonts w:cs="Times New Roman"/>
        </w:rPr>
        <w:t>We hav</w:t>
      </w:r>
      <w:bookmarkStart w:id="2" w:name="_GoBack"/>
      <w:bookmarkEnd w:id="2"/>
      <w:r w:rsidRPr="002570D6">
        <w:rPr>
          <w:rFonts w:cs="Times New Roman"/>
        </w:rPr>
        <w:t xml:space="preserve">e selected </w:t>
      </w:r>
      <w:r w:rsidRPr="002570D6">
        <w:rPr>
          <w:rFonts w:cs="Times New Roman"/>
          <w:i/>
        </w:rPr>
        <w:t>σ</w:t>
      </w:r>
      <w:r w:rsidRPr="002570D6">
        <w:rPr>
          <w:rFonts w:cs="Times New Roman"/>
          <w:i/>
          <w:vertAlign w:val="subscript"/>
        </w:rPr>
        <w:t>β</w:t>
      </w:r>
      <w:r w:rsidRPr="002570D6">
        <w:rPr>
          <w:rFonts w:cs="Times New Roman"/>
        </w:rPr>
        <w:t xml:space="preserve"> for most of our graphs since it was determined with higher precision than </w:t>
      </w:r>
      <w:r w:rsidRPr="002570D6">
        <w:rPr>
          <w:rFonts w:cs="Times New Roman"/>
          <w:i/>
        </w:rPr>
        <w:t>σ</w:t>
      </w:r>
      <w:r w:rsidRPr="002570D6">
        <w:rPr>
          <w:rFonts w:cs="Times New Roman"/>
          <w:i/>
          <w:vertAlign w:val="subscript"/>
        </w:rPr>
        <w:t>h</w:t>
      </w:r>
      <w:r w:rsidRPr="002570D6">
        <w:rPr>
          <w:rFonts w:cs="Times New Roman"/>
        </w:rPr>
        <w:t xml:space="preserve">. As shown in </w:t>
      </w:r>
      <w:r w:rsidR="00FA7660" w:rsidRPr="002570D6">
        <w:rPr>
          <w:rFonts w:cs="Times New Roman"/>
        </w:rPr>
        <w:t xml:space="preserve">Figure </w:t>
      </w:r>
      <w:r w:rsidRPr="002570D6">
        <w:rPr>
          <w:rFonts w:cs="Times New Roman"/>
        </w:rPr>
        <w:t xml:space="preserve">1E, the 95% confidence interval of </w:t>
      </w:r>
      <w:r w:rsidRPr="002570D6">
        <w:rPr>
          <w:rFonts w:cs="Times New Roman"/>
          <w:i/>
        </w:rPr>
        <w:t>σ</w:t>
      </w:r>
      <w:r w:rsidRPr="002570D6">
        <w:rPr>
          <w:rFonts w:cs="Times New Roman"/>
          <w:i/>
          <w:vertAlign w:val="subscript"/>
        </w:rPr>
        <w:t>h</w:t>
      </w:r>
      <w:r w:rsidRPr="002570D6">
        <w:rPr>
          <w:rFonts w:cs="Times New Roman"/>
        </w:rPr>
        <w:t xml:space="preserve"> is much wider than that of </w:t>
      </w:r>
      <w:r w:rsidRPr="002570D6">
        <w:rPr>
          <w:rFonts w:cs="Times New Roman"/>
          <w:i/>
        </w:rPr>
        <w:t>σ</w:t>
      </w:r>
      <w:r w:rsidRPr="002570D6">
        <w:rPr>
          <w:rFonts w:cs="Times New Roman"/>
          <w:i/>
          <w:vertAlign w:val="subscript"/>
        </w:rPr>
        <w:t>β</w:t>
      </w:r>
      <w:r w:rsidRPr="002570D6">
        <w:rPr>
          <w:rFonts w:cs="Times New Roman"/>
        </w:rPr>
        <w:t xml:space="preserve">, indicating that the best-fit value of </w:t>
      </w:r>
      <w:r w:rsidRPr="002570D6">
        <w:rPr>
          <w:rFonts w:cs="Times New Roman"/>
          <w:i/>
        </w:rPr>
        <w:t>σ</w:t>
      </w:r>
      <w:r w:rsidRPr="002570D6">
        <w:rPr>
          <w:rFonts w:cs="Times New Roman"/>
          <w:i/>
          <w:vertAlign w:val="subscript"/>
        </w:rPr>
        <w:t>h</w:t>
      </w:r>
      <w:r w:rsidRPr="002570D6">
        <w:rPr>
          <w:rFonts w:cs="Times New Roman"/>
        </w:rPr>
        <w:t xml:space="preserve"> is less well defined. In addition, the value of </w:t>
      </w:r>
      <w:r w:rsidRPr="002570D6">
        <w:rPr>
          <w:rFonts w:cs="Times New Roman"/>
          <w:i/>
        </w:rPr>
        <w:t>σ</w:t>
      </w:r>
      <w:r w:rsidRPr="002570D6">
        <w:rPr>
          <w:rFonts w:cs="Times New Roman"/>
          <w:i/>
          <w:vertAlign w:val="subscript"/>
        </w:rPr>
        <w:t>β</w:t>
      </w:r>
      <w:r w:rsidRPr="002570D6">
        <w:rPr>
          <w:rFonts w:cs="Times New Roman"/>
        </w:rPr>
        <w:t xml:space="preserve"> increases monotonically (and almost linearly for the experimental range) with the rectification index (I</w:t>
      </w:r>
      <w:r w:rsidRPr="002570D6">
        <w:rPr>
          <w:rFonts w:cs="Times New Roman"/>
          <w:vertAlign w:val="subscript"/>
        </w:rPr>
        <w:t>-100/+120</w:t>
      </w:r>
      <w:r w:rsidRPr="002570D6">
        <w:rPr>
          <w:rFonts w:cs="Times New Roman"/>
        </w:rPr>
        <w:t>) (</w:t>
      </w:r>
      <w:r w:rsidR="006F30F5" w:rsidRPr="002570D6">
        <w:rPr>
          <w:rFonts w:cs="Times New Roman"/>
        </w:rPr>
        <w:t xml:space="preserve">Author response image </w:t>
      </w:r>
      <w:r w:rsidRPr="002570D6">
        <w:rPr>
          <w:rFonts w:cs="Times New Roman"/>
        </w:rPr>
        <w:t>2), which allows a straightforward comparison with the I-V data.</w:t>
      </w:r>
    </w:p>
    <w:p w14:paraId="1CD67947" w14:textId="7F2E0490" w:rsidR="00165149" w:rsidRPr="002570D6" w:rsidRDefault="008B6971" w:rsidP="00165149">
      <w:pPr>
        <w:rPr>
          <w:rFonts w:cs="Arial"/>
          <w:i/>
          <w:color w:val="000000"/>
        </w:rPr>
      </w:pPr>
      <w:r w:rsidRPr="002570D6">
        <w:rPr>
          <w:rFonts w:cs="Arial"/>
          <w:i/>
          <w:color w:val="000000"/>
        </w:rPr>
        <w:br/>
      </w:r>
      <w:r w:rsidRPr="002570D6">
        <w:rPr>
          <w:rFonts w:cs="Arial"/>
          <w:i/>
          <w:color w:val="000000"/>
          <w:shd w:val="clear" w:color="auto" w:fill="FFFFFF"/>
        </w:rPr>
        <w:t xml:space="preserve">3) Even though the G644P and Q649A mutations increase the baseline open probability of the channel, it is unclear whether the protein with any of these mutations still undergoes some gating-associated conformational changes. If this were the case, some of the effects of </w:t>
      </w:r>
      <w:r w:rsidR="00FA7660" w:rsidRPr="002570D6">
        <w:rPr>
          <w:rFonts w:cs="Arial"/>
          <w:i/>
          <w:color w:val="000000"/>
          <w:shd w:val="clear" w:color="auto" w:fill="FFFFFF"/>
        </w:rPr>
        <w:t>Ca</w:t>
      </w:r>
      <w:r w:rsidR="00FA7660" w:rsidRPr="002570D6">
        <w:rPr>
          <w:rFonts w:cs="Arial"/>
          <w:i/>
          <w:color w:val="000000"/>
          <w:shd w:val="clear" w:color="auto" w:fill="FFFFFF"/>
          <w:vertAlign w:val="superscript"/>
        </w:rPr>
        <w:t>2+</w:t>
      </w:r>
      <w:r w:rsidRPr="002570D6">
        <w:rPr>
          <w:rFonts w:cs="Arial"/>
          <w:i/>
          <w:color w:val="000000"/>
          <w:shd w:val="clear" w:color="auto" w:fill="FFFFFF"/>
        </w:rPr>
        <w:t xml:space="preserve">-binding on the rectification of the mutant channels could arise from these conformational changes rather than the simple electrostatic influence of the site and the bound </w:t>
      </w:r>
      <w:r w:rsidR="00FA7660" w:rsidRPr="002570D6">
        <w:rPr>
          <w:rFonts w:cs="Arial"/>
          <w:i/>
          <w:color w:val="000000"/>
          <w:shd w:val="clear" w:color="auto" w:fill="FFFFFF"/>
        </w:rPr>
        <w:t>Ca</w:t>
      </w:r>
      <w:r w:rsidR="00FA7660" w:rsidRPr="002570D6">
        <w:rPr>
          <w:rFonts w:cs="Arial"/>
          <w:i/>
          <w:color w:val="000000"/>
          <w:shd w:val="clear" w:color="auto" w:fill="FFFFFF"/>
          <w:vertAlign w:val="superscript"/>
        </w:rPr>
        <w:t>2+</w:t>
      </w:r>
      <w:r w:rsidRPr="002570D6">
        <w:rPr>
          <w:rFonts w:cs="Arial"/>
          <w:i/>
          <w:color w:val="000000"/>
          <w:shd w:val="clear" w:color="auto" w:fill="FFFFFF"/>
        </w:rPr>
        <w:t xml:space="preserve"> ions. To test for this possibility, the authors could use </w:t>
      </w:r>
      <w:r w:rsidR="00FA7660" w:rsidRPr="002570D6">
        <w:rPr>
          <w:rFonts w:cs="Arial"/>
          <w:i/>
          <w:color w:val="000000"/>
          <w:shd w:val="clear" w:color="auto" w:fill="FFFFFF"/>
        </w:rPr>
        <w:t>Mg</w:t>
      </w:r>
      <w:r w:rsidR="00FA7660" w:rsidRPr="002570D6">
        <w:rPr>
          <w:rFonts w:cs="Arial"/>
          <w:i/>
          <w:color w:val="000000"/>
          <w:shd w:val="clear" w:color="auto" w:fill="FFFFFF"/>
          <w:vertAlign w:val="superscript"/>
        </w:rPr>
        <w:t>2+</w:t>
      </w:r>
      <w:r w:rsidRPr="002570D6">
        <w:rPr>
          <w:rFonts w:cs="Arial"/>
          <w:i/>
          <w:color w:val="000000"/>
          <w:shd w:val="clear" w:color="auto" w:fill="FFFFFF"/>
        </w:rPr>
        <w:t xml:space="preserve"> instead of </w:t>
      </w:r>
      <w:r w:rsidR="00FA7660" w:rsidRPr="002570D6">
        <w:rPr>
          <w:rFonts w:cs="Arial"/>
          <w:i/>
          <w:color w:val="000000"/>
          <w:shd w:val="clear" w:color="auto" w:fill="FFFFFF"/>
        </w:rPr>
        <w:t>Ca</w:t>
      </w:r>
      <w:r w:rsidR="00FA7660" w:rsidRPr="002570D6">
        <w:rPr>
          <w:rFonts w:cs="Arial"/>
          <w:i/>
          <w:color w:val="000000"/>
          <w:shd w:val="clear" w:color="auto" w:fill="FFFFFF"/>
          <w:vertAlign w:val="superscript"/>
        </w:rPr>
        <w:t>2+</w:t>
      </w:r>
      <w:r w:rsidRPr="002570D6">
        <w:rPr>
          <w:rFonts w:cs="Arial"/>
          <w:i/>
          <w:color w:val="000000"/>
          <w:shd w:val="clear" w:color="auto" w:fill="FFFFFF"/>
        </w:rPr>
        <w:t xml:space="preserve">, as it is reported to compete with </w:t>
      </w:r>
      <w:r w:rsidR="00FA7660" w:rsidRPr="002570D6">
        <w:rPr>
          <w:rFonts w:cs="Arial"/>
          <w:i/>
          <w:color w:val="000000"/>
          <w:shd w:val="clear" w:color="auto" w:fill="FFFFFF"/>
        </w:rPr>
        <w:t>Ca</w:t>
      </w:r>
      <w:r w:rsidR="00FA7660" w:rsidRPr="002570D6">
        <w:rPr>
          <w:rFonts w:cs="Arial"/>
          <w:i/>
          <w:color w:val="000000"/>
          <w:shd w:val="clear" w:color="auto" w:fill="FFFFFF"/>
          <w:vertAlign w:val="superscript"/>
        </w:rPr>
        <w:t>2+</w:t>
      </w:r>
      <w:r w:rsidRPr="002570D6">
        <w:rPr>
          <w:rFonts w:cs="Arial"/>
          <w:i/>
          <w:color w:val="000000"/>
          <w:shd w:val="clear" w:color="auto" w:fill="FFFFFF"/>
        </w:rPr>
        <w:t xml:space="preserve"> without activating the channel. The authors should test whether the presence of internal magnesium in the context of either of the constitutively active mutants has the same effect as </w:t>
      </w:r>
      <w:r w:rsidR="00FA7660" w:rsidRPr="002570D6">
        <w:rPr>
          <w:rFonts w:cs="Arial"/>
          <w:i/>
          <w:color w:val="000000"/>
          <w:shd w:val="clear" w:color="auto" w:fill="FFFFFF"/>
        </w:rPr>
        <w:t>Ca</w:t>
      </w:r>
      <w:r w:rsidR="00FA7660" w:rsidRPr="002570D6">
        <w:rPr>
          <w:rFonts w:cs="Arial"/>
          <w:i/>
          <w:color w:val="000000"/>
          <w:shd w:val="clear" w:color="auto" w:fill="FFFFFF"/>
          <w:vertAlign w:val="superscript"/>
        </w:rPr>
        <w:t>2+</w:t>
      </w:r>
      <w:r w:rsidRPr="002570D6">
        <w:rPr>
          <w:rFonts w:cs="Arial"/>
          <w:i/>
          <w:color w:val="000000"/>
          <w:shd w:val="clear" w:color="auto" w:fill="FFFFFF"/>
        </w:rPr>
        <w:t xml:space="preserve">, as expected from their proposed mechanism. Although it is not necessary, I think it would be also interesting to test whether a trivalent cation could also bind and have a larger effect than </w:t>
      </w:r>
      <w:r w:rsidR="00FA7660" w:rsidRPr="002570D6">
        <w:rPr>
          <w:rFonts w:cs="Arial"/>
          <w:i/>
          <w:color w:val="000000"/>
          <w:shd w:val="clear" w:color="auto" w:fill="FFFFFF"/>
        </w:rPr>
        <w:t>Ca</w:t>
      </w:r>
      <w:r w:rsidR="00FA7660" w:rsidRPr="002570D6">
        <w:rPr>
          <w:rFonts w:cs="Arial"/>
          <w:i/>
          <w:color w:val="000000"/>
          <w:shd w:val="clear" w:color="auto" w:fill="FFFFFF"/>
          <w:vertAlign w:val="superscript"/>
        </w:rPr>
        <w:t>2+</w:t>
      </w:r>
      <w:r w:rsidRPr="002570D6">
        <w:rPr>
          <w:rFonts w:cs="Arial"/>
          <w:i/>
          <w:color w:val="000000"/>
          <w:shd w:val="clear" w:color="auto" w:fill="FFFFFF"/>
        </w:rPr>
        <w:t>. </w:t>
      </w:r>
      <w:r w:rsidRPr="002570D6">
        <w:rPr>
          <w:rFonts w:cs="Arial"/>
          <w:i/>
          <w:color w:val="000000"/>
        </w:rPr>
        <w:br/>
      </w:r>
    </w:p>
    <w:p w14:paraId="0C0CEC5F" w14:textId="73832361" w:rsidR="00165149" w:rsidRPr="002570D6" w:rsidRDefault="00165149" w:rsidP="00165149">
      <w:pPr>
        <w:rPr>
          <w:rFonts w:cs="Times New Roman"/>
        </w:rPr>
      </w:pPr>
      <w:r w:rsidRPr="002570D6">
        <w:rPr>
          <w:rFonts w:cs="Times New Roman"/>
        </w:rPr>
        <w:t xml:space="preserve">We agree that gating-associated conformational changes may still exist. However, since for our analysis we characterize instantaneous currents </w:t>
      </w:r>
      <w:r w:rsidRPr="002570D6">
        <w:rPr>
          <w:rFonts w:cs="Times New Roman"/>
        </w:rPr>
        <w:lastRenderedPageBreak/>
        <w:t xml:space="preserve">following a voltage jump prior to any conformational changes, the I-V relations correspond to the open populations of the channel. </w:t>
      </w:r>
    </w:p>
    <w:p w14:paraId="08F13069" w14:textId="77777777" w:rsidR="006F30F5" w:rsidRPr="002570D6" w:rsidRDefault="006F30F5" w:rsidP="00165149">
      <w:pPr>
        <w:rPr>
          <w:rFonts w:cs="Times New Roman"/>
        </w:rPr>
      </w:pPr>
    </w:p>
    <w:p w14:paraId="66D49EA6" w14:textId="3BA24A11" w:rsidR="00165149" w:rsidRPr="002570D6" w:rsidRDefault="00165149" w:rsidP="00165149">
      <w:pPr>
        <w:rPr>
          <w:rFonts w:cs="Times New Roman"/>
        </w:rPr>
      </w:pPr>
      <w:r w:rsidRPr="002570D6">
        <w:rPr>
          <w:rFonts w:cs="Times New Roman"/>
        </w:rPr>
        <w:t xml:space="preserve">In our revised version, we have now investigated the effect of </w:t>
      </w:r>
      <w:r w:rsidR="00FA7660" w:rsidRPr="002570D6">
        <w:rPr>
          <w:rFonts w:cs="Times New Roman"/>
        </w:rPr>
        <w:t>Mg</w:t>
      </w:r>
      <w:r w:rsidR="00FA7660" w:rsidRPr="002570D6">
        <w:rPr>
          <w:rFonts w:cs="Times New Roman"/>
          <w:vertAlign w:val="superscript"/>
        </w:rPr>
        <w:t>2+</w:t>
      </w:r>
      <w:r w:rsidRPr="002570D6">
        <w:rPr>
          <w:rFonts w:cs="Times New Roman"/>
        </w:rPr>
        <w:t xml:space="preserve"> binding on the conductance. For that purpose, we have recorded data at varying </w:t>
      </w:r>
      <w:r w:rsidR="00FA7660" w:rsidRPr="002570D6">
        <w:rPr>
          <w:rFonts w:cs="Times New Roman"/>
        </w:rPr>
        <w:t>Mg</w:t>
      </w:r>
      <w:r w:rsidR="00FA7660" w:rsidRPr="002570D6">
        <w:rPr>
          <w:rFonts w:cs="Times New Roman"/>
          <w:vertAlign w:val="superscript"/>
        </w:rPr>
        <w:t>2+</w:t>
      </w:r>
      <w:r w:rsidRPr="002570D6">
        <w:rPr>
          <w:rFonts w:cs="Times New Roman"/>
        </w:rPr>
        <w:t xml:space="preserve"> concentration in the absence of </w:t>
      </w:r>
      <w:r w:rsidR="00FA7660" w:rsidRPr="002570D6">
        <w:rPr>
          <w:rFonts w:cs="Times New Roman"/>
        </w:rPr>
        <w:t>Ca</w:t>
      </w:r>
      <w:r w:rsidR="00FA7660" w:rsidRPr="002570D6">
        <w:rPr>
          <w:rFonts w:cs="Times New Roman"/>
          <w:vertAlign w:val="superscript"/>
        </w:rPr>
        <w:t>2+</w:t>
      </w:r>
      <w:r w:rsidRPr="002570D6">
        <w:rPr>
          <w:rFonts w:cs="Times New Roman"/>
        </w:rPr>
        <w:t xml:space="preserve">. Consistent with previous observations by Chen and colleagues </w:t>
      </w:r>
      <w:r w:rsidRPr="002570D6">
        <w:rPr>
          <w:rFonts w:cs="Times New Roman"/>
        </w:rPr>
        <w:fldChar w:fldCharType="begin"/>
      </w:r>
      <w:r w:rsidRPr="002570D6">
        <w:rPr>
          <w:rFonts w:cs="Times New Roman"/>
        </w:rPr>
        <w:instrText xml:space="preserve"> ADDIN EN.CITE &lt;EndNote&gt;&lt;Cite&gt;&lt;Author&gt;Ni&lt;/Author&gt;&lt;Year&gt;2014&lt;/Year&gt;&lt;RecNum&gt;499&lt;/RecNum&gt;&lt;DisplayText&gt;(Ni et al., 2014)&lt;/DisplayText&gt;&lt;record&gt;&lt;rec-number&gt;499&lt;/rec-number&gt;&lt;foreign-keys&gt;&lt;key app="EN" db-id="ta2avwe0oree26edfspxxxp2xaxd05rpvxsp" timestamp="0"&gt;499&lt;/key&gt;&lt;/foreign-keys&gt;&lt;ref-type name="Journal Article"&gt;17&lt;/ref-type&gt;&lt;contributors&gt;&lt;authors&gt;&lt;author&gt;Ni, Y. L.&lt;/author&gt;&lt;author&gt;Kuan, A. S.&lt;/author&gt;&lt;author&gt;Chen, T. Y.&lt;/author&gt;&lt;/authors&gt;&lt;/contributors&gt;&lt;auth-address&gt;Department of Neurology, Center for Neuroscience, University of California Davis, Davis, California, United States of America.&lt;/auth-address&gt;&lt;titles&gt;&lt;title&gt;Activation and inhibition of TMEM16A calcium-activated chloride channels&lt;/title&gt;&lt;secondary-title&gt;PLoS One&lt;/secondary-title&gt;&lt;alt-title&gt;PloS one&lt;/alt-title&gt;&lt;/titles&gt;&lt;pages&gt;e86734&lt;/pages&gt;&lt;volume&gt;9&lt;/volume&gt;&lt;number&gt;1&lt;/number&gt;&lt;dates&gt;&lt;year&gt;2014&lt;/year&gt;&lt;/dates&gt;&lt;isbn&gt;1932-6203 (Electronic)&amp;#xD;1932-6203 (Linking)&lt;/isbn&gt;&lt;accession-num&gt;24489780&lt;/accession-num&gt;&lt;urls&gt;&lt;related-urls&gt;&lt;url&gt;http://www.ncbi.nlm.nih.gov/pubmed/24489780&lt;/url&gt;&lt;/related-urls&gt;&lt;/urls&gt;&lt;custom2&gt;3906059&lt;/custom2&gt;&lt;electronic-resource-num&gt;10.1371/journal.pone.0086734&lt;/electronic-resource-num&gt;&lt;/record&gt;&lt;/Cite&gt;&lt;/EndNote&gt;</w:instrText>
      </w:r>
      <w:r w:rsidRPr="002570D6">
        <w:rPr>
          <w:rFonts w:cs="Times New Roman"/>
        </w:rPr>
        <w:fldChar w:fldCharType="separate"/>
      </w:r>
      <w:r w:rsidRPr="002570D6">
        <w:rPr>
          <w:rFonts w:cs="Times New Roman"/>
          <w:noProof/>
        </w:rPr>
        <w:t xml:space="preserve">(Ni </w:t>
      </w:r>
      <w:r w:rsidR="00FA7660" w:rsidRPr="002570D6">
        <w:rPr>
          <w:rFonts w:cs="Times New Roman"/>
          <w:noProof/>
        </w:rPr>
        <w:t>et al.</w:t>
      </w:r>
      <w:r w:rsidRPr="002570D6">
        <w:rPr>
          <w:rFonts w:cs="Times New Roman"/>
          <w:noProof/>
        </w:rPr>
        <w:t>, 2014)</w:t>
      </w:r>
      <w:r w:rsidRPr="002570D6">
        <w:rPr>
          <w:rFonts w:cs="Times New Roman"/>
        </w:rPr>
        <w:fldChar w:fldCharType="end"/>
      </w:r>
      <w:r w:rsidRPr="002570D6">
        <w:rPr>
          <w:rFonts w:cs="Times New Roman"/>
        </w:rPr>
        <w:t xml:space="preserve">, we found that </w:t>
      </w:r>
      <w:r w:rsidR="00FA7660" w:rsidRPr="002570D6">
        <w:rPr>
          <w:rFonts w:cs="Times New Roman"/>
        </w:rPr>
        <w:t>Mg</w:t>
      </w:r>
      <w:r w:rsidR="00FA7660" w:rsidRPr="002570D6">
        <w:rPr>
          <w:rFonts w:cs="Times New Roman"/>
          <w:vertAlign w:val="superscript"/>
        </w:rPr>
        <w:t>2+</w:t>
      </w:r>
      <w:r w:rsidRPr="002570D6">
        <w:rPr>
          <w:rFonts w:cs="Times New Roman"/>
        </w:rPr>
        <w:t xml:space="preserve"> binds with an apparent affinity of around 1-2 mM. Although </w:t>
      </w:r>
      <w:r w:rsidR="00FA7660" w:rsidRPr="002570D6">
        <w:rPr>
          <w:rFonts w:cs="Times New Roman"/>
        </w:rPr>
        <w:t>Mg</w:t>
      </w:r>
      <w:r w:rsidR="00FA7660" w:rsidRPr="002570D6">
        <w:rPr>
          <w:rFonts w:cs="Times New Roman"/>
          <w:vertAlign w:val="superscript"/>
        </w:rPr>
        <w:t>2+</w:t>
      </w:r>
      <w:r w:rsidRPr="002570D6">
        <w:rPr>
          <w:rFonts w:cs="Times New Roman"/>
        </w:rPr>
        <w:t xml:space="preserve"> addition does not lead to activation of WT, its binding to the mutant G644P lowers the energy barrier for anion conduction at the intracellular part of the pore, consistent with the presence of a single </w:t>
      </w:r>
      <w:r w:rsidR="00FA7660" w:rsidRPr="002570D6">
        <w:rPr>
          <w:rFonts w:cs="Times New Roman"/>
        </w:rPr>
        <w:t>Mg</w:t>
      </w:r>
      <w:r w:rsidR="00FA7660" w:rsidRPr="002570D6">
        <w:rPr>
          <w:rFonts w:cs="Times New Roman"/>
          <w:vertAlign w:val="superscript"/>
        </w:rPr>
        <w:t>2+</w:t>
      </w:r>
      <w:r w:rsidRPr="002570D6">
        <w:rPr>
          <w:rFonts w:cs="Times New Roman"/>
        </w:rPr>
        <w:t xml:space="preserve"> ion in the site (as judged by the remaining rectification at high </w:t>
      </w:r>
      <w:r w:rsidR="00FA7660" w:rsidRPr="002570D6">
        <w:rPr>
          <w:rFonts w:cs="Times New Roman"/>
        </w:rPr>
        <w:t>Mg</w:t>
      </w:r>
      <w:r w:rsidR="00FA7660" w:rsidRPr="002570D6">
        <w:rPr>
          <w:rFonts w:cs="Times New Roman"/>
          <w:vertAlign w:val="superscript"/>
        </w:rPr>
        <w:t>2+</w:t>
      </w:r>
      <w:r w:rsidRPr="002570D6">
        <w:rPr>
          <w:rFonts w:cs="Times New Roman"/>
        </w:rPr>
        <w:t xml:space="preserve"> concentration). This result thus further confirms our proposed mechanism on the influence of divalent cations in the transmembrane binding site on the energetics of anion conduction in the open channel. In another set of experiments, we have also investigated the effect of the trivalent metal ion Gd</w:t>
      </w:r>
      <w:r w:rsidRPr="002570D6">
        <w:rPr>
          <w:rFonts w:cs="Times New Roman"/>
          <w:vertAlign w:val="superscript"/>
        </w:rPr>
        <w:t>3+</w:t>
      </w:r>
      <w:r w:rsidRPr="002570D6">
        <w:rPr>
          <w:rFonts w:cs="Times New Roman"/>
        </w:rPr>
        <w:t xml:space="preserve"> and found that the application of this ion at high µM concentrations exerts an even stronger effect than </w:t>
      </w:r>
      <w:r w:rsidR="00FA7660" w:rsidRPr="002570D6">
        <w:rPr>
          <w:rFonts w:cs="Times New Roman"/>
        </w:rPr>
        <w:t>Ca</w:t>
      </w:r>
      <w:r w:rsidR="00FA7660" w:rsidRPr="002570D6">
        <w:rPr>
          <w:rFonts w:cs="Times New Roman"/>
          <w:vertAlign w:val="superscript"/>
        </w:rPr>
        <w:t>2+</w:t>
      </w:r>
      <w:r w:rsidRPr="002570D6">
        <w:rPr>
          <w:rFonts w:cs="Times New Roman"/>
        </w:rPr>
        <w:t>, leading to slight inward rectification of currents. This behavior is consistent with a larger increase in the positive charge density after the binding of two Gd</w:t>
      </w:r>
      <w:r w:rsidRPr="002570D6">
        <w:rPr>
          <w:rFonts w:cs="Times New Roman"/>
          <w:vertAlign w:val="superscript"/>
        </w:rPr>
        <w:t>3+</w:t>
      </w:r>
      <w:r w:rsidRPr="002570D6">
        <w:rPr>
          <w:rFonts w:cs="Times New Roman"/>
        </w:rPr>
        <w:t xml:space="preserve"> ions. However, in this case the effect was not completely reversible upon washout indicating an unmeasurably slow off-rate for one of the bound ions. It should also be noted that in the case of Gd</w:t>
      </w:r>
      <w:r w:rsidRPr="002570D6">
        <w:rPr>
          <w:rFonts w:cs="Times New Roman"/>
          <w:vertAlign w:val="superscript"/>
        </w:rPr>
        <w:t>3+</w:t>
      </w:r>
      <w:r w:rsidRPr="002570D6">
        <w:rPr>
          <w:rFonts w:cs="Times New Roman"/>
        </w:rPr>
        <w:t xml:space="preserve">, we could not buffer residual </w:t>
      </w:r>
      <w:r w:rsidR="00FA7660" w:rsidRPr="002570D6">
        <w:rPr>
          <w:rFonts w:cs="Times New Roman"/>
        </w:rPr>
        <w:t>Ca</w:t>
      </w:r>
      <w:r w:rsidR="00FA7660" w:rsidRPr="002570D6">
        <w:rPr>
          <w:rFonts w:cs="Times New Roman"/>
          <w:vertAlign w:val="superscript"/>
        </w:rPr>
        <w:t>2+</w:t>
      </w:r>
      <w:r w:rsidRPr="002570D6">
        <w:rPr>
          <w:rFonts w:cs="Times New Roman"/>
        </w:rPr>
        <w:t xml:space="preserve"> in the solutions by addition of</w:t>
      </w:r>
      <w:r w:rsidR="00FA7660" w:rsidRPr="002570D6">
        <w:rPr>
          <w:rFonts w:cs="Times New Roman"/>
        </w:rPr>
        <w:t xml:space="preserve"> </w:t>
      </w:r>
      <w:r w:rsidRPr="002570D6">
        <w:rPr>
          <w:rFonts w:cs="Times New Roman"/>
        </w:rPr>
        <w:t xml:space="preserve">EGTA and we can thus not exclude the presence of traces of </w:t>
      </w:r>
      <w:r w:rsidR="00FA7660" w:rsidRPr="002570D6">
        <w:rPr>
          <w:rFonts w:cs="Times New Roman"/>
        </w:rPr>
        <w:t>Ca</w:t>
      </w:r>
      <w:r w:rsidR="00FA7660" w:rsidRPr="002570D6">
        <w:rPr>
          <w:rFonts w:cs="Times New Roman"/>
          <w:vertAlign w:val="superscript"/>
        </w:rPr>
        <w:t>2+</w:t>
      </w:r>
      <w:r w:rsidRPr="002570D6">
        <w:rPr>
          <w:rFonts w:cs="Times New Roman"/>
        </w:rPr>
        <w:t xml:space="preserve"> in the solutions. In light of our new data, we have added another </w:t>
      </w:r>
      <w:r w:rsidR="007F0834" w:rsidRPr="002570D6">
        <w:rPr>
          <w:rFonts w:cs="Times New Roman"/>
        </w:rPr>
        <w:t xml:space="preserve">subsection </w:t>
      </w:r>
      <w:r w:rsidRPr="002570D6">
        <w:rPr>
          <w:rFonts w:cs="Times New Roman"/>
        </w:rPr>
        <w:t xml:space="preserve">to our manuscript </w:t>
      </w:r>
      <w:r w:rsidR="00D955AE" w:rsidRPr="002570D6">
        <w:rPr>
          <w:rFonts w:cs="Times New Roman"/>
        </w:rPr>
        <w:t>“</w:t>
      </w:r>
      <w:r w:rsidRPr="002570D6">
        <w:rPr>
          <w:rFonts w:cs="Times New Roman"/>
        </w:rPr>
        <w:t xml:space="preserve">The effect of the competitive antagonist </w:t>
      </w:r>
      <w:r w:rsidR="00FA7660" w:rsidRPr="002570D6">
        <w:rPr>
          <w:rFonts w:cs="Times New Roman"/>
        </w:rPr>
        <w:t>Mg</w:t>
      </w:r>
      <w:r w:rsidR="00FA7660" w:rsidRPr="002570D6">
        <w:rPr>
          <w:rFonts w:cs="Times New Roman"/>
          <w:vertAlign w:val="superscript"/>
        </w:rPr>
        <w:t>2+</w:t>
      </w:r>
      <w:r w:rsidRPr="002570D6">
        <w:rPr>
          <w:rFonts w:cs="Times New Roman"/>
        </w:rPr>
        <w:t>, and the trivalent cation Gd</w:t>
      </w:r>
      <w:r w:rsidRPr="002570D6">
        <w:rPr>
          <w:rFonts w:cs="Times New Roman"/>
          <w:vertAlign w:val="superscript"/>
        </w:rPr>
        <w:t>3+</w:t>
      </w:r>
      <w:r w:rsidRPr="002570D6">
        <w:rPr>
          <w:rFonts w:cs="Times New Roman"/>
        </w:rPr>
        <w:t xml:space="preserve"> on conduction</w:t>
      </w:r>
      <w:r w:rsidR="007F0834" w:rsidRPr="002570D6">
        <w:rPr>
          <w:rFonts w:cs="Times New Roman"/>
        </w:rPr>
        <w:t>”</w:t>
      </w:r>
      <w:r w:rsidRPr="002570D6">
        <w:rPr>
          <w:rFonts w:cs="Times New Roman"/>
        </w:rPr>
        <w:t>) and an additional accompanying figure (see the new Figure 2 and Figure 2</w:t>
      </w:r>
      <w:r w:rsidR="00FA7660" w:rsidRPr="002570D6">
        <w:rPr>
          <w:rFonts w:cs="Times New Roman"/>
        </w:rPr>
        <w:t>—figure supplement</w:t>
      </w:r>
      <w:r w:rsidRPr="002570D6">
        <w:rPr>
          <w:rFonts w:cs="Times New Roman"/>
        </w:rPr>
        <w:t xml:space="preserve">s 1 and 2). </w:t>
      </w:r>
    </w:p>
    <w:p w14:paraId="304F5EE2" w14:textId="5C0054FA" w:rsidR="008B6971" w:rsidRPr="002570D6" w:rsidRDefault="008B6971" w:rsidP="00165149">
      <w:pPr>
        <w:rPr>
          <w:rFonts w:cs="Arial"/>
          <w:i/>
          <w:color w:val="000000"/>
          <w:shd w:val="clear" w:color="auto" w:fill="FFFFFF"/>
        </w:rPr>
      </w:pPr>
      <w:r w:rsidRPr="002570D6">
        <w:rPr>
          <w:rFonts w:cs="Arial"/>
          <w:i/>
          <w:color w:val="000000"/>
        </w:rPr>
        <w:br/>
      </w:r>
      <w:r w:rsidRPr="002570D6">
        <w:rPr>
          <w:rFonts w:cs="Arial"/>
          <w:i/>
          <w:color w:val="000000"/>
          <w:shd w:val="clear" w:color="auto" w:fill="FFFFFF"/>
        </w:rPr>
        <w:t xml:space="preserve">4) Large portions of the data shown depend on the use of a permeation model for analysis, together with the use of several equations for permeation and electrostatics. I think </w:t>
      </w:r>
      <w:proofErr w:type="gramStart"/>
      <w:r w:rsidRPr="002570D6">
        <w:rPr>
          <w:rFonts w:cs="Arial"/>
          <w:i/>
          <w:color w:val="000000"/>
          <w:shd w:val="clear" w:color="auto" w:fill="FFFFFF"/>
        </w:rPr>
        <w:t>these play</w:t>
      </w:r>
      <w:proofErr w:type="gramEnd"/>
      <w:r w:rsidRPr="002570D6">
        <w:rPr>
          <w:rFonts w:cs="Arial"/>
          <w:i/>
          <w:color w:val="000000"/>
          <w:shd w:val="clear" w:color="auto" w:fill="FFFFFF"/>
        </w:rPr>
        <w:t xml:space="preserve"> such a central role in the manuscript that it would make the reading easier if some of these models and equations were described with more detail in the main text, rather than the </w:t>
      </w:r>
      <w:r w:rsidR="00FA7660" w:rsidRPr="002570D6">
        <w:rPr>
          <w:rFonts w:cs="Arial"/>
          <w:i/>
          <w:color w:val="000000"/>
          <w:shd w:val="clear" w:color="auto" w:fill="FFFFFF"/>
        </w:rPr>
        <w:t>Materials and methods</w:t>
      </w:r>
      <w:r w:rsidRPr="002570D6">
        <w:rPr>
          <w:rFonts w:cs="Arial"/>
          <w:i/>
          <w:color w:val="000000"/>
          <w:shd w:val="clear" w:color="auto" w:fill="FFFFFF"/>
        </w:rPr>
        <w:t xml:space="preserve"> section. </w:t>
      </w:r>
    </w:p>
    <w:p w14:paraId="44F4610F" w14:textId="77777777" w:rsidR="00165149" w:rsidRPr="002570D6" w:rsidRDefault="00165149" w:rsidP="00165149">
      <w:pPr>
        <w:rPr>
          <w:rFonts w:cs="Times New Roman"/>
        </w:rPr>
      </w:pPr>
    </w:p>
    <w:p w14:paraId="6E3C5BD5" w14:textId="13C8DCC1" w:rsidR="00165149" w:rsidRPr="002570D6" w:rsidRDefault="00165149" w:rsidP="00165149">
      <w:pPr>
        <w:rPr>
          <w:rFonts w:cs="Times New Roman"/>
        </w:rPr>
      </w:pPr>
      <w:r w:rsidRPr="002570D6">
        <w:rPr>
          <w:rFonts w:cs="Times New Roman"/>
        </w:rPr>
        <w:t xml:space="preserve">We have added two sentences to the </w:t>
      </w:r>
      <w:r w:rsidR="007F0834" w:rsidRPr="002570D6">
        <w:rPr>
          <w:rFonts w:cs="Times New Roman"/>
        </w:rPr>
        <w:t>R</w:t>
      </w:r>
      <w:r w:rsidRPr="002570D6">
        <w:rPr>
          <w:rFonts w:cs="Times New Roman"/>
        </w:rPr>
        <w:t>esults where we discuss general features of the model and extended its description in the methods. However, we have already explained the same model in great detail in our preceding study, which the current manuscript is referring to, and think that the link to this previous study would help interested readers to gain in-depth insight. We also think that a more extended description of the model in the main part of the manuscript might distract readers from the main findings of the work.</w:t>
      </w:r>
    </w:p>
    <w:p w14:paraId="1C9BDCFD" w14:textId="77777777" w:rsidR="00165149" w:rsidRPr="002570D6" w:rsidRDefault="00165149" w:rsidP="00165149">
      <w:pPr>
        <w:rPr>
          <w:rFonts w:cs="Times New Roman"/>
        </w:rPr>
      </w:pPr>
    </w:p>
    <w:p w14:paraId="22798AE3" w14:textId="1BC99B1A" w:rsidR="00165149" w:rsidRPr="002570D6" w:rsidRDefault="00165149" w:rsidP="00165149">
      <w:pPr>
        <w:rPr>
          <w:rFonts w:cs="Times New Roman"/>
        </w:rPr>
      </w:pPr>
      <w:r w:rsidRPr="002570D6">
        <w:rPr>
          <w:rFonts w:cs="Times New Roman"/>
        </w:rPr>
        <w:t xml:space="preserve">The following sentences were added to the </w:t>
      </w:r>
      <w:r w:rsidR="00FA7660" w:rsidRPr="002570D6">
        <w:rPr>
          <w:rFonts w:cs="Times New Roman"/>
        </w:rPr>
        <w:t>Results section</w:t>
      </w:r>
      <w:r w:rsidRPr="002570D6">
        <w:rPr>
          <w:rFonts w:cs="Times New Roman"/>
        </w:rPr>
        <w:t>:</w:t>
      </w:r>
    </w:p>
    <w:p w14:paraId="2BD1EA0D" w14:textId="36BA40CD" w:rsidR="00165149" w:rsidRPr="002570D6" w:rsidRDefault="007F0834" w:rsidP="00165149">
      <w:pPr>
        <w:rPr>
          <w:rFonts w:cs="Times New Roman"/>
        </w:rPr>
      </w:pPr>
      <w:r w:rsidRPr="002570D6">
        <w:rPr>
          <w:rFonts w:cs="Times New Roman"/>
        </w:rPr>
        <w:t>“</w:t>
      </w:r>
      <w:r w:rsidR="00165149" w:rsidRPr="002570D6">
        <w:rPr>
          <w:rFonts w:cs="Times New Roman"/>
        </w:rPr>
        <w:t>The diffusion path does not contain deep energy wells and the model does not account for saturation of the pore, which is generally consistent with the high K</w:t>
      </w:r>
      <w:r w:rsidR="00165149" w:rsidRPr="002570D6">
        <w:rPr>
          <w:rFonts w:cs="Times New Roman"/>
          <w:vertAlign w:val="subscript"/>
        </w:rPr>
        <w:t>M</w:t>
      </w:r>
      <w:r w:rsidR="00165149" w:rsidRPr="002570D6">
        <w:rPr>
          <w:rFonts w:cs="Times New Roman"/>
        </w:rPr>
        <w:t xml:space="preserve"> for chloride conduction.</w:t>
      </w:r>
      <w:r w:rsidRPr="002570D6">
        <w:rPr>
          <w:rFonts w:cs="Times New Roman"/>
        </w:rPr>
        <w:t>”</w:t>
      </w:r>
      <w:r w:rsidR="00165149" w:rsidRPr="002570D6">
        <w:rPr>
          <w:rFonts w:cs="Times New Roman"/>
        </w:rPr>
        <w:t xml:space="preserve"> </w:t>
      </w:r>
    </w:p>
    <w:p w14:paraId="2F0CC86B" w14:textId="2254C786" w:rsidR="00165149" w:rsidRPr="002570D6" w:rsidRDefault="007F0834" w:rsidP="00165149">
      <w:pPr>
        <w:tabs>
          <w:tab w:val="left" w:pos="4004"/>
        </w:tabs>
        <w:rPr>
          <w:rFonts w:cs="Times New Roman"/>
        </w:rPr>
      </w:pPr>
      <w:r w:rsidRPr="002570D6">
        <w:rPr>
          <w:rFonts w:cs="Times New Roman"/>
        </w:rPr>
        <w:t>“</w:t>
      </w:r>
      <w:r w:rsidR="00165149" w:rsidRPr="002570D6">
        <w:rPr>
          <w:rFonts w:cs="Times New Roman"/>
        </w:rPr>
        <w:t>The rectification is a consequence of both pore occupancy and the rate of barrier crossing at the applied potential.</w:t>
      </w:r>
      <w:r w:rsidRPr="002570D6">
        <w:rPr>
          <w:rFonts w:cs="Times New Roman"/>
        </w:rPr>
        <w:t>”</w:t>
      </w:r>
    </w:p>
    <w:p w14:paraId="2B96BEFB" w14:textId="77777777" w:rsidR="00165149" w:rsidRPr="002570D6" w:rsidRDefault="00165149" w:rsidP="008B6971">
      <w:pPr>
        <w:rPr>
          <w:rFonts w:cs="Times New Roman"/>
          <w:i/>
        </w:rPr>
      </w:pPr>
    </w:p>
    <w:sectPr w:rsidR="00165149" w:rsidRPr="002570D6" w:rsidSect="00D91D3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52C8"/>
    <w:multiLevelType w:val="hybridMultilevel"/>
    <w:tmpl w:val="2E98EB7E"/>
    <w:lvl w:ilvl="0" w:tplc="D6C85A00">
      <w:start w:val="1"/>
      <w:numFmt w:val="decimal"/>
      <w:lvlText w:val="%1."/>
      <w:lvlJc w:val="left"/>
      <w:pPr>
        <w:ind w:left="100" w:hanging="335"/>
      </w:pPr>
      <w:rPr>
        <w:rFonts w:ascii="Arial" w:eastAsia="Arial" w:hAnsi="Arial" w:hint="default"/>
        <w:spacing w:val="-1"/>
        <w:w w:val="100"/>
        <w:sz w:val="24"/>
        <w:szCs w:val="24"/>
      </w:rPr>
    </w:lvl>
    <w:lvl w:ilvl="1" w:tplc="28525A6E">
      <w:start w:val="1"/>
      <w:numFmt w:val="bullet"/>
      <w:lvlText w:val="•"/>
      <w:lvlJc w:val="left"/>
      <w:pPr>
        <w:ind w:left="1192" w:hanging="335"/>
      </w:pPr>
      <w:rPr>
        <w:rFonts w:hint="default"/>
      </w:rPr>
    </w:lvl>
    <w:lvl w:ilvl="2" w:tplc="B67E953A">
      <w:start w:val="1"/>
      <w:numFmt w:val="bullet"/>
      <w:lvlText w:val="•"/>
      <w:lvlJc w:val="left"/>
      <w:pPr>
        <w:ind w:left="2284" w:hanging="335"/>
      </w:pPr>
      <w:rPr>
        <w:rFonts w:hint="default"/>
      </w:rPr>
    </w:lvl>
    <w:lvl w:ilvl="3" w:tplc="6764EFBC">
      <w:start w:val="1"/>
      <w:numFmt w:val="bullet"/>
      <w:lvlText w:val="•"/>
      <w:lvlJc w:val="left"/>
      <w:pPr>
        <w:ind w:left="3376" w:hanging="335"/>
      </w:pPr>
      <w:rPr>
        <w:rFonts w:hint="default"/>
      </w:rPr>
    </w:lvl>
    <w:lvl w:ilvl="4" w:tplc="C1D0DC22">
      <w:start w:val="1"/>
      <w:numFmt w:val="bullet"/>
      <w:lvlText w:val="•"/>
      <w:lvlJc w:val="left"/>
      <w:pPr>
        <w:ind w:left="4468" w:hanging="335"/>
      </w:pPr>
      <w:rPr>
        <w:rFonts w:hint="default"/>
      </w:rPr>
    </w:lvl>
    <w:lvl w:ilvl="5" w:tplc="A96E6840">
      <w:start w:val="1"/>
      <w:numFmt w:val="bullet"/>
      <w:lvlText w:val="•"/>
      <w:lvlJc w:val="left"/>
      <w:pPr>
        <w:ind w:left="5560" w:hanging="335"/>
      </w:pPr>
      <w:rPr>
        <w:rFonts w:hint="default"/>
      </w:rPr>
    </w:lvl>
    <w:lvl w:ilvl="6" w:tplc="009A5614">
      <w:start w:val="1"/>
      <w:numFmt w:val="bullet"/>
      <w:lvlText w:val="•"/>
      <w:lvlJc w:val="left"/>
      <w:pPr>
        <w:ind w:left="6652" w:hanging="335"/>
      </w:pPr>
      <w:rPr>
        <w:rFonts w:hint="default"/>
      </w:rPr>
    </w:lvl>
    <w:lvl w:ilvl="7" w:tplc="C0587A54">
      <w:start w:val="1"/>
      <w:numFmt w:val="bullet"/>
      <w:lvlText w:val="•"/>
      <w:lvlJc w:val="left"/>
      <w:pPr>
        <w:ind w:left="7744" w:hanging="335"/>
      </w:pPr>
      <w:rPr>
        <w:rFonts w:hint="default"/>
      </w:rPr>
    </w:lvl>
    <w:lvl w:ilvl="8" w:tplc="8B4C7D18">
      <w:start w:val="1"/>
      <w:numFmt w:val="bullet"/>
      <w:lvlText w:val="•"/>
      <w:lvlJc w:val="left"/>
      <w:pPr>
        <w:ind w:left="8836" w:hanging="335"/>
      </w:pPr>
      <w:rPr>
        <w:rFonts w:hint="default"/>
      </w:rPr>
    </w:lvl>
  </w:abstractNum>
  <w:abstractNum w:abstractNumId="1">
    <w:nsid w:val="10820E0F"/>
    <w:multiLevelType w:val="hybridMultilevel"/>
    <w:tmpl w:val="B5C8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26676"/>
    <w:multiLevelType w:val="hybridMultilevel"/>
    <w:tmpl w:val="312E0F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20C3B"/>
    <w:multiLevelType w:val="hybridMultilevel"/>
    <w:tmpl w:val="D78CB052"/>
    <w:lvl w:ilvl="0" w:tplc="B080D31C">
      <w:start w:val="1"/>
      <w:numFmt w:val="decimal"/>
      <w:lvlText w:val="%1"/>
      <w:lvlJc w:val="left"/>
      <w:pPr>
        <w:ind w:left="820" w:hanging="720"/>
      </w:pPr>
      <w:rPr>
        <w:rFonts w:ascii="Arial" w:eastAsia="Arial" w:hAnsi="Arial" w:hint="default"/>
        <w:spacing w:val="-14"/>
        <w:w w:val="100"/>
        <w:sz w:val="24"/>
        <w:szCs w:val="24"/>
      </w:rPr>
    </w:lvl>
    <w:lvl w:ilvl="1" w:tplc="71E82BF8">
      <w:start w:val="1"/>
      <w:numFmt w:val="bullet"/>
      <w:lvlText w:val="•"/>
      <w:lvlJc w:val="left"/>
      <w:pPr>
        <w:ind w:left="1840" w:hanging="720"/>
      </w:pPr>
      <w:rPr>
        <w:rFonts w:hint="default"/>
      </w:rPr>
    </w:lvl>
    <w:lvl w:ilvl="2" w:tplc="19F678FE">
      <w:start w:val="1"/>
      <w:numFmt w:val="bullet"/>
      <w:lvlText w:val="•"/>
      <w:lvlJc w:val="left"/>
      <w:pPr>
        <w:ind w:left="2860" w:hanging="720"/>
      </w:pPr>
      <w:rPr>
        <w:rFonts w:hint="default"/>
      </w:rPr>
    </w:lvl>
    <w:lvl w:ilvl="3" w:tplc="07EAF622">
      <w:start w:val="1"/>
      <w:numFmt w:val="bullet"/>
      <w:lvlText w:val="•"/>
      <w:lvlJc w:val="left"/>
      <w:pPr>
        <w:ind w:left="3880" w:hanging="720"/>
      </w:pPr>
      <w:rPr>
        <w:rFonts w:hint="default"/>
      </w:rPr>
    </w:lvl>
    <w:lvl w:ilvl="4" w:tplc="1A908504">
      <w:start w:val="1"/>
      <w:numFmt w:val="bullet"/>
      <w:lvlText w:val="•"/>
      <w:lvlJc w:val="left"/>
      <w:pPr>
        <w:ind w:left="4900" w:hanging="720"/>
      </w:pPr>
      <w:rPr>
        <w:rFonts w:hint="default"/>
      </w:rPr>
    </w:lvl>
    <w:lvl w:ilvl="5" w:tplc="846EDB1E">
      <w:start w:val="1"/>
      <w:numFmt w:val="bullet"/>
      <w:lvlText w:val="•"/>
      <w:lvlJc w:val="left"/>
      <w:pPr>
        <w:ind w:left="5920" w:hanging="720"/>
      </w:pPr>
      <w:rPr>
        <w:rFonts w:hint="default"/>
      </w:rPr>
    </w:lvl>
    <w:lvl w:ilvl="6" w:tplc="8A9648CA">
      <w:start w:val="1"/>
      <w:numFmt w:val="bullet"/>
      <w:lvlText w:val="•"/>
      <w:lvlJc w:val="left"/>
      <w:pPr>
        <w:ind w:left="6940" w:hanging="720"/>
      </w:pPr>
      <w:rPr>
        <w:rFonts w:hint="default"/>
      </w:rPr>
    </w:lvl>
    <w:lvl w:ilvl="7" w:tplc="ED3842FA">
      <w:start w:val="1"/>
      <w:numFmt w:val="bullet"/>
      <w:lvlText w:val="•"/>
      <w:lvlJc w:val="left"/>
      <w:pPr>
        <w:ind w:left="7960" w:hanging="720"/>
      </w:pPr>
      <w:rPr>
        <w:rFonts w:hint="default"/>
      </w:rPr>
    </w:lvl>
    <w:lvl w:ilvl="8" w:tplc="D2488F6E">
      <w:start w:val="1"/>
      <w:numFmt w:val="bullet"/>
      <w:lvlText w:val="•"/>
      <w:lvlJc w:val="left"/>
      <w:pPr>
        <w:ind w:left="8980" w:hanging="720"/>
      </w:pPr>
      <w:rPr>
        <w:rFonts w:hint="default"/>
      </w:rPr>
    </w:lvl>
  </w:abstractNum>
  <w:abstractNum w:abstractNumId="4">
    <w:nsid w:val="25450036"/>
    <w:multiLevelType w:val="hybridMultilevel"/>
    <w:tmpl w:val="01F4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E33F6"/>
    <w:multiLevelType w:val="hybridMultilevel"/>
    <w:tmpl w:val="B65423FA"/>
    <w:lvl w:ilvl="0" w:tplc="FEDA9466">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nsid w:val="35DC76C1"/>
    <w:multiLevelType w:val="hybridMultilevel"/>
    <w:tmpl w:val="B65423FA"/>
    <w:lvl w:ilvl="0" w:tplc="FEDA9466">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nsid w:val="43FA7FA5"/>
    <w:multiLevelType w:val="hybridMultilevel"/>
    <w:tmpl w:val="B65423FA"/>
    <w:lvl w:ilvl="0" w:tplc="FEDA9466">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nsid w:val="537B55AB"/>
    <w:multiLevelType w:val="hybridMultilevel"/>
    <w:tmpl w:val="B65423FA"/>
    <w:lvl w:ilvl="0" w:tplc="FEDA9466">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7"/>
  </w:num>
  <w:num w:numId="2">
    <w:abstractNumId w:val="5"/>
  </w:num>
  <w:num w:numId="3">
    <w:abstractNumId w:val="8"/>
  </w:num>
  <w:num w:numId="4">
    <w:abstractNumId w:val="6"/>
  </w:num>
  <w:num w:numId="5">
    <w:abstractNumId w:val="0"/>
  </w:num>
  <w:num w:numId="6">
    <w:abstractNumId w:val="3"/>
  </w:num>
  <w:num w:numId="7">
    <w:abstractNumId w:val="1"/>
  </w:num>
  <w:num w:numId="8">
    <w:abstractNumId w:val="2"/>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ma">
    <w15:presenceInfo w15:providerId="None" w15:userId="Em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8AE"/>
    <w:rsid w:val="0000219A"/>
    <w:rsid w:val="00003B13"/>
    <w:rsid w:val="0001164B"/>
    <w:rsid w:val="0002471A"/>
    <w:rsid w:val="00024C5D"/>
    <w:rsid w:val="000355B8"/>
    <w:rsid w:val="00047632"/>
    <w:rsid w:val="00071674"/>
    <w:rsid w:val="000817F4"/>
    <w:rsid w:val="00087308"/>
    <w:rsid w:val="000921D8"/>
    <w:rsid w:val="00097AA3"/>
    <w:rsid w:val="000A7983"/>
    <w:rsid w:val="000D2383"/>
    <w:rsid w:val="000D7B7F"/>
    <w:rsid w:val="001020F7"/>
    <w:rsid w:val="00116476"/>
    <w:rsid w:val="00117CEB"/>
    <w:rsid w:val="00134BD9"/>
    <w:rsid w:val="00135814"/>
    <w:rsid w:val="001416E8"/>
    <w:rsid w:val="0014774E"/>
    <w:rsid w:val="00165149"/>
    <w:rsid w:val="00180652"/>
    <w:rsid w:val="001958C7"/>
    <w:rsid w:val="001D0DD7"/>
    <w:rsid w:val="001D1FE4"/>
    <w:rsid w:val="001D22E2"/>
    <w:rsid w:val="001F7076"/>
    <w:rsid w:val="00215F56"/>
    <w:rsid w:val="00226721"/>
    <w:rsid w:val="00231FF2"/>
    <w:rsid w:val="002519BC"/>
    <w:rsid w:val="002570D6"/>
    <w:rsid w:val="002600E7"/>
    <w:rsid w:val="002722F6"/>
    <w:rsid w:val="00275162"/>
    <w:rsid w:val="002A1E36"/>
    <w:rsid w:val="002A43E1"/>
    <w:rsid w:val="002B61AB"/>
    <w:rsid w:val="002E3D98"/>
    <w:rsid w:val="002F7660"/>
    <w:rsid w:val="00304DD2"/>
    <w:rsid w:val="0032238C"/>
    <w:rsid w:val="00335E65"/>
    <w:rsid w:val="00340E44"/>
    <w:rsid w:val="0036779A"/>
    <w:rsid w:val="00395F27"/>
    <w:rsid w:val="003A1BFA"/>
    <w:rsid w:val="003A3C69"/>
    <w:rsid w:val="003A60D9"/>
    <w:rsid w:val="003B5132"/>
    <w:rsid w:val="003B615C"/>
    <w:rsid w:val="003C1173"/>
    <w:rsid w:val="003C22F5"/>
    <w:rsid w:val="003D7C24"/>
    <w:rsid w:val="00413400"/>
    <w:rsid w:val="00432663"/>
    <w:rsid w:val="004357B5"/>
    <w:rsid w:val="00445DF3"/>
    <w:rsid w:val="00480CE5"/>
    <w:rsid w:val="004A0C8A"/>
    <w:rsid w:val="004A5CDC"/>
    <w:rsid w:val="004B2FD7"/>
    <w:rsid w:val="004D1D99"/>
    <w:rsid w:val="004E0DCC"/>
    <w:rsid w:val="004E7B5F"/>
    <w:rsid w:val="004F3B32"/>
    <w:rsid w:val="004F598D"/>
    <w:rsid w:val="004F6A96"/>
    <w:rsid w:val="00502127"/>
    <w:rsid w:val="00513B13"/>
    <w:rsid w:val="0051641A"/>
    <w:rsid w:val="00523047"/>
    <w:rsid w:val="005336D1"/>
    <w:rsid w:val="00550EC5"/>
    <w:rsid w:val="00562765"/>
    <w:rsid w:val="00562C10"/>
    <w:rsid w:val="0057023C"/>
    <w:rsid w:val="00583B61"/>
    <w:rsid w:val="00594842"/>
    <w:rsid w:val="00597A0A"/>
    <w:rsid w:val="005A5F2A"/>
    <w:rsid w:val="005C4412"/>
    <w:rsid w:val="005C6737"/>
    <w:rsid w:val="005D6703"/>
    <w:rsid w:val="005F0408"/>
    <w:rsid w:val="005F2A05"/>
    <w:rsid w:val="005F3942"/>
    <w:rsid w:val="005F7203"/>
    <w:rsid w:val="006125FC"/>
    <w:rsid w:val="00620BAB"/>
    <w:rsid w:val="00640F54"/>
    <w:rsid w:val="00642A4D"/>
    <w:rsid w:val="00644F48"/>
    <w:rsid w:val="0065728A"/>
    <w:rsid w:val="00660663"/>
    <w:rsid w:val="006C20D5"/>
    <w:rsid w:val="006C62C1"/>
    <w:rsid w:val="006D08F3"/>
    <w:rsid w:val="006F30F5"/>
    <w:rsid w:val="00705198"/>
    <w:rsid w:val="0071024C"/>
    <w:rsid w:val="00711D8D"/>
    <w:rsid w:val="007141C5"/>
    <w:rsid w:val="00723344"/>
    <w:rsid w:val="007332C5"/>
    <w:rsid w:val="00794F2C"/>
    <w:rsid w:val="007A2277"/>
    <w:rsid w:val="007B1D3E"/>
    <w:rsid w:val="007B3020"/>
    <w:rsid w:val="007C211C"/>
    <w:rsid w:val="007C4DC4"/>
    <w:rsid w:val="007C568F"/>
    <w:rsid w:val="007F0834"/>
    <w:rsid w:val="008168EF"/>
    <w:rsid w:val="00826E5B"/>
    <w:rsid w:val="00834AD5"/>
    <w:rsid w:val="00835947"/>
    <w:rsid w:val="00853DE8"/>
    <w:rsid w:val="0088084A"/>
    <w:rsid w:val="00887CF9"/>
    <w:rsid w:val="008B5E05"/>
    <w:rsid w:val="008B6971"/>
    <w:rsid w:val="008C4FE6"/>
    <w:rsid w:val="008C72C7"/>
    <w:rsid w:val="008D79C9"/>
    <w:rsid w:val="008E3E92"/>
    <w:rsid w:val="008F7DB0"/>
    <w:rsid w:val="00905F6A"/>
    <w:rsid w:val="0090726D"/>
    <w:rsid w:val="009150B2"/>
    <w:rsid w:val="00921503"/>
    <w:rsid w:val="00934712"/>
    <w:rsid w:val="009910C4"/>
    <w:rsid w:val="009A0C78"/>
    <w:rsid w:val="009A6737"/>
    <w:rsid w:val="009F2589"/>
    <w:rsid w:val="00A062D7"/>
    <w:rsid w:val="00A110D9"/>
    <w:rsid w:val="00A3270E"/>
    <w:rsid w:val="00AA1BE2"/>
    <w:rsid w:val="00AC03F6"/>
    <w:rsid w:val="00AC7BB9"/>
    <w:rsid w:val="00AD0040"/>
    <w:rsid w:val="00AD7C65"/>
    <w:rsid w:val="00B02A3B"/>
    <w:rsid w:val="00B149BB"/>
    <w:rsid w:val="00B3350A"/>
    <w:rsid w:val="00B34F5B"/>
    <w:rsid w:val="00B51AE2"/>
    <w:rsid w:val="00B56006"/>
    <w:rsid w:val="00B60A73"/>
    <w:rsid w:val="00B91962"/>
    <w:rsid w:val="00BB2BA8"/>
    <w:rsid w:val="00C06D0C"/>
    <w:rsid w:val="00C43212"/>
    <w:rsid w:val="00C45267"/>
    <w:rsid w:val="00C661D1"/>
    <w:rsid w:val="00CA1DEB"/>
    <w:rsid w:val="00CF2A62"/>
    <w:rsid w:val="00D060D5"/>
    <w:rsid w:val="00D36181"/>
    <w:rsid w:val="00D4050C"/>
    <w:rsid w:val="00D41CEC"/>
    <w:rsid w:val="00D43BA0"/>
    <w:rsid w:val="00D448CD"/>
    <w:rsid w:val="00D51C58"/>
    <w:rsid w:val="00D53B61"/>
    <w:rsid w:val="00D565EA"/>
    <w:rsid w:val="00D833BC"/>
    <w:rsid w:val="00D83459"/>
    <w:rsid w:val="00D91D36"/>
    <w:rsid w:val="00D955AE"/>
    <w:rsid w:val="00DB5B52"/>
    <w:rsid w:val="00DC58A9"/>
    <w:rsid w:val="00DD2BE0"/>
    <w:rsid w:val="00DD7B73"/>
    <w:rsid w:val="00DE0321"/>
    <w:rsid w:val="00E06D10"/>
    <w:rsid w:val="00E128AE"/>
    <w:rsid w:val="00E15326"/>
    <w:rsid w:val="00E234CB"/>
    <w:rsid w:val="00E24DCF"/>
    <w:rsid w:val="00E32D43"/>
    <w:rsid w:val="00E50CA4"/>
    <w:rsid w:val="00E57A6C"/>
    <w:rsid w:val="00E62B20"/>
    <w:rsid w:val="00E63084"/>
    <w:rsid w:val="00E77EDC"/>
    <w:rsid w:val="00E81A25"/>
    <w:rsid w:val="00E913A7"/>
    <w:rsid w:val="00EB0A8B"/>
    <w:rsid w:val="00ED0C42"/>
    <w:rsid w:val="00EE3E6D"/>
    <w:rsid w:val="00F0410B"/>
    <w:rsid w:val="00F06E14"/>
    <w:rsid w:val="00F35C9A"/>
    <w:rsid w:val="00F40934"/>
    <w:rsid w:val="00F520D2"/>
    <w:rsid w:val="00F61299"/>
    <w:rsid w:val="00F75A10"/>
    <w:rsid w:val="00F76F37"/>
    <w:rsid w:val="00F77220"/>
    <w:rsid w:val="00F838AD"/>
    <w:rsid w:val="00F90118"/>
    <w:rsid w:val="00F93492"/>
    <w:rsid w:val="00FA7660"/>
    <w:rsid w:val="00FC5FFD"/>
    <w:rsid w:val="00FE7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E925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55B8"/>
    <w:pPr>
      <w:spacing w:before="100" w:beforeAutospacing="1" w:after="100" w:afterAutospacing="1"/>
      <w:outlineLvl w:val="0"/>
    </w:pPr>
    <w:rPr>
      <w:rFonts w:ascii="Times New Roman" w:eastAsia="Times New Roman" w:hAnsi="Times New Roman" w:cs="Times New Roman"/>
      <w:b/>
      <w:bCs/>
      <w:kern w:val="36"/>
      <w:sz w:val="48"/>
      <w:szCs w:val="48"/>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41A"/>
    <w:rPr>
      <w:rFonts w:ascii="Tahoma" w:hAnsi="Tahoma" w:cs="Tahoma"/>
      <w:sz w:val="16"/>
      <w:szCs w:val="16"/>
    </w:rPr>
  </w:style>
  <w:style w:type="character" w:customStyle="1" w:styleId="BalloonTextChar">
    <w:name w:val="Balloon Text Char"/>
    <w:basedOn w:val="DefaultParagraphFont"/>
    <w:link w:val="BalloonText"/>
    <w:uiPriority w:val="99"/>
    <w:semiHidden/>
    <w:rsid w:val="0051641A"/>
    <w:rPr>
      <w:rFonts w:ascii="Tahoma" w:hAnsi="Tahoma" w:cs="Tahoma"/>
      <w:sz w:val="16"/>
      <w:szCs w:val="16"/>
    </w:rPr>
  </w:style>
  <w:style w:type="paragraph" w:customStyle="1" w:styleId="Body">
    <w:name w:val="Body"/>
    <w:link w:val="BodyChar"/>
    <w:rsid w:val="007C568F"/>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character" w:customStyle="1" w:styleId="BodyChar">
    <w:name w:val="Body Char"/>
    <w:basedOn w:val="DefaultParagraphFont"/>
    <w:link w:val="Body"/>
    <w:rsid w:val="007C568F"/>
    <w:rPr>
      <w:rFonts w:ascii="Calibri" w:eastAsia="Calibri" w:hAnsi="Calibri" w:cs="Calibri"/>
      <w:color w:val="000000"/>
      <w:sz w:val="22"/>
      <w:szCs w:val="22"/>
      <w:u w:color="000000"/>
      <w:bdr w:val="nil"/>
    </w:rPr>
  </w:style>
  <w:style w:type="character" w:customStyle="1" w:styleId="apple-converted-space">
    <w:name w:val="apple-converted-space"/>
    <w:basedOn w:val="DefaultParagraphFont"/>
    <w:rsid w:val="002722F6"/>
  </w:style>
  <w:style w:type="paragraph" w:styleId="ListParagraph">
    <w:name w:val="List Paragraph"/>
    <w:basedOn w:val="Normal"/>
    <w:uiPriority w:val="34"/>
    <w:qFormat/>
    <w:rsid w:val="00DD7B73"/>
    <w:pPr>
      <w:ind w:left="720"/>
      <w:contextualSpacing/>
    </w:pPr>
  </w:style>
  <w:style w:type="paragraph" w:styleId="NoSpacing">
    <w:name w:val="No Spacing"/>
    <w:uiPriority w:val="1"/>
    <w:qFormat/>
    <w:rsid w:val="00DD7B73"/>
    <w:rPr>
      <w:rFonts w:eastAsiaTheme="minorHAnsi"/>
      <w:sz w:val="22"/>
      <w:szCs w:val="22"/>
    </w:rPr>
  </w:style>
  <w:style w:type="character" w:customStyle="1" w:styleId="Heading1Char">
    <w:name w:val="Heading 1 Char"/>
    <w:basedOn w:val="DefaultParagraphFont"/>
    <w:link w:val="Heading1"/>
    <w:uiPriority w:val="9"/>
    <w:rsid w:val="000355B8"/>
    <w:rPr>
      <w:rFonts w:ascii="Times New Roman" w:eastAsia="Times New Roman" w:hAnsi="Times New Roman" w:cs="Times New Roman"/>
      <w:b/>
      <w:bCs/>
      <w:kern w:val="36"/>
      <w:sz w:val="48"/>
      <w:szCs w:val="48"/>
      <w:lang w:val="fr-FR" w:eastAsia="fr-FR"/>
    </w:rPr>
  </w:style>
  <w:style w:type="paragraph" w:customStyle="1" w:styleId="desc">
    <w:name w:val="desc"/>
    <w:basedOn w:val="Normal"/>
    <w:rsid w:val="000355B8"/>
    <w:pPr>
      <w:spacing w:before="100" w:beforeAutospacing="1" w:after="100" w:afterAutospacing="1"/>
    </w:pPr>
    <w:rPr>
      <w:rFonts w:ascii="Times New Roman" w:eastAsia="Times New Roman" w:hAnsi="Times New Roman" w:cs="Times New Roman"/>
      <w:lang w:val="fr-FR" w:eastAsia="fr-FR"/>
    </w:rPr>
  </w:style>
  <w:style w:type="character" w:customStyle="1" w:styleId="jrnl">
    <w:name w:val="jrnl"/>
    <w:basedOn w:val="DefaultParagraphFont"/>
    <w:rsid w:val="000355B8"/>
  </w:style>
  <w:style w:type="character" w:styleId="Hyperlink">
    <w:name w:val="Hyperlink"/>
    <w:basedOn w:val="DefaultParagraphFont"/>
    <w:uiPriority w:val="99"/>
    <w:unhideWhenUsed/>
    <w:rsid w:val="000355B8"/>
    <w:rPr>
      <w:color w:val="0000FF"/>
      <w:u w:val="single"/>
    </w:rPr>
  </w:style>
  <w:style w:type="character" w:customStyle="1" w:styleId="highlight">
    <w:name w:val="highlight"/>
    <w:basedOn w:val="DefaultParagraphFont"/>
    <w:rsid w:val="000355B8"/>
  </w:style>
  <w:style w:type="character" w:styleId="CommentReference">
    <w:name w:val="annotation reference"/>
    <w:basedOn w:val="DefaultParagraphFont"/>
    <w:uiPriority w:val="99"/>
    <w:semiHidden/>
    <w:unhideWhenUsed/>
    <w:rsid w:val="006125FC"/>
    <w:rPr>
      <w:sz w:val="16"/>
      <w:szCs w:val="16"/>
    </w:rPr>
  </w:style>
  <w:style w:type="paragraph" w:styleId="CommentText">
    <w:name w:val="annotation text"/>
    <w:basedOn w:val="Normal"/>
    <w:link w:val="CommentTextChar"/>
    <w:uiPriority w:val="99"/>
    <w:semiHidden/>
    <w:unhideWhenUsed/>
    <w:rsid w:val="006125FC"/>
    <w:rPr>
      <w:sz w:val="20"/>
      <w:szCs w:val="20"/>
    </w:rPr>
  </w:style>
  <w:style w:type="character" w:customStyle="1" w:styleId="CommentTextChar">
    <w:name w:val="Comment Text Char"/>
    <w:basedOn w:val="DefaultParagraphFont"/>
    <w:link w:val="CommentText"/>
    <w:uiPriority w:val="99"/>
    <w:semiHidden/>
    <w:rsid w:val="006125FC"/>
    <w:rPr>
      <w:sz w:val="20"/>
      <w:szCs w:val="20"/>
    </w:rPr>
  </w:style>
  <w:style w:type="paragraph" w:styleId="CommentSubject">
    <w:name w:val="annotation subject"/>
    <w:basedOn w:val="CommentText"/>
    <w:next w:val="CommentText"/>
    <w:link w:val="CommentSubjectChar"/>
    <w:uiPriority w:val="99"/>
    <w:semiHidden/>
    <w:unhideWhenUsed/>
    <w:rsid w:val="006125FC"/>
    <w:rPr>
      <w:b/>
      <w:bCs/>
    </w:rPr>
  </w:style>
  <w:style w:type="character" w:customStyle="1" w:styleId="CommentSubjectChar">
    <w:name w:val="Comment Subject Char"/>
    <w:basedOn w:val="CommentTextChar"/>
    <w:link w:val="CommentSubject"/>
    <w:uiPriority w:val="99"/>
    <w:semiHidden/>
    <w:rsid w:val="006125FC"/>
    <w:rPr>
      <w:b/>
      <w:bCs/>
      <w:sz w:val="20"/>
      <w:szCs w:val="20"/>
    </w:rPr>
  </w:style>
  <w:style w:type="paragraph" w:styleId="BodyText">
    <w:name w:val="Body Text"/>
    <w:basedOn w:val="Normal"/>
    <w:link w:val="BodyTextChar"/>
    <w:uiPriority w:val="1"/>
    <w:qFormat/>
    <w:rsid w:val="00C06D0C"/>
    <w:pPr>
      <w:widowControl w:val="0"/>
      <w:ind w:left="100"/>
    </w:pPr>
    <w:rPr>
      <w:rFonts w:ascii="Arial" w:eastAsia="Arial" w:hAnsi="Arial"/>
    </w:rPr>
  </w:style>
  <w:style w:type="character" w:customStyle="1" w:styleId="BodyTextChar">
    <w:name w:val="Body Text Char"/>
    <w:basedOn w:val="DefaultParagraphFont"/>
    <w:link w:val="BodyText"/>
    <w:uiPriority w:val="1"/>
    <w:rsid w:val="00C06D0C"/>
    <w:rPr>
      <w:rFonts w:ascii="Arial" w:eastAsia="Arial" w:hAnsi="Arial"/>
    </w:rPr>
  </w:style>
  <w:style w:type="paragraph" w:customStyle="1" w:styleId="EndNoteBibliography">
    <w:name w:val="EndNote Bibliography"/>
    <w:basedOn w:val="Normal"/>
    <w:rsid w:val="0090726D"/>
    <w:pPr>
      <w:spacing w:line="360" w:lineRule="auto"/>
      <w:jc w:val="both"/>
    </w:pPr>
    <w:rPr>
      <w:rFonts w:ascii="Arial" w:hAnsi="Arial" w:cs="Arial"/>
      <w:sz w:val="22"/>
    </w:rPr>
  </w:style>
  <w:style w:type="character" w:customStyle="1" w:styleId="mi">
    <w:name w:val="mi"/>
    <w:basedOn w:val="DefaultParagraphFont"/>
    <w:rsid w:val="008B6971"/>
  </w:style>
  <w:style w:type="character" w:customStyle="1" w:styleId="mo">
    <w:name w:val="mo"/>
    <w:basedOn w:val="DefaultParagraphFont"/>
    <w:rsid w:val="008B69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55B8"/>
    <w:pPr>
      <w:spacing w:before="100" w:beforeAutospacing="1" w:after="100" w:afterAutospacing="1"/>
      <w:outlineLvl w:val="0"/>
    </w:pPr>
    <w:rPr>
      <w:rFonts w:ascii="Times New Roman" w:eastAsia="Times New Roman" w:hAnsi="Times New Roman" w:cs="Times New Roman"/>
      <w:b/>
      <w:bCs/>
      <w:kern w:val="36"/>
      <w:sz w:val="48"/>
      <w:szCs w:val="48"/>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41A"/>
    <w:rPr>
      <w:rFonts w:ascii="Tahoma" w:hAnsi="Tahoma" w:cs="Tahoma"/>
      <w:sz w:val="16"/>
      <w:szCs w:val="16"/>
    </w:rPr>
  </w:style>
  <w:style w:type="character" w:customStyle="1" w:styleId="BalloonTextChar">
    <w:name w:val="Balloon Text Char"/>
    <w:basedOn w:val="DefaultParagraphFont"/>
    <w:link w:val="BalloonText"/>
    <w:uiPriority w:val="99"/>
    <w:semiHidden/>
    <w:rsid w:val="0051641A"/>
    <w:rPr>
      <w:rFonts w:ascii="Tahoma" w:hAnsi="Tahoma" w:cs="Tahoma"/>
      <w:sz w:val="16"/>
      <w:szCs w:val="16"/>
    </w:rPr>
  </w:style>
  <w:style w:type="paragraph" w:customStyle="1" w:styleId="Body">
    <w:name w:val="Body"/>
    <w:link w:val="BodyChar"/>
    <w:rsid w:val="007C568F"/>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character" w:customStyle="1" w:styleId="BodyChar">
    <w:name w:val="Body Char"/>
    <w:basedOn w:val="DefaultParagraphFont"/>
    <w:link w:val="Body"/>
    <w:rsid w:val="007C568F"/>
    <w:rPr>
      <w:rFonts w:ascii="Calibri" w:eastAsia="Calibri" w:hAnsi="Calibri" w:cs="Calibri"/>
      <w:color w:val="000000"/>
      <w:sz w:val="22"/>
      <w:szCs w:val="22"/>
      <w:u w:color="000000"/>
      <w:bdr w:val="nil"/>
    </w:rPr>
  </w:style>
  <w:style w:type="character" w:customStyle="1" w:styleId="apple-converted-space">
    <w:name w:val="apple-converted-space"/>
    <w:basedOn w:val="DefaultParagraphFont"/>
    <w:rsid w:val="002722F6"/>
  </w:style>
  <w:style w:type="paragraph" w:styleId="ListParagraph">
    <w:name w:val="List Paragraph"/>
    <w:basedOn w:val="Normal"/>
    <w:uiPriority w:val="34"/>
    <w:qFormat/>
    <w:rsid w:val="00DD7B73"/>
    <w:pPr>
      <w:ind w:left="720"/>
      <w:contextualSpacing/>
    </w:pPr>
  </w:style>
  <w:style w:type="paragraph" w:styleId="NoSpacing">
    <w:name w:val="No Spacing"/>
    <w:uiPriority w:val="1"/>
    <w:qFormat/>
    <w:rsid w:val="00DD7B73"/>
    <w:rPr>
      <w:rFonts w:eastAsiaTheme="minorHAnsi"/>
      <w:sz w:val="22"/>
      <w:szCs w:val="22"/>
    </w:rPr>
  </w:style>
  <w:style w:type="character" w:customStyle="1" w:styleId="Heading1Char">
    <w:name w:val="Heading 1 Char"/>
    <w:basedOn w:val="DefaultParagraphFont"/>
    <w:link w:val="Heading1"/>
    <w:uiPriority w:val="9"/>
    <w:rsid w:val="000355B8"/>
    <w:rPr>
      <w:rFonts w:ascii="Times New Roman" w:eastAsia="Times New Roman" w:hAnsi="Times New Roman" w:cs="Times New Roman"/>
      <w:b/>
      <w:bCs/>
      <w:kern w:val="36"/>
      <w:sz w:val="48"/>
      <w:szCs w:val="48"/>
      <w:lang w:val="fr-FR" w:eastAsia="fr-FR"/>
    </w:rPr>
  </w:style>
  <w:style w:type="paragraph" w:customStyle="1" w:styleId="desc">
    <w:name w:val="desc"/>
    <w:basedOn w:val="Normal"/>
    <w:rsid w:val="000355B8"/>
    <w:pPr>
      <w:spacing w:before="100" w:beforeAutospacing="1" w:after="100" w:afterAutospacing="1"/>
    </w:pPr>
    <w:rPr>
      <w:rFonts w:ascii="Times New Roman" w:eastAsia="Times New Roman" w:hAnsi="Times New Roman" w:cs="Times New Roman"/>
      <w:lang w:val="fr-FR" w:eastAsia="fr-FR"/>
    </w:rPr>
  </w:style>
  <w:style w:type="character" w:customStyle="1" w:styleId="jrnl">
    <w:name w:val="jrnl"/>
    <w:basedOn w:val="DefaultParagraphFont"/>
    <w:rsid w:val="000355B8"/>
  </w:style>
  <w:style w:type="character" w:styleId="Hyperlink">
    <w:name w:val="Hyperlink"/>
    <w:basedOn w:val="DefaultParagraphFont"/>
    <w:uiPriority w:val="99"/>
    <w:unhideWhenUsed/>
    <w:rsid w:val="000355B8"/>
    <w:rPr>
      <w:color w:val="0000FF"/>
      <w:u w:val="single"/>
    </w:rPr>
  </w:style>
  <w:style w:type="character" w:customStyle="1" w:styleId="highlight">
    <w:name w:val="highlight"/>
    <w:basedOn w:val="DefaultParagraphFont"/>
    <w:rsid w:val="000355B8"/>
  </w:style>
  <w:style w:type="character" w:styleId="CommentReference">
    <w:name w:val="annotation reference"/>
    <w:basedOn w:val="DefaultParagraphFont"/>
    <w:uiPriority w:val="99"/>
    <w:semiHidden/>
    <w:unhideWhenUsed/>
    <w:rsid w:val="006125FC"/>
    <w:rPr>
      <w:sz w:val="16"/>
      <w:szCs w:val="16"/>
    </w:rPr>
  </w:style>
  <w:style w:type="paragraph" w:styleId="CommentText">
    <w:name w:val="annotation text"/>
    <w:basedOn w:val="Normal"/>
    <w:link w:val="CommentTextChar"/>
    <w:uiPriority w:val="99"/>
    <w:semiHidden/>
    <w:unhideWhenUsed/>
    <w:rsid w:val="006125FC"/>
    <w:rPr>
      <w:sz w:val="20"/>
      <w:szCs w:val="20"/>
    </w:rPr>
  </w:style>
  <w:style w:type="character" w:customStyle="1" w:styleId="CommentTextChar">
    <w:name w:val="Comment Text Char"/>
    <w:basedOn w:val="DefaultParagraphFont"/>
    <w:link w:val="CommentText"/>
    <w:uiPriority w:val="99"/>
    <w:semiHidden/>
    <w:rsid w:val="006125FC"/>
    <w:rPr>
      <w:sz w:val="20"/>
      <w:szCs w:val="20"/>
    </w:rPr>
  </w:style>
  <w:style w:type="paragraph" w:styleId="CommentSubject">
    <w:name w:val="annotation subject"/>
    <w:basedOn w:val="CommentText"/>
    <w:next w:val="CommentText"/>
    <w:link w:val="CommentSubjectChar"/>
    <w:uiPriority w:val="99"/>
    <w:semiHidden/>
    <w:unhideWhenUsed/>
    <w:rsid w:val="006125FC"/>
    <w:rPr>
      <w:b/>
      <w:bCs/>
    </w:rPr>
  </w:style>
  <w:style w:type="character" w:customStyle="1" w:styleId="CommentSubjectChar">
    <w:name w:val="Comment Subject Char"/>
    <w:basedOn w:val="CommentTextChar"/>
    <w:link w:val="CommentSubject"/>
    <w:uiPriority w:val="99"/>
    <w:semiHidden/>
    <w:rsid w:val="006125FC"/>
    <w:rPr>
      <w:b/>
      <w:bCs/>
      <w:sz w:val="20"/>
      <w:szCs w:val="20"/>
    </w:rPr>
  </w:style>
  <w:style w:type="paragraph" w:styleId="BodyText">
    <w:name w:val="Body Text"/>
    <w:basedOn w:val="Normal"/>
    <w:link w:val="BodyTextChar"/>
    <w:uiPriority w:val="1"/>
    <w:qFormat/>
    <w:rsid w:val="00C06D0C"/>
    <w:pPr>
      <w:widowControl w:val="0"/>
      <w:ind w:left="100"/>
    </w:pPr>
    <w:rPr>
      <w:rFonts w:ascii="Arial" w:eastAsia="Arial" w:hAnsi="Arial"/>
    </w:rPr>
  </w:style>
  <w:style w:type="character" w:customStyle="1" w:styleId="BodyTextChar">
    <w:name w:val="Body Text Char"/>
    <w:basedOn w:val="DefaultParagraphFont"/>
    <w:link w:val="BodyText"/>
    <w:uiPriority w:val="1"/>
    <w:rsid w:val="00C06D0C"/>
    <w:rPr>
      <w:rFonts w:ascii="Arial" w:eastAsia="Arial" w:hAnsi="Arial"/>
    </w:rPr>
  </w:style>
  <w:style w:type="paragraph" w:customStyle="1" w:styleId="EndNoteBibliography">
    <w:name w:val="EndNote Bibliography"/>
    <w:basedOn w:val="Normal"/>
    <w:rsid w:val="0090726D"/>
    <w:pPr>
      <w:spacing w:line="360" w:lineRule="auto"/>
      <w:jc w:val="both"/>
    </w:pPr>
    <w:rPr>
      <w:rFonts w:ascii="Arial" w:hAnsi="Arial" w:cs="Arial"/>
      <w:sz w:val="22"/>
    </w:rPr>
  </w:style>
  <w:style w:type="character" w:customStyle="1" w:styleId="mi">
    <w:name w:val="mi"/>
    <w:basedOn w:val="DefaultParagraphFont"/>
    <w:rsid w:val="008B6971"/>
  </w:style>
  <w:style w:type="character" w:customStyle="1" w:styleId="mo">
    <w:name w:val="mo"/>
    <w:basedOn w:val="DefaultParagraphFont"/>
    <w:rsid w:val="008B6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1356">
      <w:bodyDiv w:val="1"/>
      <w:marLeft w:val="0"/>
      <w:marRight w:val="0"/>
      <w:marTop w:val="0"/>
      <w:marBottom w:val="0"/>
      <w:divBdr>
        <w:top w:val="none" w:sz="0" w:space="0" w:color="auto"/>
        <w:left w:val="none" w:sz="0" w:space="0" w:color="auto"/>
        <w:bottom w:val="none" w:sz="0" w:space="0" w:color="auto"/>
        <w:right w:val="none" w:sz="0" w:space="0" w:color="auto"/>
      </w:divBdr>
    </w:div>
    <w:div w:id="44958807">
      <w:bodyDiv w:val="1"/>
      <w:marLeft w:val="0"/>
      <w:marRight w:val="0"/>
      <w:marTop w:val="0"/>
      <w:marBottom w:val="0"/>
      <w:divBdr>
        <w:top w:val="none" w:sz="0" w:space="0" w:color="auto"/>
        <w:left w:val="none" w:sz="0" w:space="0" w:color="auto"/>
        <w:bottom w:val="none" w:sz="0" w:space="0" w:color="auto"/>
        <w:right w:val="none" w:sz="0" w:space="0" w:color="auto"/>
      </w:divBdr>
    </w:div>
    <w:div w:id="86928605">
      <w:bodyDiv w:val="1"/>
      <w:marLeft w:val="0"/>
      <w:marRight w:val="0"/>
      <w:marTop w:val="0"/>
      <w:marBottom w:val="0"/>
      <w:divBdr>
        <w:top w:val="none" w:sz="0" w:space="0" w:color="auto"/>
        <w:left w:val="none" w:sz="0" w:space="0" w:color="auto"/>
        <w:bottom w:val="none" w:sz="0" w:space="0" w:color="auto"/>
        <w:right w:val="none" w:sz="0" w:space="0" w:color="auto"/>
      </w:divBdr>
    </w:div>
    <w:div w:id="174613592">
      <w:bodyDiv w:val="1"/>
      <w:marLeft w:val="0"/>
      <w:marRight w:val="0"/>
      <w:marTop w:val="0"/>
      <w:marBottom w:val="0"/>
      <w:divBdr>
        <w:top w:val="none" w:sz="0" w:space="0" w:color="auto"/>
        <w:left w:val="none" w:sz="0" w:space="0" w:color="auto"/>
        <w:bottom w:val="none" w:sz="0" w:space="0" w:color="auto"/>
        <w:right w:val="none" w:sz="0" w:space="0" w:color="auto"/>
      </w:divBdr>
    </w:div>
    <w:div w:id="298464975">
      <w:bodyDiv w:val="1"/>
      <w:marLeft w:val="0"/>
      <w:marRight w:val="0"/>
      <w:marTop w:val="0"/>
      <w:marBottom w:val="0"/>
      <w:divBdr>
        <w:top w:val="none" w:sz="0" w:space="0" w:color="auto"/>
        <w:left w:val="none" w:sz="0" w:space="0" w:color="auto"/>
        <w:bottom w:val="none" w:sz="0" w:space="0" w:color="auto"/>
        <w:right w:val="none" w:sz="0" w:space="0" w:color="auto"/>
      </w:divBdr>
    </w:div>
    <w:div w:id="363747440">
      <w:bodyDiv w:val="1"/>
      <w:marLeft w:val="0"/>
      <w:marRight w:val="0"/>
      <w:marTop w:val="0"/>
      <w:marBottom w:val="0"/>
      <w:divBdr>
        <w:top w:val="none" w:sz="0" w:space="0" w:color="auto"/>
        <w:left w:val="none" w:sz="0" w:space="0" w:color="auto"/>
        <w:bottom w:val="none" w:sz="0" w:space="0" w:color="auto"/>
        <w:right w:val="none" w:sz="0" w:space="0" w:color="auto"/>
      </w:divBdr>
    </w:div>
    <w:div w:id="392168382">
      <w:bodyDiv w:val="1"/>
      <w:marLeft w:val="0"/>
      <w:marRight w:val="0"/>
      <w:marTop w:val="0"/>
      <w:marBottom w:val="0"/>
      <w:divBdr>
        <w:top w:val="none" w:sz="0" w:space="0" w:color="auto"/>
        <w:left w:val="none" w:sz="0" w:space="0" w:color="auto"/>
        <w:bottom w:val="none" w:sz="0" w:space="0" w:color="auto"/>
        <w:right w:val="none" w:sz="0" w:space="0" w:color="auto"/>
      </w:divBdr>
    </w:div>
    <w:div w:id="774404925">
      <w:bodyDiv w:val="1"/>
      <w:marLeft w:val="0"/>
      <w:marRight w:val="0"/>
      <w:marTop w:val="0"/>
      <w:marBottom w:val="0"/>
      <w:divBdr>
        <w:top w:val="none" w:sz="0" w:space="0" w:color="auto"/>
        <w:left w:val="none" w:sz="0" w:space="0" w:color="auto"/>
        <w:bottom w:val="none" w:sz="0" w:space="0" w:color="auto"/>
        <w:right w:val="none" w:sz="0" w:space="0" w:color="auto"/>
      </w:divBdr>
      <w:divsChild>
        <w:div w:id="1451629352">
          <w:marLeft w:val="0"/>
          <w:marRight w:val="0"/>
          <w:marTop w:val="0"/>
          <w:marBottom w:val="0"/>
          <w:divBdr>
            <w:top w:val="none" w:sz="0" w:space="0" w:color="auto"/>
            <w:left w:val="none" w:sz="0" w:space="0" w:color="auto"/>
            <w:bottom w:val="none" w:sz="0" w:space="0" w:color="auto"/>
            <w:right w:val="none" w:sz="0" w:space="0" w:color="auto"/>
          </w:divBdr>
          <w:divsChild>
            <w:div w:id="773473687">
              <w:marLeft w:val="0"/>
              <w:marRight w:val="0"/>
              <w:marTop w:val="0"/>
              <w:marBottom w:val="0"/>
              <w:divBdr>
                <w:top w:val="none" w:sz="0" w:space="0" w:color="auto"/>
                <w:left w:val="none" w:sz="0" w:space="0" w:color="auto"/>
                <w:bottom w:val="none" w:sz="0" w:space="0" w:color="auto"/>
                <w:right w:val="none" w:sz="0" w:space="0" w:color="auto"/>
              </w:divBdr>
            </w:div>
          </w:divsChild>
        </w:div>
        <w:div w:id="1027559162">
          <w:marLeft w:val="0"/>
          <w:marRight w:val="0"/>
          <w:marTop w:val="0"/>
          <w:marBottom w:val="0"/>
          <w:divBdr>
            <w:top w:val="none" w:sz="0" w:space="0" w:color="auto"/>
            <w:left w:val="none" w:sz="0" w:space="0" w:color="auto"/>
            <w:bottom w:val="none" w:sz="0" w:space="0" w:color="auto"/>
            <w:right w:val="none" w:sz="0" w:space="0" w:color="auto"/>
          </w:divBdr>
          <w:divsChild>
            <w:div w:id="1782677157">
              <w:marLeft w:val="0"/>
              <w:marRight w:val="0"/>
              <w:marTop w:val="0"/>
              <w:marBottom w:val="0"/>
              <w:divBdr>
                <w:top w:val="none" w:sz="0" w:space="0" w:color="auto"/>
                <w:left w:val="none" w:sz="0" w:space="0" w:color="auto"/>
                <w:bottom w:val="none" w:sz="0" w:space="0" w:color="auto"/>
                <w:right w:val="none" w:sz="0" w:space="0" w:color="auto"/>
              </w:divBdr>
            </w:div>
          </w:divsChild>
        </w:div>
        <w:div w:id="1412964523">
          <w:marLeft w:val="0"/>
          <w:marRight w:val="0"/>
          <w:marTop w:val="0"/>
          <w:marBottom w:val="0"/>
          <w:divBdr>
            <w:top w:val="none" w:sz="0" w:space="0" w:color="auto"/>
            <w:left w:val="none" w:sz="0" w:space="0" w:color="auto"/>
            <w:bottom w:val="none" w:sz="0" w:space="0" w:color="auto"/>
            <w:right w:val="none" w:sz="0" w:space="0" w:color="auto"/>
          </w:divBdr>
          <w:divsChild>
            <w:div w:id="2105150437">
              <w:marLeft w:val="0"/>
              <w:marRight w:val="0"/>
              <w:marTop w:val="0"/>
              <w:marBottom w:val="0"/>
              <w:divBdr>
                <w:top w:val="none" w:sz="0" w:space="0" w:color="auto"/>
                <w:left w:val="none" w:sz="0" w:space="0" w:color="auto"/>
                <w:bottom w:val="none" w:sz="0" w:space="0" w:color="auto"/>
                <w:right w:val="none" w:sz="0" w:space="0" w:color="auto"/>
              </w:divBdr>
            </w:div>
          </w:divsChild>
        </w:div>
        <w:div w:id="306396890">
          <w:marLeft w:val="0"/>
          <w:marRight w:val="0"/>
          <w:marTop w:val="0"/>
          <w:marBottom w:val="0"/>
          <w:divBdr>
            <w:top w:val="none" w:sz="0" w:space="0" w:color="auto"/>
            <w:left w:val="none" w:sz="0" w:space="0" w:color="auto"/>
            <w:bottom w:val="none" w:sz="0" w:space="0" w:color="auto"/>
            <w:right w:val="none" w:sz="0" w:space="0" w:color="auto"/>
          </w:divBdr>
          <w:divsChild>
            <w:div w:id="1569610859">
              <w:marLeft w:val="0"/>
              <w:marRight w:val="0"/>
              <w:marTop w:val="0"/>
              <w:marBottom w:val="0"/>
              <w:divBdr>
                <w:top w:val="none" w:sz="0" w:space="0" w:color="auto"/>
                <w:left w:val="none" w:sz="0" w:space="0" w:color="auto"/>
                <w:bottom w:val="none" w:sz="0" w:space="0" w:color="auto"/>
                <w:right w:val="none" w:sz="0" w:space="0" w:color="auto"/>
              </w:divBdr>
            </w:div>
          </w:divsChild>
        </w:div>
        <w:div w:id="1062681704">
          <w:marLeft w:val="0"/>
          <w:marRight w:val="0"/>
          <w:marTop w:val="0"/>
          <w:marBottom w:val="0"/>
          <w:divBdr>
            <w:top w:val="none" w:sz="0" w:space="0" w:color="auto"/>
            <w:left w:val="none" w:sz="0" w:space="0" w:color="auto"/>
            <w:bottom w:val="none" w:sz="0" w:space="0" w:color="auto"/>
            <w:right w:val="none" w:sz="0" w:space="0" w:color="auto"/>
          </w:divBdr>
          <w:divsChild>
            <w:div w:id="1469668530">
              <w:marLeft w:val="0"/>
              <w:marRight w:val="0"/>
              <w:marTop w:val="0"/>
              <w:marBottom w:val="0"/>
              <w:divBdr>
                <w:top w:val="none" w:sz="0" w:space="0" w:color="auto"/>
                <w:left w:val="none" w:sz="0" w:space="0" w:color="auto"/>
                <w:bottom w:val="none" w:sz="0" w:space="0" w:color="auto"/>
                <w:right w:val="none" w:sz="0" w:space="0" w:color="auto"/>
              </w:divBdr>
            </w:div>
          </w:divsChild>
        </w:div>
        <w:div w:id="790825770">
          <w:marLeft w:val="0"/>
          <w:marRight w:val="0"/>
          <w:marTop w:val="0"/>
          <w:marBottom w:val="0"/>
          <w:divBdr>
            <w:top w:val="none" w:sz="0" w:space="0" w:color="auto"/>
            <w:left w:val="none" w:sz="0" w:space="0" w:color="auto"/>
            <w:bottom w:val="none" w:sz="0" w:space="0" w:color="auto"/>
            <w:right w:val="none" w:sz="0" w:space="0" w:color="auto"/>
          </w:divBdr>
          <w:divsChild>
            <w:div w:id="221985584">
              <w:marLeft w:val="0"/>
              <w:marRight w:val="0"/>
              <w:marTop w:val="0"/>
              <w:marBottom w:val="0"/>
              <w:divBdr>
                <w:top w:val="none" w:sz="0" w:space="0" w:color="auto"/>
                <w:left w:val="none" w:sz="0" w:space="0" w:color="auto"/>
                <w:bottom w:val="none" w:sz="0" w:space="0" w:color="auto"/>
                <w:right w:val="none" w:sz="0" w:space="0" w:color="auto"/>
              </w:divBdr>
            </w:div>
          </w:divsChild>
        </w:div>
        <w:div w:id="2098213543">
          <w:marLeft w:val="0"/>
          <w:marRight w:val="0"/>
          <w:marTop w:val="0"/>
          <w:marBottom w:val="0"/>
          <w:divBdr>
            <w:top w:val="none" w:sz="0" w:space="0" w:color="auto"/>
            <w:left w:val="none" w:sz="0" w:space="0" w:color="auto"/>
            <w:bottom w:val="none" w:sz="0" w:space="0" w:color="auto"/>
            <w:right w:val="none" w:sz="0" w:space="0" w:color="auto"/>
          </w:divBdr>
          <w:divsChild>
            <w:div w:id="1115564785">
              <w:marLeft w:val="0"/>
              <w:marRight w:val="0"/>
              <w:marTop w:val="0"/>
              <w:marBottom w:val="0"/>
              <w:divBdr>
                <w:top w:val="none" w:sz="0" w:space="0" w:color="auto"/>
                <w:left w:val="none" w:sz="0" w:space="0" w:color="auto"/>
                <w:bottom w:val="none" w:sz="0" w:space="0" w:color="auto"/>
                <w:right w:val="none" w:sz="0" w:space="0" w:color="auto"/>
              </w:divBdr>
            </w:div>
          </w:divsChild>
        </w:div>
        <w:div w:id="1505583966">
          <w:marLeft w:val="0"/>
          <w:marRight w:val="0"/>
          <w:marTop w:val="0"/>
          <w:marBottom w:val="0"/>
          <w:divBdr>
            <w:top w:val="none" w:sz="0" w:space="0" w:color="auto"/>
            <w:left w:val="none" w:sz="0" w:space="0" w:color="auto"/>
            <w:bottom w:val="none" w:sz="0" w:space="0" w:color="auto"/>
            <w:right w:val="none" w:sz="0" w:space="0" w:color="auto"/>
          </w:divBdr>
          <w:divsChild>
            <w:div w:id="1084304646">
              <w:marLeft w:val="0"/>
              <w:marRight w:val="0"/>
              <w:marTop w:val="0"/>
              <w:marBottom w:val="0"/>
              <w:divBdr>
                <w:top w:val="none" w:sz="0" w:space="0" w:color="auto"/>
                <w:left w:val="none" w:sz="0" w:space="0" w:color="auto"/>
                <w:bottom w:val="none" w:sz="0" w:space="0" w:color="auto"/>
                <w:right w:val="none" w:sz="0" w:space="0" w:color="auto"/>
              </w:divBdr>
            </w:div>
          </w:divsChild>
        </w:div>
        <w:div w:id="363482790">
          <w:marLeft w:val="0"/>
          <w:marRight w:val="0"/>
          <w:marTop w:val="0"/>
          <w:marBottom w:val="0"/>
          <w:divBdr>
            <w:top w:val="none" w:sz="0" w:space="0" w:color="auto"/>
            <w:left w:val="none" w:sz="0" w:space="0" w:color="auto"/>
            <w:bottom w:val="none" w:sz="0" w:space="0" w:color="auto"/>
            <w:right w:val="none" w:sz="0" w:space="0" w:color="auto"/>
          </w:divBdr>
          <w:divsChild>
            <w:div w:id="590159738">
              <w:marLeft w:val="0"/>
              <w:marRight w:val="0"/>
              <w:marTop w:val="0"/>
              <w:marBottom w:val="0"/>
              <w:divBdr>
                <w:top w:val="none" w:sz="0" w:space="0" w:color="auto"/>
                <w:left w:val="none" w:sz="0" w:space="0" w:color="auto"/>
                <w:bottom w:val="none" w:sz="0" w:space="0" w:color="auto"/>
                <w:right w:val="none" w:sz="0" w:space="0" w:color="auto"/>
              </w:divBdr>
            </w:div>
          </w:divsChild>
        </w:div>
        <w:div w:id="140536763">
          <w:marLeft w:val="0"/>
          <w:marRight w:val="0"/>
          <w:marTop w:val="0"/>
          <w:marBottom w:val="0"/>
          <w:divBdr>
            <w:top w:val="none" w:sz="0" w:space="0" w:color="auto"/>
            <w:left w:val="none" w:sz="0" w:space="0" w:color="auto"/>
            <w:bottom w:val="none" w:sz="0" w:space="0" w:color="auto"/>
            <w:right w:val="none" w:sz="0" w:space="0" w:color="auto"/>
          </w:divBdr>
          <w:divsChild>
            <w:div w:id="15755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5532">
      <w:bodyDiv w:val="1"/>
      <w:marLeft w:val="0"/>
      <w:marRight w:val="0"/>
      <w:marTop w:val="0"/>
      <w:marBottom w:val="0"/>
      <w:divBdr>
        <w:top w:val="none" w:sz="0" w:space="0" w:color="auto"/>
        <w:left w:val="none" w:sz="0" w:space="0" w:color="auto"/>
        <w:bottom w:val="none" w:sz="0" w:space="0" w:color="auto"/>
        <w:right w:val="none" w:sz="0" w:space="0" w:color="auto"/>
      </w:divBdr>
    </w:div>
    <w:div w:id="1380016550">
      <w:bodyDiv w:val="1"/>
      <w:marLeft w:val="0"/>
      <w:marRight w:val="0"/>
      <w:marTop w:val="0"/>
      <w:marBottom w:val="0"/>
      <w:divBdr>
        <w:top w:val="none" w:sz="0" w:space="0" w:color="auto"/>
        <w:left w:val="none" w:sz="0" w:space="0" w:color="auto"/>
        <w:bottom w:val="none" w:sz="0" w:space="0" w:color="auto"/>
        <w:right w:val="none" w:sz="0" w:space="0" w:color="auto"/>
      </w:divBdr>
    </w:div>
    <w:div w:id="1382707898">
      <w:bodyDiv w:val="1"/>
      <w:marLeft w:val="0"/>
      <w:marRight w:val="0"/>
      <w:marTop w:val="0"/>
      <w:marBottom w:val="0"/>
      <w:divBdr>
        <w:top w:val="none" w:sz="0" w:space="0" w:color="auto"/>
        <w:left w:val="none" w:sz="0" w:space="0" w:color="auto"/>
        <w:bottom w:val="none" w:sz="0" w:space="0" w:color="auto"/>
        <w:right w:val="none" w:sz="0" w:space="0" w:color="auto"/>
      </w:divBdr>
    </w:div>
    <w:div w:id="1598900673">
      <w:bodyDiv w:val="1"/>
      <w:marLeft w:val="0"/>
      <w:marRight w:val="0"/>
      <w:marTop w:val="0"/>
      <w:marBottom w:val="0"/>
      <w:divBdr>
        <w:top w:val="none" w:sz="0" w:space="0" w:color="auto"/>
        <w:left w:val="none" w:sz="0" w:space="0" w:color="auto"/>
        <w:bottom w:val="none" w:sz="0" w:space="0" w:color="auto"/>
        <w:right w:val="none" w:sz="0" w:space="0" w:color="auto"/>
      </w:divBdr>
    </w:div>
    <w:div w:id="1642342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B7557-FA61-474D-A900-1D4E47CBD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3906</Words>
  <Characters>22268</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CollingsA</dc:creator>
  <cp:lastModifiedBy>Susanna</cp:lastModifiedBy>
  <cp:revision>7</cp:revision>
  <dcterms:created xsi:type="dcterms:W3CDTF">2018-10-10T12:19:00Z</dcterms:created>
  <dcterms:modified xsi:type="dcterms:W3CDTF">2018-10-11T07:47:00Z</dcterms:modified>
</cp:coreProperties>
</file>