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Decision letter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Cambria" w:hAnsi="Cambria" w:asciiTheme="minorHAnsi" w:hAnsiTheme="minorHAnsi"/>
          <w:color w:val="000000"/>
        </w:rPr>
        <w:t>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Author response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Cambria" w:hAnsi="Cambria" w:asciiTheme="minorHAnsi" w:hAnsiTheme="minorHAnsi"/>
          <w:color w:val="auto"/>
        </w:rPr>
        <w:t>...</w:t>
      </w:r>
    </w:p>
    <w:p>
      <w:pPr>
        <w:pStyle w:val="Responses"/>
        <w:shd w:fill="FFFFFF" w:val="clear"/>
        <w:spacing w:lineRule="auto" w:line="240" w:before="0" w:after="0"/>
        <w:ind w:hanging="0"/>
        <w:jc w:val="left"/>
        <w:rPr>
          <w:rFonts w:ascii="Cambria" w:hAnsi="Cambria" w:asciiTheme="minorHAnsi" w:hAnsiTheme="minorHAnsi"/>
          <w:b/>
          <w:b/>
          <w:color w:val="auto"/>
        </w:rPr>
      </w:pPr>
      <w:r>
        <w:rPr>
          <w:rFonts w:asciiTheme="minorHAnsi" w:hAnsiTheme="minorHAnsi" w:ascii="Cambria" w:hAnsi="Cambria"/>
          <w:b/>
          <w:color w:val="auto"/>
        </w:rPr>
      </w:r>
    </w:p>
    <w:p>
      <w:pPr>
        <w:pStyle w:val="Normal"/>
        <w:rPr>
          <w:rFonts w:cs="Arial"/>
        </w:rPr>
      </w:pPr>
      <w:r>
        <w:rPr>
          <w:rFonts w:cs="Arial"/>
          <w:b/>
        </w:rPr>
        <w:t>Author response table 1.</w:t>
      </w:r>
      <w:r>
        <w:rPr>
          <w:rFonts w:cs="Arial"/>
        </w:rPr>
        <w:t xml:space="preserve"> InterRBC-PO2 and EATs dependence on the size of the selection window. The measurements were acquired in 373 capillaries in n = 7 awake mice. Data are expressed as mean±SEM.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Style w:val="TableGrid"/>
        <w:tblW w:w="569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49"/>
        <w:gridCol w:w="2701"/>
        <w:gridCol w:w="1843"/>
      </w:tblGrid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Selection window size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InterRBC-PO2 (mmHg)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EATs (mmHg)</w:t>
            </w:r>
          </w:p>
        </w:tc>
      </w:tr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40%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38.0±3.7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12.0±1.7</w:t>
            </w:r>
          </w:p>
        </w:tc>
      </w:tr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30%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37.7±3.7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12.2±1.7</w:t>
            </w:r>
          </w:p>
        </w:tc>
      </w:tr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20%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37.4±3.7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12.4±1.8</w:t>
            </w:r>
          </w:p>
        </w:tc>
      </w:tr>
      <w:tr>
        <w:trPr/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10%</w:t>
            </w:r>
          </w:p>
        </w:tc>
        <w:tc>
          <w:tcPr>
            <w:tcW w:w="270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37.0±3.6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CA" w:eastAsia="zh-CN"/>
              </w:rPr>
              <w:t>12.7±1.8</w:t>
            </w:r>
          </w:p>
        </w:tc>
      </w:tr>
    </w:tbl>
    <w:p>
      <w:pPr>
        <w:pStyle w:val="Normal"/>
        <w:ind w:firstLine="720"/>
        <w:rPr>
          <w:rFonts w:cs="Arial"/>
          <w:lang w:eastAsia="zh-CN"/>
        </w:rPr>
      </w:pPr>
      <w:r>
        <w:rPr>
          <w:rFonts w:cs="Arial"/>
          <w:lang w:eastAsia="zh-CN"/>
        </w:rPr>
      </w:r>
    </w:p>
    <w:p>
      <w:pPr>
        <w:pStyle w:val="Responses"/>
        <w:shd w:fill="FFFFFF" w:val="clear"/>
        <w:spacing w:lineRule="auto" w:line="240" w:before="0" w:after="0"/>
        <w:ind w:hanging="0"/>
        <w:jc w:val="left"/>
        <w:rPr/>
      </w:pPr>
      <w:r>
        <w:rPr>
          <w:rFonts w:ascii="Cambria" w:hAnsi="Cambria" w:asciiTheme="minorHAnsi" w:hAnsiTheme="minorHAnsi"/>
          <w:color w:val="auto"/>
        </w:rPr>
        <w:t>...</w:t>
      </w:r>
    </w:p>
    <w:p>
      <w:pPr>
        <w:pStyle w:val="Responses"/>
        <w:shd w:fill="FFFFFF" w:val="clear"/>
        <w:spacing w:lineRule="auto" w:line="240" w:before="0" w:after="0"/>
        <w:ind w:hanging="0"/>
        <w:jc w:val="left"/>
        <w:rPr>
          <w:rFonts w:ascii="Cambria" w:hAnsi="Cambria" w:asciiTheme="minorHAnsi" w:hAnsiTheme="minorHAnsi"/>
          <w:color w:val="auto"/>
        </w:rPr>
      </w:pPr>
      <w:r>
        <w:rPr>
          <w:rFonts w:asciiTheme="minorHAnsi" w:hAnsiTheme="minorHAnsi" w:ascii="Cambria" w:hAnsi="Cambria"/>
          <w:color w:val="auto"/>
        </w:rPr>
      </w:r>
    </w:p>
    <w:p>
      <w:pPr>
        <w:pStyle w:val="Normal"/>
        <w:rPr>
          <w:rFonts w:cs="Arial"/>
          <w:highlight w:val="white"/>
        </w:rPr>
      </w:pPr>
      <w:r>
        <w:rPr>
          <w:rFonts w:cs="Arial"/>
          <w:b/>
          <w:shd w:fill="FFFFFF" w:val="clear"/>
        </w:rPr>
        <w:t>Author response table 2.</w:t>
      </w:r>
      <w:r>
        <w:rPr>
          <w:rFonts w:cs="Arial"/>
          <w:shd w:fill="FFFFFF" w:val="clear"/>
        </w:rPr>
        <w:t xml:space="preserve"> Measurement information for the main analysis in Figures 2-7.</w:t>
      </w:r>
    </w:p>
    <w:tbl>
      <w:tblPr>
        <w:tblStyle w:val="PlainTable2"/>
        <w:tblW w:w="77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0"/>
        <w:gridCol w:w="1473"/>
        <w:gridCol w:w="1401"/>
        <w:gridCol w:w="1332"/>
        <w:gridCol w:w="10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Parameters</w:t>
            </w:r>
          </w:p>
        </w:tc>
        <w:tc>
          <w:tcPr>
            <w:tcW w:w="1473" w:type="dxa"/>
            <w:vMerge w:val="restart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Depth</w:t>
            </w:r>
          </w:p>
        </w:tc>
        <w:tc>
          <w:tcPr>
            <w:tcW w:w="3830" w:type="dxa"/>
            <w:gridSpan w:val="3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Numbers of samples/mice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bCs/>
                <w:sz w:val="22"/>
                <w:szCs w:val="22"/>
                <w:highlight w:val="white"/>
                <w:lang w:val="en-CA" w:eastAsia="zh-CN"/>
              </w:rPr>
            </w:pPr>
            <w:r>
              <w:rPr>
                <w:rFonts w:cs="Arial"/>
                <w:b/>
                <w:bCs/>
                <w:sz w:val="22"/>
                <w:szCs w:val="22"/>
                <w:shd w:fill="FFFFFF" w:val="clear"/>
                <w:lang w:val="en-CA" w:eastAsia="zh-CN"/>
              </w:rPr>
            </w:r>
          </w:p>
        </w:tc>
        <w:tc>
          <w:tcPr>
            <w:tcW w:w="1473" w:type="dxa"/>
            <w:vMerge w:val="continue"/>
            <w:tcBorders>
              <w:top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2"/>
                <w:szCs w:val="22"/>
                <w:highlight w:val="white"/>
                <w:lang w:val="en-CA" w:eastAsia="zh-CN"/>
              </w:rPr>
            </w:pPr>
            <w:r>
              <w:rPr>
                <w:rFonts w:cs="Arial"/>
                <w:bCs/>
                <w:sz w:val="22"/>
                <w:szCs w:val="22"/>
                <w:shd w:fill="FFFFFF" w:val="clear"/>
                <w:lang w:val="en-CA" w:eastAsia="zh-CN"/>
              </w:rPr>
            </w:r>
          </w:p>
        </w:tc>
        <w:tc>
          <w:tcPr>
            <w:tcW w:w="1401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sz w:val="24"/>
                <w:szCs w:val="24"/>
                <w:shd w:fill="FFFFFF" w:val="clear"/>
                <w:lang w:val="en-CA" w:eastAsia="zh-CN"/>
              </w:rPr>
              <w:t>Capillaries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sz w:val="24"/>
                <w:szCs w:val="24"/>
                <w:shd w:fill="FFFFFF" w:val="clear"/>
                <w:lang w:val="en-CA" w:eastAsia="zh-CN"/>
              </w:rPr>
              <w:t>Arterioles</w:t>
            </w:r>
          </w:p>
        </w:tc>
        <w:tc>
          <w:tcPr>
            <w:tcW w:w="1097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sz w:val="24"/>
                <w:szCs w:val="24"/>
                <w:shd w:fill="FFFFFF" w:val="clear"/>
                <w:lang w:val="en-CA" w:eastAsia="zh-CN"/>
              </w:rPr>
              <w:t>Venules</w:t>
            </w:r>
          </w:p>
        </w:tc>
      </w:tr>
      <w:tr>
        <w:trPr/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2"/>
                <w:szCs w:val="22"/>
                <w:shd w:fill="FFFFFF" w:val="clear"/>
                <w:lang w:val="en-CA" w:eastAsia="zh-CN"/>
              </w:rPr>
              <w:t>Mean-PO</w:t>
            </w:r>
            <w:r>
              <w:rPr>
                <w:rFonts w:cs="Arial"/>
                <w:b/>
                <w:bCs/>
                <w:sz w:val="22"/>
                <w:szCs w:val="22"/>
                <w:shd w:fill="FFFFFF" w:val="clear"/>
                <w:vertAlign w:val="subscript"/>
                <w:lang w:val="en-CA" w:eastAsia="zh-CN"/>
              </w:rPr>
              <w:t>2</w:t>
            </w:r>
          </w:p>
        </w:tc>
        <w:tc>
          <w:tcPr>
            <w:tcW w:w="1473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0-600 µm</w:t>
            </w:r>
          </w:p>
        </w:tc>
        <w:tc>
          <w:tcPr>
            <w:tcW w:w="1401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 xml:space="preserve">978/15 </w:t>
            </w:r>
          </w:p>
        </w:tc>
        <w:tc>
          <w:tcPr>
            <w:tcW w:w="1332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11/7</w:t>
            </w:r>
          </w:p>
        </w:tc>
        <w:tc>
          <w:tcPr>
            <w:tcW w:w="1097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14/7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RBC Flux</w:t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0-600 µm</w:t>
            </w:r>
          </w:p>
        </w:tc>
        <w:tc>
          <w:tcPr>
            <w:tcW w:w="1401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 xml:space="preserve">978/15 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  <w:tc>
          <w:tcPr>
            <w:tcW w:w="1097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</w:tr>
      <w:tr>
        <w:trPr/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Temporal Fluctuation</w:t>
            </w:r>
          </w:p>
        </w:tc>
        <w:tc>
          <w:tcPr>
            <w:tcW w:w="1473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0-600 µm</w:t>
            </w:r>
          </w:p>
        </w:tc>
        <w:tc>
          <w:tcPr>
            <w:tcW w:w="1401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373/7</w:t>
            </w:r>
          </w:p>
        </w:tc>
        <w:tc>
          <w:tcPr>
            <w:tcW w:w="1332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  <w:tc>
          <w:tcPr>
            <w:tcW w:w="1097" w:type="dxa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EATs</w:t>
            </w:r>
          </w:p>
        </w:tc>
        <w:tc>
          <w:tcPr>
            <w:tcW w:w="1473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0-600 µm</w:t>
            </w:r>
          </w:p>
        </w:tc>
        <w:tc>
          <w:tcPr>
            <w:tcW w:w="1401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373/7</w:t>
            </w:r>
          </w:p>
        </w:tc>
        <w:tc>
          <w:tcPr>
            <w:tcW w:w="1332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  <w:tc>
          <w:tcPr>
            <w:tcW w:w="1097" w:type="dxa"/>
            <w:tcBorders/>
            <w:shd w:fill="auto" w:val="clear"/>
            <w:vAlign w:val="cente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</w:tr>
      <w:tr>
        <w:trPr/>
        <w:tc>
          <w:tcPr>
            <w:tcW w:w="24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 w:val="false"/>
                <w:b w:val="false"/>
                <w:sz w:val="24"/>
                <w:szCs w:val="24"/>
                <w:highlight w:val="white"/>
              </w:rPr>
            </w:pPr>
            <w:r>
              <w:rPr>
                <w:rFonts w:cs="Arial"/>
                <w:b/>
                <w:bCs/>
                <w:sz w:val="24"/>
                <w:szCs w:val="24"/>
                <w:shd w:fill="FFFFFF" w:val="clear"/>
                <w:lang w:val="en-CA" w:eastAsia="zh-CN"/>
              </w:rPr>
              <w:t>Branching Orders</w:t>
            </w:r>
          </w:p>
        </w:tc>
        <w:tc>
          <w:tcPr>
            <w:tcW w:w="147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0-300 µm</w:t>
            </w:r>
          </w:p>
        </w:tc>
        <w:tc>
          <w:tcPr>
            <w:tcW w:w="140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97/5</w:t>
            </w:r>
          </w:p>
        </w:tc>
        <w:tc>
          <w:tcPr>
            <w:tcW w:w="13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  <w:tc>
          <w:tcPr>
            <w:tcW w:w="109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  <w:highlight w:val="white"/>
              </w:rPr>
            </w:pPr>
            <w:r>
              <w:rPr>
                <w:rFonts w:cs="Arial"/>
                <w:sz w:val="24"/>
                <w:szCs w:val="24"/>
                <w:shd w:fill="FFFFFF" w:val="clear"/>
                <w:lang w:val="en-CA" w:eastAsia="zh-CN"/>
              </w:rPr>
              <w:t>N.A.</w:t>
            </w:r>
          </w:p>
        </w:tc>
      </w:tr>
    </w:tbl>
    <w:p>
      <w:pPr>
        <w:pStyle w:val="Normal"/>
        <w:rPr>
          <w:rFonts w:cs="Arial"/>
          <w:highlight w:val="white"/>
          <w:lang w:eastAsia="zh-CN"/>
        </w:rPr>
      </w:pPr>
      <w:r>
        <w:rPr>
          <w:rFonts w:cs="Arial"/>
          <w:shd w:fill="FFFFFF" w:val="clear"/>
          <w:lang w:eastAsia="zh-CN"/>
        </w:rPr>
      </w:r>
    </w:p>
    <w:p>
      <w:pPr>
        <w:pStyle w:val="Normal"/>
        <w:rPr>
          <w:i/>
          <w:i/>
          <w:iCs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641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160349"/>
    <w:rPr/>
  </w:style>
  <w:style w:type="character" w:styleId="Emphasis">
    <w:name w:val="Emphasis"/>
    <w:basedOn w:val="DefaultParagraphFont"/>
    <w:uiPriority w:val="20"/>
    <w:qFormat/>
    <w:rsid w:val="0047267e"/>
    <w:rPr>
      <w:i/>
      <w:iCs/>
    </w:rPr>
  </w:style>
  <w:style w:type="character" w:styleId="NoSpacingChar" w:customStyle="1">
    <w:name w:val="No Spacing Char"/>
    <w:basedOn w:val="DefaultParagraphFont"/>
    <w:link w:val="NoSpacing"/>
    <w:qFormat/>
    <w:locked/>
    <w:rsid w:val="006c0c01"/>
    <w:rPr>
      <w:rFonts w:eastAsia="Cambria" w:eastAsiaTheme="minorHAnsi"/>
      <w:sz w:val="22"/>
      <w:szCs w:val="22"/>
      <w:lang w:val="fr-FR"/>
    </w:rPr>
  </w:style>
  <w:style w:type="character" w:styleId="InternetLink">
    <w:name w:val="Internet Link"/>
    <w:basedOn w:val="DefaultParagraphFont"/>
    <w:uiPriority w:val="99"/>
    <w:semiHidden/>
    <w:unhideWhenUsed/>
    <w:rsid w:val="004f2d4e"/>
    <w:rPr>
      <w:color w:val="0000FF"/>
      <w:u w:val="single"/>
    </w:rPr>
  </w:style>
  <w:style w:type="character" w:styleId="Hithilite" w:customStyle="1">
    <w:name w:val="hithilite"/>
    <w:basedOn w:val="DefaultParagraphFont"/>
    <w:qFormat/>
    <w:rsid w:val="004f2d4e"/>
    <w:rPr/>
  </w:style>
  <w:style w:type="character" w:styleId="ReviewerChar" w:customStyle="1">
    <w:name w:val="Reviewer Char"/>
    <w:basedOn w:val="DefaultParagraphFont"/>
    <w:link w:val="Reviewer"/>
    <w:qFormat/>
    <w:locked/>
    <w:rsid w:val="00487e00"/>
    <w:rPr>
      <w:rFonts w:ascii="Arial" w:hAnsi="Arial" w:cs="Arial"/>
      <w:color w:val="0000FF"/>
      <w:shd w:fill="FFFFFF" w:val="clear"/>
    </w:rPr>
  </w:style>
  <w:style w:type="character" w:styleId="ResponsesChar" w:customStyle="1">
    <w:name w:val="Responses Char"/>
    <w:basedOn w:val="DefaultParagraphFont"/>
    <w:link w:val="Responses"/>
    <w:qFormat/>
    <w:locked/>
    <w:rsid w:val="00487e00"/>
    <w:rPr>
      <w:rFonts w:ascii="Arial" w:hAnsi="Arial" w:cs="Arial"/>
      <w:color w:val="222222"/>
      <w:shd w:fill="FFFFFF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641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34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a7ab8"/>
    <w:pPr>
      <w:spacing w:beforeAutospacing="1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NoSpacing">
    <w:name w:val="No Spacing"/>
    <w:link w:val="NoSpacingChar"/>
    <w:qFormat/>
    <w:rsid w:val="0047267e"/>
    <w:pPr>
      <w:widowControl/>
      <w:bidi w:val="0"/>
      <w:jc w:val="left"/>
    </w:pPr>
    <w:rPr>
      <w:rFonts w:eastAsia="Cambria" w:eastAsiaTheme="minorHAnsi" w:ascii="Cambria" w:hAnsi="Cambria" w:cs="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a26f9e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en-GB" w:val="en-US" w:bidi="ar-SA"/>
    </w:rPr>
  </w:style>
  <w:style w:type="paragraph" w:styleId="Body" w:customStyle="1">
    <w:name w:val="Body"/>
    <w:qFormat/>
    <w:rsid w:val="00a26f9e"/>
    <w:pPr>
      <w:widowControl/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eastAsia="en-GB" w:val="en-US" w:bidi="ar-SA"/>
    </w:rPr>
  </w:style>
  <w:style w:type="paragraph" w:styleId="Reviewer" w:customStyle="1">
    <w:name w:val="Reviewer"/>
    <w:basedOn w:val="Normal"/>
    <w:link w:val="ReviewerChar"/>
    <w:qFormat/>
    <w:rsid w:val="00487e00"/>
    <w:pPr>
      <w:shd w:val="clear" w:color="auto" w:fill="FFFFFF"/>
      <w:spacing w:lineRule="auto" w:line="276" w:before="0" w:after="120"/>
      <w:ind w:firstLine="720"/>
      <w:jc w:val="both"/>
    </w:pPr>
    <w:rPr>
      <w:rFonts w:ascii="Arial" w:hAnsi="Arial" w:cs="Arial"/>
      <w:color w:val="0000FF"/>
    </w:rPr>
  </w:style>
  <w:style w:type="paragraph" w:styleId="Responses" w:customStyle="1">
    <w:name w:val="Responses"/>
    <w:basedOn w:val="Normal"/>
    <w:link w:val="ResponsesChar"/>
    <w:qFormat/>
    <w:rsid w:val="00487e00"/>
    <w:pPr>
      <w:shd w:val="clear" w:color="auto" w:fill="FFFFFF"/>
      <w:spacing w:lineRule="auto" w:line="276" w:before="0" w:after="120"/>
      <w:ind w:firstLine="720"/>
      <w:jc w:val="both"/>
    </w:pPr>
    <w:rPr>
      <w:rFonts w:ascii="Arial" w:hAnsi="Arial" w:cs="Arial"/>
      <w:color w:val="2222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0421"/>
    <w:rPr>
      <w:lang w:val="en-CA" w:eastAsia="zh-CN"/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e86540"/>
    <w:rPr>
      <w:lang w:val="en-CA" w:eastAsia="zh-CN"/>
      <w:sz w:val="22"/>
      <w:szCs w:val="22"/>
    </w:rPr>
    <w:tblPr>
      <w:tblStyleRowBandSize w:val="1"/>
      <w:tblStyleColBandSize w:val="1"/>
      <w:tblInd w:w="0" w:type="nil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8459B-EC8A-3F43-8CAB-D767D0BA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LibreOffice/6.0.6.2$MacOSX_X86_64 LibreOffice_project/0c292870b25a325b5ed35f6b45599d2ea4458e77</Application>
  <Pages>1</Pages>
  <Words>113</Words>
  <Characters>617</Characters>
  <CharactersWithSpaces>680</CharactersWithSpaces>
  <Paragraphs>53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2019-09-02T17:38:28Z</dcterms:created>
  <dc:creator/>
  <dc:description/>
  <dc:language>en-CA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