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DIGEST</w:t>
      </w:r>
    </w:p>
    <w:p>
      <w:r>
        <w:t>Being able to recognize sample data is crucial for social interactions in humans. This is also added, CO</w:t>
      </w:r>
      <w:r>
        <w:rPr>
          <w:vertAlign w:val="subscript"/>
        </w:rPr>
        <w:t>2</w:t>
      </w:r>
      <w:r>
        <w:t xml:space="preserve"> or Ca</w:t>
      </w:r>
      <w:r>
        <w:rPr>
          <w:vertAlign w:val="superscript"/>
        </w:rPr>
        <w:t>2+</w:t>
      </w:r>
      <w:r>
        <w:t>, &amp; 1 &lt; 2.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Some other mammals also identify sample data. For example, female medaka fish (</w:t>
      </w:r>
      <w:r>
        <w:rPr>
          <w:i/>
        </w:rPr>
        <w:t>Oryzias latipes</w:t>
      </w:r>
      <w:r>
        <w:t>) prefer sample data they have seen before to ‘strangers’. However, until now, it was not known if they can recognize individual faces, nor how they distinguish a specific male from many others.</w:t>
      </w:r>
    </w:p>
    <w:p>
      <w: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