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MVP Sonuçları — Çıktı Yorumlama + Başarı Anlatısı (Jüri Dili)</w:t>
      </w:r>
    </w:p>
    <w:p>
      <w:r>
        <w:t>Generated at (UTC): 2026-01-31 12:19:08Z</w:t>
      </w:r>
    </w:p>
    <w:p>
      <w:r>
        <w:t>Seed: 42</w:t>
      </w:r>
    </w:p>
    <w:p>
      <w:pPr>
        <w:pStyle w:val="Heading2"/>
      </w:pPr>
      <w:r>
        <w:t>Yönetici Özeti</w:t>
      </w:r>
    </w:p>
    <w:p>
      <w:r>
        <w:t>Bu MVP; rul_pred (kalan ömür) ve anomaly_score ([0,1]) üretip, tek kaynak eşik/policy ile decision_label (operasyonel triage) çıktısı verir. Kapsam: FD001–FD004.</w:t>
      </w:r>
    </w:p>
    <w:p>
      <w:pPr>
        <w:pStyle w:val="Heading2"/>
      </w:pPr>
      <w:r>
        <w:t>Artefact Durumu &amp; Sağlık Kontrolü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duplicates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NaN/Inf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rul&lt;0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anom_oob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anom_min/max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θ/α</w:t>
            </w:r>
          </w:p>
        </w:tc>
      </w:tr>
      <w:tr>
        <w:tc>
          <w:tcPr>
            <w:tcW w:type="dxa" w:w="1080"/>
          </w:tcPr>
          <w:p>
            <w:r>
              <w:t>FD001</w:t>
            </w:r>
          </w:p>
        </w:tc>
        <w:tc>
          <w:tcPr>
            <w:tcW w:type="dxa" w:w="1080"/>
          </w:tcPr>
          <w:p>
            <w:r>
              <w:t>13096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0.323/0.999</w:t>
            </w:r>
          </w:p>
        </w:tc>
        <w:tc>
          <w:tcPr>
            <w:tcW w:type="dxa" w:w="1080"/>
          </w:tcPr>
          <w:p>
            <w:r>
              <w:t>50.000/0.456</w:t>
            </w:r>
          </w:p>
        </w:tc>
      </w:tr>
      <w:tr>
        <w:tc>
          <w:tcPr>
            <w:tcW w:type="dxa" w:w="1080"/>
          </w:tcPr>
          <w:p>
            <w:r>
              <w:t>FD002</w:t>
            </w:r>
          </w:p>
        </w:tc>
        <w:tc>
          <w:tcPr>
            <w:tcW w:type="dxa" w:w="1080"/>
          </w:tcPr>
          <w:p>
            <w:r>
              <w:t>33991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0.380/1.000</w:t>
            </w:r>
          </w:p>
        </w:tc>
        <w:tc>
          <w:tcPr>
            <w:tcW w:type="dxa" w:w="1080"/>
          </w:tcPr>
          <w:p>
            <w:r>
              <w:t>50.000/0.683</w:t>
            </w:r>
          </w:p>
        </w:tc>
      </w:tr>
      <w:tr>
        <w:tc>
          <w:tcPr>
            <w:tcW w:type="dxa" w:w="1080"/>
          </w:tcPr>
          <w:p>
            <w:r>
              <w:t>FD003</w:t>
            </w:r>
          </w:p>
        </w:tc>
        <w:tc>
          <w:tcPr>
            <w:tcW w:type="dxa" w:w="1080"/>
          </w:tcPr>
          <w:p>
            <w:r>
              <w:t>16596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0.259/1.000</w:t>
            </w:r>
          </w:p>
        </w:tc>
        <w:tc>
          <w:tcPr>
            <w:tcW w:type="dxa" w:w="1080"/>
          </w:tcPr>
          <w:p>
            <w:r>
              <w:t>50.000/0.422</w:t>
            </w:r>
          </w:p>
        </w:tc>
      </w:tr>
      <w:tr>
        <w:tc>
          <w:tcPr>
            <w:tcW w:type="dxa" w:w="1080"/>
          </w:tcPr>
          <w:p>
            <w:r>
              <w:t>FD004</w:t>
            </w:r>
          </w:p>
        </w:tc>
        <w:tc>
          <w:tcPr>
            <w:tcW w:type="dxa" w:w="1080"/>
          </w:tcPr>
          <w:p>
            <w:r>
              <w:t>41214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0.365/0.926</w:t>
            </w:r>
          </w:p>
        </w:tc>
        <w:tc>
          <w:tcPr>
            <w:tcW w:type="dxa" w:w="1080"/>
          </w:tcPr>
          <w:p>
            <w:r>
              <w:t>50.000/0.717</w:t>
            </w:r>
          </w:p>
        </w:tc>
      </w:tr>
    </w:tbl>
    <w:p>
      <w:pPr>
        <w:pStyle w:val="Heading2"/>
      </w:pPr>
      <w:r>
        <w:t>MVP Closure Checklist (PASS/FAIL)</w:t>
      </w:r>
    </w:p>
    <w:p>
      <w:r>
        <w:t>Amaç: Bu tablo ekip içi “bitti mi?” sorusuna tek bakışta cevap verir. overall=PASS için artefact’lar FOUND, duplicate/NaN/Inf=0, audit alanları mevcut ve karar kuralı doğrulaması mismatch=0 olmalıdır.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artefacts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integrity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leakage_docs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consistency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overall</w:t>
            </w:r>
          </w:p>
        </w:tc>
      </w:tr>
      <w:tr>
        <w:tc>
          <w:tcPr>
            <w:tcW w:type="dxa" w:w="1234"/>
          </w:tcPr>
          <w:p>
            <w:r>
              <w:t>FD001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FD002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FD003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FD004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p>
      <w:pPr>
        <w:pStyle w:val="Heading2"/>
      </w:pPr>
      <w:r>
        <w:t>Neden Bu MVP Güvenilir? (kanıtlı)</w:t>
      </w:r>
    </w:p>
    <w:p>
      <w:pPr>
        <w:pStyle w:val="ListBullet"/>
      </w:pPr>
      <w:r>
        <w:t>Contract &amp; Data Integrity</w:t>
      </w:r>
    </w:p>
    <w:p>
      <w:pPr>
        <w:pStyle w:val="ListBullet2"/>
      </w:pPr>
      <w:r>
        <w:t>Join key standardı: (dataset_id, split, engine_id, cycle)</w:t>
      </w:r>
    </w:p>
    <w:p>
      <w:pPr>
        <w:pStyle w:val="ListBullet2"/>
      </w:pPr>
      <w:r>
        <w:t>Duplicate/NaN/Inf sayıları sağlık tablosunda raporlanır (0 hedefi).</w:t>
      </w:r>
    </w:p>
    <w:p>
      <w:pPr>
        <w:pStyle w:val="ListBullet"/>
      </w:pPr>
      <w:r>
        <w:t>Auditability</w:t>
      </w:r>
    </w:p>
    <w:p>
      <w:pPr>
        <w:pStyle w:val="ListBullet2"/>
      </w:pPr>
      <w:r>
        <w:t>Her dataset için config_sha256 ve theta/alpha used değerleri report.json’da bulunur.</w:t>
      </w:r>
    </w:p>
    <w:p>
      <w:pPr>
        <w:pStyle w:val="ListBullet"/>
      </w:pPr>
      <w:r>
        <w:t>Leakage-safe yaklaşım</w:t>
      </w:r>
    </w:p>
    <w:p>
      <w:pPr>
        <w:pStyle w:val="ListBullet2"/>
      </w:pPr>
      <w:r>
        <w:t>FD003 protokol raporu: FOUND (/Users/elifgungen/Downloads/JET-CUBE/docs/fd003_protocol_fix_report.md)</w:t>
      </w:r>
    </w:p>
    <w:p>
      <w:pPr>
        <w:pStyle w:val="ListBullet2"/>
      </w:pPr>
      <w:r>
        <w:t>FD004 reproducibility raporu: FOUND (/Users/elifgungen/Downloads/JET-CUBE/docs/fd004_repro_fix_report.md)</w:t>
      </w:r>
    </w:p>
    <w:p>
      <w:pPr>
        <w:pStyle w:val="ListBullet"/>
      </w:pPr>
      <w:r>
        <w:t>Decision-support consistency</w:t>
      </w:r>
    </w:p>
    <w:p>
      <w:pPr>
        <w:pStyle w:val="ListBullet2"/>
      </w:pPr>
      <w:r>
        <w:t>Seed=42 ile 50 satır örnek üzerinde kural doğrulaması (mismatch=0 hedefi).</w:t>
      </w:r>
    </w:p>
    <w:p>
      <w:pPr>
        <w:pStyle w:val="Heading2"/>
      </w:pPr>
      <w:r>
        <w:t>Reproduce (tek komut / kaynaklar)</w:t>
      </w:r>
    </w:p>
    <w:p>
      <w:r>
        <w:t>Repro komutları: /Users/elifgungen/Downloads/JET-CUBE/docs/repro_commands.md</w:t>
      </w:r>
    </w:p>
    <w:p>
      <w:r>
        <w:t>Dashboard runbook: /Users/elifgungen/Downloads/JET-CUBE/docs/demo_runbook.md</w:t>
      </w:r>
    </w:p>
    <w:p>
      <w:pPr>
        <w:pStyle w:val="Heading2"/>
      </w:pPr>
      <w:r>
        <w:t>Çıktıları Nasıl Okumalıyız?</w:t>
      </w:r>
    </w:p>
    <w:p>
      <w:pPr>
        <w:pStyle w:val="ListBullet"/>
      </w:pPr>
      <w:r>
        <w:t>rul_pred yüksek → kalan ömür var; trend düşüyorsa bakım penceresi yaklaşıyor.</w:t>
      </w:r>
    </w:p>
    <w:p>
      <w:pPr>
        <w:pStyle w:val="ListBullet"/>
      </w:pPr>
      <w:r>
        <w:t>anomaly_score baseline sapmasıdır; tek başına arıza değil, alarm sinyali olarak okunur.</w:t>
      </w:r>
    </w:p>
    <w:p>
      <w:pPr>
        <w:pStyle w:val="ListBullet"/>
      </w:pPr>
      <w:r>
        <w:t>decision_label operasyonel triage içindir; otomatik bakım emri değildir.</w:t>
      </w:r>
    </w:p>
    <w:p>
      <w:pPr>
        <w:pStyle w:val="Heading2"/>
      </w:pPr>
      <w:r>
        <w:t>Dataset bazlı analiz (FD001–FD004)</w:t>
      </w:r>
    </w:p>
    <w:p>
      <w:pPr>
        <w:pStyle w:val="Heading3"/>
      </w:pPr>
      <w:r>
        <w:t>FD001</w:t>
      </w:r>
    </w:p>
    <w:p>
      <w:r>
        <w:t>Split: test</w:t>
      </w:r>
    </w:p>
    <w:p>
      <w:r>
        <w:t>RUL (min/p50/p95/max): 4.867 / 117.295 / 125.000 / 125.000</w:t>
      </w:r>
    </w:p>
    <w:p>
      <w:r>
        <w:t>Anomaly (min/p50/p95/max): 0.323 / 0.438 / 0.785 / 0.999</w:t>
      </w:r>
    </w:p>
    <w:p>
      <w:r>
        <w:t>Alarm Rate: 38.32%</w:t>
      </w:r>
    </w:p>
    <w:p>
      <w:r>
        <w:t>Immediate Rate: 4.74%</w:t>
      </w:r>
    </w:p>
    <w:p>
      <w:r>
        <w:t>Timeline (rul_pred + anomaly_score + decision_label)</w:t>
      </w:r>
    </w:p>
    <w:p>
      <w:r>
        <w:drawing>
          <wp:inline xmlns:a="http://schemas.openxmlformats.org/drawingml/2006/main" xmlns:pic="http://schemas.openxmlformats.org/drawingml/2006/picture">
            <wp:extent cx="548640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1_engine_49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Distributions (RUL &amp; anomaly)</w:t>
      </w:r>
    </w:p>
    <w:p>
      <w:r>
        <w:drawing>
          <wp:inline xmlns:a="http://schemas.openxmlformats.org/drawingml/2006/main" xmlns:pic="http://schemas.openxmlformats.org/drawingml/2006/picture">
            <wp:extent cx="5486400" cy="1713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1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 label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452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1_decision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 görüyoruz? (kanıtlı yorum)</w:t>
      </w:r>
    </w:p>
    <w:p>
      <w:pPr>
        <w:pStyle w:val="ListBullet"/>
      </w:pPr>
      <w:r>
        <w:t>Bu dataset’te decision_label dağılımı: Normal=8077 (%61.68), Enhanced=4398 (%33.58), Planned=0 (%0.00), Immediate=621 (%4.74).</w:t>
      </w:r>
    </w:p>
    <w:p>
      <w:pPr>
        <w:pStyle w:val="ListBullet"/>
      </w:pPr>
      <w:r>
        <w:t>RUL dağılımı (min/p50/p95/max): 4.867 / 117.295 / 125.000 / 125.000; bu dağılım bakım penceresine yaklaşımı cycle bazında izlemeyi mümkün kılar.</w:t>
      </w:r>
    </w:p>
    <w:p>
      <w:pPr>
        <w:pStyle w:val="ListBullet"/>
      </w:pPr>
      <w:r>
        <w:t>Anomali dağılımı (min/p50/p95/max): 0.323 / 0.438 / 0.785 / 0.999; anomaly_score yüksekliği baseline sapmasının arttığını gösterir (tek başına arıza değildir).</w:t>
      </w:r>
    </w:p>
    <w:p>
      <w:pPr>
        <w:pStyle w:val="ListBullet"/>
      </w:pPr>
      <w:r>
        <w:t>Eşikler (audit): θ_RUL=50.000 ve α_anomaly=0.456. Bu eşikler aynı dataset/split içinde sabit tutulur ve grafikte çizgilerle gösterilir.</w:t>
      </w:r>
    </w:p>
    <w:p>
      <w:pPr>
        <w:pStyle w:val="ListBullet"/>
      </w:pPr>
      <w:r>
        <w:t>RUL&lt;=θ oranı: %4.74. Bu bölgede Planned/Immediate oranı %100.00; RUL&gt;θ iken aynı oran %0.00 (operasyonel triage mantığıyla tutarlı ayrışma).</w:t>
      </w:r>
    </w:p>
    <w:p>
      <w:pPr>
        <w:pStyle w:val="ListBullet"/>
      </w:pPr>
      <w:r>
        <w:t>anomaly&gt;=α oranı: %38.32. anomaly&gt;=α iken alarm (Enhanced/Immediate) oranı %100.00; anomaly&lt;α iken %0.00 (anomali sinyalinin alarm yoğunluğuna etkisi).</w:t>
      </w:r>
    </w:p>
    <w:p>
      <w:pPr>
        <w:pStyle w:val="ListBullet"/>
      </w:pPr>
      <w:r>
        <w:t>Anomali üst kuyruk (p95=0.785) üzerinde Enhanced Monitoring oranı %40.15. Bu, yüksek sapma dönemlerinde izleme modunun daha sık tetiklendiğine dair gözlemdir.</w:t>
      </w:r>
    </w:p>
    <w:p>
      <w:pPr>
        <w:pStyle w:val="ListBullet"/>
      </w:pPr>
      <w:r>
        <w:t>Top reason_codes: `RUL_HIGH` (12475), `ANOM_LOW` (8077), `ANOM_HIGH` (5019), `RUL_LOW` (621).</w:t>
      </w:r>
    </w:p>
    <w:p>
      <w:pPr>
        <w:pStyle w:val="ListBullet"/>
      </w:pPr>
      <w:r>
        <w:t>Seçili örnek engine: engine_id=49 (en uzun timeline; tie-break seed=42). Timeline figüründe işaretlenen cycle=23 çevresinde label geçişleri ve eşik çizgileri birlikte okunur.</w:t>
      </w:r>
    </w:p>
    <w:p>
      <w:pPr>
        <w:pStyle w:val="Heading3"/>
      </w:pPr>
      <w:r>
        <w:t>FD002</w:t>
      </w:r>
    </w:p>
    <w:p>
      <w:r>
        <w:t>Split: test</w:t>
      </w:r>
    </w:p>
    <w:p>
      <w:r>
        <w:t>RUL (min/p50/p95/max): 0.360 / 116.071 / 125.000 / 125.000</w:t>
      </w:r>
    </w:p>
    <w:p>
      <w:r>
        <w:t>Anomaly (min/p50/p95/max): 0.380 / 0.531 / 0.636 / 1.000</w:t>
      </w:r>
    </w:p>
    <w:p>
      <w:r>
        <w:t>Alarm Rate: 1.57%</w:t>
      </w:r>
    </w:p>
    <w:p>
      <w:r>
        <w:t>Immediate Rate: 0.10%</w:t>
      </w:r>
    </w:p>
    <w:p>
      <w:r>
        <w:t>Timeline (rul_pred + anomaly_score + decision_label)</w:t>
      </w:r>
    </w:p>
    <w:p>
      <w:r>
        <w:drawing>
          <wp:inline xmlns:a="http://schemas.openxmlformats.org/drawingml/2006/main" xmlns:pic="http://schemas.openxmlformats.org/drawingml/2006/picture">
            <wp:extent cx="5486400" cy="1920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2_engine_65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Distributions (RUL &amp; anomaly)</w:t>
      </w:r>
    </w:p>
    <w:p>
      <w:r>
        <w:drawing>
          <wp:inline xmlns:a="http://schemas.openxmlformats.org/drawingml/2006/main" xmlns:pic="http://schemas.openxmlformats.org/drawingml/2006/picture">
            <wp:extent cx="5486400" cy="1713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2_distribu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 label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452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2_decision_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 görüyoruz? (kanıtlı yorum)</w:t>
      </w:r>
    </w:p>
    <w:p>
      <w:pPr>
        <w:pStyle w:val="ListBullet"/>
      </w:pPr>
      <w:r>
        <w:t>Bu dataset’te decision_label dağılımı: Normal=31180 (%91.73), Enhanced=498 (%1.47), Planned=2278 (%6.70), Immediate=35 (%0.10).</w:t>
      </w:r>
    </w:p>
    <w:p>
      <w:pPr>
        <w:pStyle w:val="ListBullet"/>
      </w:pPr>
      <w:r>
        <w:t>RUL dağılımı (min/p50/p95/max): 0.360 / 116.071 / 125.000 / 125.000; bu dağılım bakım penceresine yaklaşımı cycle bazında izlemeyi mümkün kılar.</w:t>
      </w:r>
    </w:p>
    <w:p>
      <w:pPr>
        <w:pStyle w:val="ListBullet"/>
      </w:pPr>
      <w:r>
        <w:t>Anomali dağılımı (min/p50/p95/max): 0.380 / 0.531 / 0.636 / 1.000; anomaly_score yüksekliği baseline sapmasının arttığını gösterir (tek başına arıza değildir).</w:t>
      </w:r>
    </w:p>
    <w:p>
      <w:pPr>
        <w:pStyle w:val="ListBullet"/>
      </w:pPr>
      <w:r>
        <w:t>Eşikler (audit): θ_RUL=50.000 ve α_anomaly=0.683. Bu eşikler aynı dataset/split içinde sabit tutulur ve grafikte çizgilerle gösterilir.</w:t>
      </w:r>
    </w:p>
    <w:p>
      <w:pPr>
        <w:pStyle w:val="ListBullet"/>
      </w:pPr>
      <w:r>
        <w:t>RUL&lt;=θ oranı: %6.80. Bu bölgede Planned/Immediate oranı %100.00; RUL&gt;θ iken aynı oran %0.00 (operasyonel triage mantığıyla tutarlı ayrışma).</w:t>
      </w:r>
    </w:p>
    <w:p>
      <w:pPr>
        <w:pStyle w:val="ListBullet"/>
      </w:pPr>
      <w:r>
        <w:t>anomaly&gt;=α oranı: %1.57. anomaly&gt;=α iken alarm (Enhanced/Immediate) oranı %100.00; anomaly&lt;α iken %0.00 (anomali sinyalinin alarm yoğunluğuna etkisi).</w:t>
      </w:r>
    </w:p>
    <w:p>
      <w:pPr>
        <w:pStyle w:val="ListBullet"/>
      </w:pPr>
      <w:r>
        <w:t>Anomali üst kuyruk (p95=0.636) üzerinde Enhanced Monitoring oranı %29.29. Bu, yüksek sapma dönemlerinde izleme modunun daha sık tetiklendiğine dair gözlemdir.</w:t>
      </w:r>
    </w:p>
    <w:p>
      <w:pPr>
        <w:pStyle w:val="ListBullet"/>
      </w:pPr>
      <w:r>
        <w:t>Top reason_codes: `ANOM_LOW` (33458), `RUL_HIGH` (31678), `RUL_LOW` (2313), `ANOM_HIGH` (533).</w:t>
      </w:r>
    </w:p>
    <w:p>
      <w:pPr>
        <w:pStyle w:val="ListBullet"/>
      </w:pPr>
      <w:r>
        <w:t>Seçili örnek engine: engine_id=65 (en uzun timeline; tie-break seed=42). Timeline figüründe işaretlenen cycle=118 çevresinde label geçişleri ve eşik çizgileri birlikte okunur.</w:t>
      </w:r>
    </w:p>
    <w:p>
      <w:pPr>
        <w:pStyle w:val="Heading3"/>
      </w:pPr>
      <w:r>
        <w:t>FD003</w:t>
      </w:r>
    </w:p>
    <w:p>
      <w:r>
        <w:t>Split: test</w:t>
      </w:r>
    </w:p>
    <w:p>
      <w:r>
        <w:t>RUL (min/p50/p95/max): 3.964 / 120.802 / 125.000 / 125.000</w:t>
      </w:r>
    </w:p>
    <w:p>
      <w:r>
        <w:t>Anomaly (min/p50/p95/max): 0.259 / 0.412 / 0.977 / 1.000</w:t>
      </w:r>
    </w:p>
    <w:p>
      <w:r>
        <w:t>Alarm Rate: 45.84%</w:t>
      </w:r>
    </w:p>
    <w:p>
      <w:r>
        <w:t>Immediate Rate: 3.62%</w:t>
      </w:r>
    </w:p>
    <w:p>
      <w:r>
        <w:t>Timeline (rul_pred + anomaly_score + decision_label)</w:t>
      </w:r>
    </w:p>
    <w:p>
      <w:r>
        <w:drawing>
          <wp:inline xmlns:a="http://schemas.openxmlformats.org/drawingml/2006/main" xmlns:pic="http://schemas.openxmlformats.org/drawingml/2006/picture">
            <wp:extent cx="5486400" cy="1920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3_engine_24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Distributions (RUL &amp; anomaly)</w:t>
      </w:r>
    </w:p>
    <w:p>
      <w:r>
        <w:drawing>
          <wp:inline xmlns:a="http://schemas.openxmlformats.org/drawingml/2006/main" xmlns:pic="http://schemas.openxmlformats.org/drawingml/2006/picture">
            <wp:extent cx="5486400" cy="1713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3_distribu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 label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452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3_decision_cou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 görüyoruz? (kanıtlı yorum)</w:t>
      </w:r>
    </w:p>
    <w:p>
      <w:pPr>
        <w:pStyle w:val="ListBullet"/>
      </w:pPr>
      <w:r>
        <w:t>Bu dataset’te decision_label dağılımı: Normal=8989 (%54.16), Enhanced=7007 (%42.22), Planned=0 (%0.00), Immediate=600 (%3.62).</w:t>
      </w:r>
    </w:p>
    <w:p>
      <w:pPr>
        <w:pStyle w:val="ListBullet"/>
      </w:pPr>
      <w:r>
        <w:t>RUL dağılımı (min/p50/p95/max): 3.964 / 120.802 / 125.000 / 125.000; bu dağılım bakım penceresine yaklaşımı cycle bazında izlemeyi mümkün kılar.</w:t>
      </w:r>
    </w:p>
    <w:p>
      <w:pPr>
        <w:pStyle w:val="ListBullet"/>
      </w:pPr>
      <w:r>
        <w:t>Anomali dağılımı (min/p50/p95/max): 0.259 / 0.412 / 0.977 / 1.000; anomaly_score yüksekliği baseline sapmasının arttığını gösterir (tek başına arıza değildir).</w:t>
      </w:r>
    </w:p>
    <w:p>
      <w:pPr>
        <w:pStyle w:val="ListBullet"/>
      </w:pPr>
      <w:r>
        <w:t>Eşikler (audit): θ_RUL=50.000 ve α_anomaly=0.422. Bu eşikler aynı dataset/split içinde sabit tutulur ve grafikte çizgilerle gösterilir.</w:t>
      </w:r>
    </w:p>
    <w:p>
      <w:pPr>
        <w:pStyle w:val="ListBullet"/>
      </w:pPr>
      <w:r>
        <w:t>RUL&lt;=θ oranı: %3.62. Bu bölgede Planned/Immediate oranı %100.00; RUL&gt;θ iken aynı oran %0.00 (operasyonel triage mantığıyla tutarlı ayrışma).</w:t>
      </w:r>
    </w:p>
    <w:p>
      <w:pPr>
        <w:pStyle w:val="ListBullet"/>
      </w:pPr>
      <w:r>
        <w:t>anomaly&gt;=α oranı: %45.84. anomaly&gt;=α iken alarm (Enhanced/Immediate) oranı %100.00; anomaly&lt;α iken %0.00 (anomali sinyalinin alarm yoğunluğuna etkisi).</w:t>
      </w:r>
    </w:p>
    <w:p>
      <w:pPr>
        <w:pStyle w:val="ListBullet"/>
      </w:pPr>
      <w:r>
        <w:t>Anomali üst kuyruk (p95=0.977) üzerinde Enhanced Monitoring oranı %48.80. Bu, yüksek sapma dönemlerinde izleme modunun daha sık tetiklendiğine dair gözlemdir.</w:t>
      </w:r>
    </w:p>
    <w:p>
      <w:pPr>
        <w:pStyle w:val="ListBullet"/>
      </w:pPr>
      <w:r>
        <w:t>Top reason_codes: `RUL_HIGH` (15996), `ANOM_LOW` (8989), `ANOM_HIGH` (7607), `RUL_LOW` (600).</w:t>
      </w:r>
    </w:p>
    <w:p>
      <w:pPr>
        <w:pStyle w:val="ListBullet"/>
      </w:pPr>
      <w:r>
        <w:t>Seçili örnek engine: engine_id=24 (en uzun timeline; tie-break seed=42). Timeline figüründe işaretlenen cycle=24 çevresinde label geçişleri ve eşik çizgileri birlikte okunur.</w:t>
      </w:r>
    </w:p>
    <w:p>
      <w:pPr>
        <w:pStyle w:val="Heading3"/>
      </w:pPr>
      <w:r>
        <w:t>FD004</w:t>
      </w:r>
    </w:p>
    <w:p>
      <w:r>
        <w:t>Split: test</w:t>
      </w:r>
    </w:p>
    <w:p>
      <w:r>
        <w:t>RUL (min/p50/p95/max): 1.939 / 120.512 / 125.000 / 125.000</w:t>
      </w:r>
    </w:p>
    <w:p>
      <w:r>
        <w:t>Anomaly (min/p50/p95/max): 0.365 / 0.532 / 0.644 / 0.926</w:t>
      </w:r>
    </w:p>
    <w:p>
      <w:r>
        <w:t>Alarm Rate: 0.95%</w:t>
      </w:r>
    </w:p>
    <w:p>
      <w:r>
        <w:t>Immediate Rate: 0.13%</w:t>
      </w:r>
    </w:p>
    <w:p>
      <w:r>
        <w:t>Timeline (rul_pred + anomaly_score + decision_label)</w:t>
      </w:r>
    </w:p>
    <w:p>
      <w:r>
        <w:drawing>
          <wp:inline xmlns:a="http://schemas.openxmlformats.org/drawingml/2006/main" xmlns:pic="http://schemas.openxmlformats.org/drawingml/2006/picture">
            <wp:extent cx="5486400" cy="1920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4_engine_25_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Distributions (RUL &amp; anomaly)</w:t>
      </w:r>
    </w:p>
    <w:p>
      <w:r>
        <w:drawing>
          <wp:inline xmlns:a="http://schemas.openxmlformats.org/drawingml/2006/main" xmlns:pic="http://schemas.openxmlformats.org/drawingml/2006/picture">
            <wp:extent cx="5486400" cy="1713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4_distribu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 label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4527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004_decision_cou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 görüyoruz? (kanıtlı yorum)</w:t>
      </w:r>
    </w:p>
    <w:p>
      <w:pPr>
        <w:pStyle w:val="ListBullet"/>
      </w:pPr>
      <w:r>
        <w:t>Bu dataset’te decision_label dağılımı: Normal=39189 (%95.09), Enhanced=340 (%0.82), Planned=1633 (%3.96), Immediate=52 (%0.13).</w:t>
      </w:r>
    </w:p>
    <w:p>
      <w:pPr>
        <w:pStyle w:val="ListBullet"/>
      </w:pPr>
      <w:r>
        <w:t>RUL dağılımı (min/p50/p95/max): 1.939 / 120.512 / 125.000 / 125.000; bu dağılım bakım penceresine yaklaşımı cycle bazında izlemeyi mümkün kılar.</w:t>
      </w:r>
    </w:p>
    <w:p>
      <w:pPr>
        <w:pStyle w:val="ListBullet"/>
      </w:pPr>
      <w:r>
        <w:t>Anomali dağılımı (min/p50/p95/max): 0.365 / 0.532 / 0.644 / 0.926; anomaly_score yüksekliği baseline sapmasının arttığını gösterir (tek başına arıza değildir).</w:t>
      </w:r>
    </w:p>
    <w:p>
      <w:pPr>
        <w:pStyle w:val="ListBullet"/>
      </w:pPr>
      <w:r>
        <w:t>Eşikler (audit): θ_RUL=50.000 ve α_anomaly=0.717. Bu eşikler aynı dataset/split içinde sabit tutulur ve grafikte çizgilerle gösterilir.</w:t>
      </w:r>
    </w:p>
    <w:p>
      <w:pPr>
        <w:pStyle w:val="ListBullet"/>
      </w:pPr>
      <w:r>
        <w:t>RUL&lt;=θ oranı: %4.09. Bu bölgede Planned/Immediate oranı %100.00; RUL&gt;θ iken aynı oran %0.00 (operasyonel triage mantığıyla tutarlı ayrışma).</w:t>
      </w:r>
    </w:p>
    <w:p>
      <w:pPr>
        <w:pStyle w:val="ListBullet"/>
      </w:pPr>
      <w:r>
        <w:t>anomaly&gt;=α oranı: %0.95. anomaly&gt;=α iken alarm (Enhanced/Immediate) oranı %100.00; anomaly&lt;α iken %0.00 (anomali sinyalinin alarm yoğunluğuna etkisi).</w:t>
      </w:r>
    </w:p>
    <w:p>
      <w:pPr>
        <w:pStyle w:val="ListBullet"/>
      </w:pPr>
      <w:r>
        <w:t>Anomali üst kuyruk (p95=0.644) üzerinde Enhanced Monitoring oranı %16.50. Bu, yüksek sapma dönemlerinde izleme modunun daha sık tetiklendiğine dair gözlemdir.</w:t>
      </w:r>
    </w:p>
    <w:p>
      <w:pPr>
        <w:pStyle w:val="ListBullet"/>
      </w:pPr>
      <w:r>
        <w:t>Top reason_codes: `ANOM_LOW` (40822), `RUL_HIGH` (39529), `RUL_LOW` (1685), `ANOM_HIGH` (392).</w:t>
      </w:r>
    </w:p>
    <w:p>
      <w:pPr>
        <w:pStyle w:val="ListBullet"/>
      </w:pPr>
      <w:r>
        <w:t>Seçili örnek engine: engine_id=25 (en uzun timeline; tie-break seed=42). Timeline figüründe işaretlenen cycle=468 çevresinde label geçişleri ve eşik çizgileri birlikte okunur.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