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FD002 RUL Tahmini – BASE Normalizasyonu ile</w:t>
        <w:br/>
        <w:t>LightGBM + CatBoost + Stacking Ridge (Meta)</w:t>
      </w:r>
    </w:p>
    <w:p>
      <w:pPr>
        <w:jc w:val="center"/>
      </w:pPr>
      <w:r>
        <w:rPr>
          <w:i/>
          <w:sz w:val="24"/>
        </w:rPr>
        <w:t>MVP Odaklı Teknik Rapor</w:t>
      </w:r>
    </w:p>
    <w:p>
      <w:pPr>
        <w:jc w:val="center"/>
      </w:pPr>
      <w:r>
        <w:t>Tarih: 27 Ocak 2026</w:t>
        <w:br/>
      </w:r>
      <w:r>
        <w:t>Sorumlu: Baran (Model Eğitimi)</w:t>
        <w:br/>
      </w:r>
      <w:r>
        <w:t>Kapsam Notu: A (regime one-hot) ve B (regime-aware) varyantları şimdilik kapsam dışıdır; bu rapor BASE hattını standardize eder.</w:t>
      </w:r>
    </w:p>
    <w:p>
      <w:r>
        <w:br w:type="page"/>
      </w:r>
    </w:p>
    <w:p>
      <w:pPr>
        <w:pStyle w:val="Heading1"/>
      </w:pPr>
      <w:r>
        <w:t>1. Yönetici Özeti</w:t>
      </w:r>
    </w:p>
    <w:p>
      <w:r>
        <w:t xml:space="preserve">Bu rapor, NASA C-MAPSS FD002 veri seti üzerinde RUL (Remaining Useful Life) tahmini için MVP’de kullanılacak standart yaklaşımı tanımlar: </w:t>
      </w:r>
      <w:r>
        <w:rPr>
          <w:b/>
        </w:rPr>
        <w:t>BASE (global z-score) normalizasyonu</w:t>
      </w:r>
      <w:r>
        <w:t xml:space="preserve"> + </w:t>
      </w:r>
      <w:r>
        <w:rPr>
          <w:b/>
        </w:rPr>
        <w:t>LightGBM ve CatBoost</w:t>
      </w:r>
      <w:r>
        <w:t xml:space="preserve"> taban modelleri + </w:t>
      </w:r>
      <w:r>
        <w:rPr>
          <w:b/>
        </w:rPr>
        <w:t>OOF (out-of-fold) tahminleri üzerinden Ridge stacking meta modeli</w:t>
      </w:r>
      <w:r>
        <w:t xml:space="preserve">. Başarı metriği, cap=125 altında </w:t>
      </w:r>
      <w:r>
        <w:rPr>
          <w:b/>
        </w:rPr>
        <w:t>test_all_rows RMSE</w:t>
      </w:r>
      <w:r>
        <w:t xml:space="preserve"> değerini düşürmektir.</w:t>
      </w:r>
    </w:p>
    <w:p>
      <w:pPr>
        <w:pStyle w:val="Heading1"/>
      </w:pPr>
      <w:r>
        <w:t>2. Karar ve Kapsam</w:t>
      </w:r>
    </w:p>
    <w:p>
      <w:r>
        <w:t>Bu dokümanın aldığı ana kararlar:</w:t>
      </w:r>
    </w:p>
    <w:p>
      <w:pPr>
        <w:pStyle w:val="ListBullet"/>
      </w:pPr>
      <w:r>
        <w:t>Normalizasyon: BASE (global z-score, train-only fit).</w:t>
      </w:r>
    </w:p>
    <w:p>
      <w:pPr>
        <w:pStyle w:val="ListBullet"/>
      </w:pPr>
      <w:r>
        <w:t>Model ailesi: LightGBM + CatBoost (taban) + Ridge stacking (meta).</w:t>
      </w:r>
    </w:p>
    <w:p>
      <w:pPr>
        <w:pStyle w:val="ListBullet"/>
      </w:pPr>
      <w:r>
        <w:t>Değerlendirme: all_rows RMSE (cap=125), engine_id bazlı GroupKFold ile leakage-riskini azaltan OOF.</w:t>
      </w:r>
    </w:p>
    <w:p>
      <w:pPr>
        <w:pStyle w:val="ListBullet"/>
      </w:pPr>
      <w:r>
        <w:t>A/B varyantları (regime one-hot ve regime-aware scaling) şimdilik rafa kaldırılmıştır.</w:t>
      </w:r>
    </w:p>
    <w:p>
      <w:pPr>
        <w:pStyle w:val="Heading1"/>
      </w:pPr>
      <w:r>
        <w:t>3. Veri Seti ve Değerlendirme Protokolü</w:t>
      </w:r>
    </w:p>
    <w:p>
      <w:r>
        <w:t>FD002, farklı operasyon koşulları içeren çok-rejimli bir C-MAPSS alt kümesidir. Bu raporda BASE hattı ile ilerlenir; yani tüm satırlar aynı global ölçekleme ile normalize edilir.</w:t>
      </w:r>
    </w:p>
    <w:p>
      <w:r>
        <w:rPr>
          <w:b/>
        </w:rPr>
        <w:t>Özet istatistikler (BASE dosyaları):</w:t>
      </w:r>
    </w:p>
    <w:p>
      <w:pPr>
        <w:pStyle w:val="ListBullet"/>
      </w:pPr>
      <w:r>
        <w:t>Train: 53,759 satır, 260 motor, 27 kolon.</w:t>
      </w:r>
    </w:p>
    <w:p>
      <w:pPr>
        <w:pStyle w:val="ListBullet"/>
      </w:pPr>
      <w:r>
        <w:t>Test: 33,991 satır, 259 motor, 27 kolon.</w:t>
      </w:r>
    </w:p>
    <w:p>
      <w:pPr>
        <w:pStyle w:val="ListBullet"/>
      </w:pPr>
      <w:r>
        <w:t>Özellik sayısı (model girişi): 25 (cycle + os1-os3 + s1-s21).</w:t>
      </w:r>
    </w:p>
    <w:p>
      <w:r>
        <w:t>Etiketler cap=125 ile kırpılır: y = min(RUL, 125). Tahminler de [0, 125] aralığına kırpılır (clip). Bu seçim, özellikle yüksek RUL bölgesindeki aşırı varyansı azaltır ve metrikleri daha kararlı hale getirir.</w:t>
      </w:r>
    </w:p>
    <w:p>
      <w:pPr>
        <w:pStyle w:val="Heading2"/>
      </w:pPr>
      <w:r>
        <w:t>3.1 Leakage Önleme ve Validasyon</w:t>
      </w:r>
    </w:p>
    <w:p>
      <w:r>
        <w:t>FD002’de aynı motorun ardışık cycle kayıtları birbirine çok benzediği için, satır bazlı rastgele split ciddi leakage (sızıntı) riski taşır. Bu nedenle OOF üretiminde GroupKFold kullanılır ve grup anahtarı engine_id’dir. Böylece bir motora ait satırlar aynı fold içinde kalır; meta-model (stacking) ağırlıkları test’i görmeden ve motor ayrımı korunarak öğrenilir.</w:t>
      </w:r>
    </w:p>
    <w:p>
      <w:pPr>
        <w:pStyle w:val="Heading1"/>
      </w:pPr>
      <w:r>
        <w:t>4. Normalizasyon: BASE (Global Z-Score)</w:t>
      </w:r>
    </w:p>
    <w:p>
      <w:r>
        <w:t>BASE normalizasyonunda her bir sensör ve operating setting kolonu için tek bir global ortalama (mu_train) ve standart sapma (sigma_train) hesaplanır (yalnızca train üzerinden). Ardından hem train hem test aynı parametrelerle dönüştürülür.</w:t>
      </w:r>
    </w:p>
    <w:p>
      <w:pPr>
        <w:pStyle w:val="Heading2"/>
      </w:pPr>
      <w:r>
        <w:t>4.1 Uygulanan Dönüşüm</w:t>
      </w:r>
    </w:p>
    <w:p>
      <w:r>
        <w:t>Her özellik için:</w:t>
      </w:r>
    </w:p>
    <w:p>
      <w:pPr>
        <w:pStyle w:val="ListBullet"/>
      </w:pPr>
      <w:r>
        <w:t>z = (x - mu_train) / sigma_train</w:t>
      </w:r>
    </w:p>
    <w:p>
      <w:r>
        <w:t>Burada mu_train ve sigma_train yalnızca train verisinden hesaplanır. Bu seçim, MVP için en kritik iki özelliği sağlar: (i) tekrar edilebilirlik ve (ii) leakage riskinin kontrolü.</w:t>
      </w:r>
    </w:p>
    <w:p>
      <w:pPr>
        <w:pStyle w:val="Heading2"/>
      </w:pPr>
      <w:r>
        <w:t>4.2 Neden BASE ile Devam Ediyoruz?</w:t>
      </w:r>
    </w:p>
    <w:p>
      <w:pPr>
        <w:pStyle w:val="ListBullet"/>
      </w:pPr>
      <w:r>
        <w:t>Stabil başlangıç: pipeline karmaşıklığı düşük, debug ve karşılaştırma kolay.</w:t>
      </w:r>
    </w:p>
    <w:p>
      <w:pPr>
        <w:pStyle w:val="ListBullet"/>
      </w:pPr>
      <w:r>
        <w:t>Denetlenebilirlik: train-only fit prensibiyle veri sızıntısı riskini minimize eder.</w:t>
      </w:r>
    </w:p>
    <w:p>
      <w:pPr>
        <w:pStyle w:val="ListBullet"/>
      </w:pPr>
      <w:r>
        <w:t>Kıyaslanabilirlik: farklı model denemeleri için tek bir referans ölçek uzayı sağlar.</w:t>
      </w:r>
    </w:p>
    <w:p>
      <w:pPr>
        <w:pStyle w:val="ListBullet"/>
      </w:pPr>
      <w:r>
        <w:t>İleride AutoGluon/NN gibi ölçek hassas yöntemlere geçişi kolaylaştırır.</w:t>
      </w:r>
    </w:p>
    <w:p>
      <w:pPr>
        <w:pStyle w:val="Heading1"/>
      </w:pPr>
      <w:r>
        <w:t>5. Model Mimarisi</w:t>
      </w:r>
    </w:p>
    <w:p>
      <w:pPr>
        <w:pStyle w:val="Heading2"/>
      </w:pPr>
      <w:r>
        <w:t>5.1 Taban Modeller: LightGBM ve CatBoost</w:t>
      </w:r>
    </w:p>
    <w:p>
      <w:r>
        <w:t>Taban katmanda iki güçlü gradient boosting ağacı kullanıyoruz. Bu iki modelin aynı probleme farklı bias/variance profiliyle yaklaşması, ensemble için gerekli olan hata çeşitliliğini (diversity) üretir. Pratikte bu çeşitlilik, bazı alt bölgelerde (ör. yüksek cycle/ düşük cycle) bir modelin diğerinden daha iyi olmasına ve meta katmanın bunu yakalamasına imkan verir.</w:t>
      </w:r>
    </w:p>
    <w:p>
      <w:pPr>
        <w:pStyle w:val="ListBullet"/>
      </w:pPr>
      <w:r>
        <w:t>LightGBM: hızlı eğitim, yaprak-odaklı (leaf-wise) büyüme; tabular etkileşimleri güçlü yakalar.</w:t>
      </w:r>
    </w:p>
    <w:p>
      <w:pPr>
        <w:pStyle w:val="ListBullet"/>
      </w:pPr>
      <w:r>
        <w:t>CatBoost: ordered boosting yaklaşımı ile daha stabil genelleme gösterebilir; özellikle gürültülü bölgelerde faydalı olabilir.</w:t>
      </w:r>
    </w:p>
    <w:p>
      <w:pPr>
        <w:pStyle w:val="Heading2"/>
      </w:pPr>
      <w:r>
        <w:t>5.2 Meta Model: Ridge Stacking (OOF ile)</w:t>
      </w:r>
    </w:p>
    <w:p>
      <w:r>
        <w:t>Meta katmanda Ridge Regression (L2 düzenleme) kullanıyoruz. Girdi olarak orijinal feature’lar değil, taban modellerin OOF tahminleri kullanılır. Ridge’in L2 düzenlemesi, meta katmanın OOF üzerinde aşırı uyum yapmasını (overfit) zorlaştırır ve ağırlıkları daha 'yumuşak' tutar.</w:t>
      </w:r>
    </w:p>
    <w:p>
      <w:pPr>
        <w:pStyle w:val="Heading2"/>
      </w:pPr>
      <w:r>
        <w:t>5.3 Kullanılan Ana Parametreler (BASE Koşusu)</w:t>
      </w:r>
    </w:p>
    <w:p>
      <w:r>
        <w:t>Notebooktaki (runner) default parametrelerden öne çıkanlar aşağıdadır:</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sz w:val="20"/>
              </w:rPr>
              <w:t>Bileşen</w:t>
            </w:r>
          </w:p>
        </w:tc>
        <w:tc>
          <w:tcPr>
            <w:tcW w:type="dxa" w:w="3249"/>
          </w:tcPr>
          <w:p>
            <w:r>
              <w:rPr>
                <w:sz w:val="20"/>
              </w:rPr>
              <w:t>Parametreler (özet)</w:t>
            </w:r>
          </w:p>
        </w:tc>
        <w:tc>
          <w:tcPr>
            <w:tcW w:type="dxa" w:w="3249"/>
          </w:tcPr>
          <w:p>
            <w:r>
              <w:rPr>
                <w:sz w:val="20"/>
              </w:rPr>
              <w:t>Not</w:t>
            </w:r>
          </w:p>
        </w:tc>
      </w:tr>
      <w:tr>
        <w:tc>
          <w:tcPr>
            <w:tcW w:type="dxa" w:w="3249"/>
          </w:tcPr>
          <w:p>
            <w:r>
              <w:rPr>
                <w:sz w:val="20"/>
              </w:rPr>
              <w:t>LightGBM</w:t>
            </w:r>
          </w:p>
        </w:tc>
        <w:tc>
          <w:tcPr>
            <w:tcW w:type="dxa" w:w="3249"/>
          </w:tcPr>
          <w:p>
            <w:r>
              <w:rPr>
                <w:sz w:val="20"/>
              </w:rPr>
              <w:t>n_estimators=500, learning_rate=0.1, num_leaves=31, subsample=0.8, colsample_bytree=0.8</w:t>
            </w:r>
          </w:p>
        </w:tc>
        <w:tc>
          <w:tcPr>
            <w:tcW w:type="dxa" w:w="3249"/>
          </w:tcPr>
          <w:p>
            <w:r>
              <w:rPr>
                <w:sz w:val="20"/>
              </w:rPr>
              <w:t>Diğerleri default; seed=42</w:t>
            </w:r>
          </w:p>
        </w:tc>
      </w:tr>
      <w:tr>
        <w:tc>
          <w:tcPr>
            <w:tcW w:type="dxa" w:w="3249"/>
          </w:tcPr>
          <w:p>
            <w:r>
              <w:rPr>
                <w:sz w:val="20"/>
              </w:rPr>
              <w:t>CatBoost</w:t>
            </w:r>
          </w:p>
        </w:tc>
        <w:tc>
          <w:tcPr>
            <w:tcW w:type="dxa" w:w="3249"/>
          </w:tcPr>
          <w:p>
            <w:r>
              <w:rPr>
                <w:sz w:val="20"/>
              </w:rPr>
              <w:t>iterations=500, learning_rate=0.1, depth=6, loss=RMSE</w:t>
            </w:r>
          </w:p>
        </w:tc>
        <w:tc>
          <w:tcPr>
            <w:tcW w:type="dxa" w:w="3249"/>
          </w:tcPr>
          <w:p>
            <w:r>
              <w:rPr>
                <w:sz w:val="20"/>
              </w:rPr>
              <w:t>Diğerleri default; seed=42</w:t>
            </w:r>
          </w:p>
        </w:tc>
      </w:tr>
      <w:tr>
        <w:tc>
          <w:tcPr>
            <w:tcW w:type="dxa" w:w="3249"/>
          </w:tcPr>
          <w:p>
            <w:r>
              <w:rPr>
                <w:sz w:val="20"/>
              </w:rPr>
              <w:t>Ridge (meta)</w:t>
            </w:r>
          </w:p>
        </w:tc>
        <w:tc>
          <w:tcPr>
            <w:tcW w:type="dxa" w:w="3249"/>
          </w:tcPr>
          <w:p>
            <w:r>
              <w:rPr>
                <w:sz w:val="20"/>
              </w:rPr>
              <w:t>alpha CV ile seçiliyor, 5-fold GroupKFold OOF</w:t>
            </w:r>
          </w:p>
        </w:tc>
        <w:tc>
          <w:tcPr>
            <w:tcW w:type="dxa" w:w="3249"/>
          </w:tcPr>
          <w:p>
            <w:r>
              <w:rPr>
                <w:sz w:val="20"/>
              </w:rPr>
              <w:t>OOF üstünden öğrenim</w:t>
            </w:r>
          </w:p>
        </w:tc>
      </w:tr>
      <w:tr>
        <w:tc>
          <w:tcPr>
            <w:tcW w:type="dxa" w:w="3249"/>
          </w:tcPr>
          <w:p>
            <w:r>
              <w:rPr>
                <w:sz w:val="20"/>
              </w:rPr>
              <w:t>Hedef (label)</w:t>
            </w:r>
          </w:p>
        </w:tc>
        <w:tc>
          <w:tcPr>
            <w:tcW w:type="dxa" w:w="3249"/>
          </w:tcPr>
          <w:p>
            <w:r>
              <w:rPr>
                <w:sz w:val="20"/>
              </w:rPr>
              <w:t>cap=125 (y=min(RUL,125))</w:t>
            </w:r>
          </w:p>
        </w:tc>
        <w:tc>
          <w:tcPr>
            <w:tcW w:type="dxa" w:w="3249"/>
          </w:tcPr>
          <w:p>
            <w:r>
              <w:rPr>
                <w:sz w:val="20"/>
              </w:rPr>
              <w:t>Tahminler de [0,125] clip</w:t>
            </w:r>
          </w:p>
        </w:tc>
      </w:tr>
    </w:tbl>
    <w:p>
      <w:pPr>
        <w:pStyle w:val="Heading1"/>
      </w:pPr>
      <w:r>
        <w:t>6. Deney Akışı ve Uygulama Adımları</w:t>
      </w:r>
    </w:p>
    <w:p>
      <w:pPr>
        <w:pStyle w:val="ListNumber"/>
      </w:pPr>
      <w:r>
        <w:t>Train/test CSV’leri okunur; engine_id, cycle ve hedef RUL doğrulanır.</w:t>
      </w:r>
    </w:p>
    <w:p>
      <w:pPr>
        <w:pStyle w:val="ListNumber"/>
      </w:pPr>
      <w:r>
        <w:t>Feature seti oluşturulur: engine_id ve RUL hariç kolonlar (BASE’te cycle + os1-os3 + s1-s21).</w:t>
      </w:r>
    </w:p>
    <w:p>
      <w:pPr>
        <w:pStyle w:val="ListNumber"/>
      </w:pPr>
      <w:r>
        <w:t>Hedef kırpma uygulanır: y = min(RUL, 125).</w:t>
      </w:r>
    </w:p>
    <w:p>
      <w:pPr>
        <w:pStyle w:val="ListNumber"/>
      </w:pPr>
      <w:r>
        <w:t>OOF tahminleri üretilir: GroupKFold(engine_id) ile 5-fold.</w:t>
      </w:r>
    </w:p>
    <w:p>
      <w:pPr>
        <w:pStyle w:val="ListNumber"/>
      </w:pPr>
      <w:r>
        <w:t>Meta öğrenimi yapılır: Ridge alpha seçimi (CV) ve stacking eğitimi.</w:t>
      </w:r>
    </w:p>
    <w:p>
      <w:pPr>
        <w:pStyle w:val="ListNumber"/>
      </w:pPr>
      <w:r>
        <w:t>Final eğitim: taban modeller tüm train ile fit edilir; test_all_rows üzerinde tahmin alınır.</w:t>
      </w:r>
    </w:p>
    <w:p>
      <w:pPr>
        <w:pStyle w:val="ListNumber"/>
      </w:pPr>
      <w:r>
        <w:t>Metrikler raporlanır: RMSE (ana), MAE, R2.</w:t>
      </w:r>
    </w:p>
    <w:p>
      <w:pPr>
        <w:pStyle w:val="Heading1"/>
      </w:pPr>
      <w:r>
        <w:t>7. BASE Sonuçları (test_all_rows)</w:t>
      </w:r>
    </w:p>
    <w:p>
      <w:r>
        <w:t>Aşağıdaki tablo, BASE veri setinde (global z-score) elde edilen test_all_rows metriklerini göstermektedir. Amaç RMSE’yi minimize etmektir.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sz w:val="20"/>
              </w:rPr>
              <w:t>Model</w:t>
            </w:r>
          </w:p>
        </w:tc>
        <w:tc>
          <w:tcPr>
            <w:tcW w:type="dxa" w:w="1949"/>
          </w:tcPr>
          <w:p>
            <w:r>
              <w:rPr>
                <w:sz w:val="20"/>
              </w:rPr>
              <w:t>RMSE</w:t>
            </w:r>
          </w:p>
        </w:tc>
        <w:tc>
          <w:tcPr>
            <w:tcW w:type="dxa" w:w="1949"/>
          </w:tcPr>
          <w:p>
            <w:r>
              <w:rPr>
                <w:sz w:val="20"/>
              </w:rPr>
              <w:t>MAE</w:t>
            </w:r>
          </w:p>
        </w:tc>
        <w:tc>
          <w:tcPr>
            <w:tcW w:type="dxa" w:w="1949"/>
          </w:tcPr>
          <w:p>
            <w:r>
              <w:rPr>
                <w:sz w:val="20"/>
              </w:rPr>
              <w:t>R2</w:t>
            </w:r>
          </w:p>
        </w:tc>
        <w:tc>
          <w:tcPr>
            <w:tcW w:type="dxa" w:w="1949"/>
          </w:tcPr>
          <w:p>
            <w:r>
              <w:rPr>
                <w:sz w:val="20"/>
              </w:rPr>
              <w:t>MSE</w:t>
            </w:r>
          </w:p>
        </w:tc>
      </w:tr>
      <w:tr>
        <w:tc>
          <w:tcPr>
            <w:tcW w:type="dxa" w:w="1949"/>
          </w:tcPr>
          <w:p>
            <w:r>
              <w:rPr>
                <w:sz w:val="20"/>
              </w:rPr>
              <w:t>StackRidge(CValpha)</w:t>
            </w:r>
          </w:p>
        </w:tc>
        <w:tc>
          <w:tcPr>
            <w:tcW w:type="dxa" w:w="1949"/>
          </w:tcPr>
          <w:p>
            <w:r>
              <w:rPr>
                <w:sz w:val="20"/>
              </w:rPr>
              <w:t>16.493378</w:t>
            </w:r>
          </w:p>
        </w:tc>
        <w:tc>
          <w:tcPr>
            <w:tcW w:type="dxa" w:w="1949"/>
          </w:tcPr>
          <w:p>
            <w:r>
              <w:rPr>
                <w:sz w:val="20"/>
              </w:rPr>
              <w:t>10.874537</w:t>
            </w:r>
          </w:p>
        </w:tc>
        <w:tc>
          <w:tcPr>
            <w:tcW w:type="dxa" w:w="1949"/>
          </w:tcPr>
          <w:p>
            <w:r>
              <w:rPr>
                <w:sz w:val="20"/>
              </w:rPr>
              <w:t>0.672640</w:t>
            </w:r>
          </w:p>
        </w:tc>
        <w:tc>
          <w:tcPr>
            <w:tcW w:type="dxa" w:w="1949"/>
          </w:tcPr>
          <w:p>
            <w:r>
              <w:rPr>
                <w:sz w:val="20"/>
              </w:rPr>
              <w:t>272.031520</w:t>
            </w:r>
          </w:p>
        </w:tc>
      </w:tr>
      <w:tr>
        <w:tc>
          <w:tcPr>
            <w:tcW w:type="dxa" w:w="1949"/>
          </w:tcPr>
          <w:p>
            <w:r>
              <w:rPr>
                <w:sz w:val="20"/>
              </w:rPr>
              <w:t>StackNNLS</w:t>
            </w:r>
          </w:p>
        </w:tc>
        <w:tc>
          <w:tcPr>
            <w:tcW w:type="dxa" w:w="1949"/>
          </w:tcPr>
          <w:p>
            <w:r>
              <w:rPr>
                <w:sz w:val="20"/>
              </w:rPr>
              <w:t>16.496052</w:t>
            </w:r>
          </w:p>
        </w:tc>
        <w:tc>
          <w:tcPr>
            <w:tcW w:type="dxa" w:w="1949"/>
          </w:tcPr>
          <w:p>
            <w:r>
              <w:rPr>
                <w:sz w:val="20"/>
              </w:rPr>
              <w:t>10.872227</w:t>
            </w:r>
          </w:p>
        </w:tc>
        <w:tc>
          <w:tcPr>
            <w:tcW w:type="dxa" w:w="1949"/>
          </w:tcPr>
          <w:p>
            <w:r>
              <w:rPr>
                <w:sz w:val="20"/>
              </w:rPr>
              <w:t>0.672534</w:t>
            </w:r>
          </w:p>
        </w:tc>
        <w:tc>
          <w:tcPr>
            <w:tcW w:type="dxa" w:w="1949"/>
          </w:tcPr>
          <w:p>
            <w:r>
              <w:rPr>
                <w:sz w:val="20"/>
              </w:rPr>
              <w:t>272.119725</w:t>
            </w:r>
          </w:p>
        </w:tc>
      </w:tr>
      <w:tr>
        <w:tc>
          <w:tcPr>
            <w:tcW w:type="dxa" w:w="1949"/>
          </w:tcPr>
          <w:p>
            <w:r>
              <w:rPr>
                <w:sz w:val="20"/>
              </w:rPr>
              <w:t>CVw(LGBM+Cat,w=0.33)</w:t>
            </w:r>
          </w:p>
        </w:tc>
        <w:tc>
          <w:tcPr>
            <w:tcW w:type="dxa" w:w="1949"/>
          </w:tcPr>
          <w:p>
            <w:r>
              <w:rPr>
                <w:sz w:val="20"/>
              </w:rPr>
              <w:t>16.538863</w:t>
            </w:r>
          </w:p>
        </w:tc>
        <w:tc>
          <w:tcPr>
            <w:tcW w:type="dxa" w:w="1949"/>
          </w:tcPr>
          <w:p>
            <w:r>
              <w:rPr>
                <w:sz w:val="20"/>
              </w:rPr>
              <w:t>10.952059</w:t>
            </w:r>
          </w:p>
        </w:tc>
        <w:tc>
          <w:tcPr>
            <w:tcW w:type="dxa" w:w="1949"/>
          </w:tcPr>
          <w:p>
            <w:r>
              <w:rPr>
                <w:sz w:val="20"/>
              </w:rPr>
              <w:t>0.670832</w:t>
            </w:r>
          </w:p>
        </w:tc>
        <w:tc>
          <w:tcPr>
            <w:tcW w:type="dxa" w:w="1949"/>
          </w:tcPr>
          <w:p>
            <w:r>
              <w:rPr>
                <w:sz w:val="20"/>
              </w:rPr>
              <w:t>273.533984</w:t>
            </w:r>
          </w:p>
        </w:tc>
      </w:tr>
      <w:tr>
        <w:tc>
          <w:tcPr>
            <w:tcW w:type="dxa" w:w="1949"/>
          </w:tcPr>
          <w:p>
            <w:r>
              <w:rPr>
                <w:sz w:val="20"/>
              </w:rPr>
              <w:t>Mean(LGBM+Cat)</w:t>
            </w:r>
          </w:p>
        </w:tc>
        <w:tc>
          <w:tcPr>
            <w:tcW w:type="dxa" w:w="1949"/>
          </w:tcPr>
          <w:p>
            <w:r>
              <w:rPr>
                <w:sz w:val="20"/>
              </w:rPr>
              <w:t>16.555302</w:t>
            </w:r>
          </w:p>
        </w:tc>
        <w:tc>
          <w:tcPr>
            <w:tcW w:type="dxa" w:w="1949"/>
          </w:tcPr>
          <w:p>
            <w:r>
              <w:rPr>
                <w:sz w:val="20"/>
              </w:rPr>
              <w:t>10.950735</w:t>
            </w:r>
          </w:p>
        </w:tc>
        <w:tc>
          <w:tcPr>
            <w:tcW w:type="dxa" w:w="1949"/>
          </w:tcPr>
          <w:p>
            <w:r>
              <w:rPr>
                <w:sz w:val="20"/>
              </w:rPr>
              <w:t>0.670177</w:t>
            </w:r>
          </w:p>
        </w:tc>
        <w:tc>
          <w:tcPr>
            <w:tcW w:type="dxa" w:w="1949"/>
          </w:tcPr>
          <w:p>
            <w:r>
              <w:rPr>
                <w:sz w:val="20"/>
              </w:rPr>
              <w:t>274.078038</w:t>
            </w:r>
          </w:p>
        </w:tc>
      </w:tr>
      <w:tr>
        <w:tc>
          <w:tcPr>
            <w:tcW w:type="dxa" w:w="1949"/>
          </w:tcPr>
          <w:p>
            <w:r>
              <w:rPr>
                <w:sz w:val="20"/>
              </w:rPr>
              <w:t>CatBoost</w:t>
            </w:r>
          </w:p>
        </w:tc>
        <w:tc>
          <w:tcPr>
            <w:tcW w:type="dxa" w:w="1949"/>
          </w:tcPr>
          <w:p>
            <w:r>
              <w:rPr>
                <w:sz w:val="20"/>
              </w:rPr>
              <w:t>16.574238</w:t>
            </w:r>
          </w:p>
        </w:tc>
        <w:tc>
          <w:tcPr>
            <w:tcW w:type="dxa" w:w="1949"/>
          </w:tcPr>
          <w:p>
            <w:r>
              <w:rPr>
                <w:sz w:val="20"/>
              </w:rPr>
              <w:t>10.984868</w:t>
            </w:r>
          </w:p>
        </w:tc>
        <w:tc>
          <w:tcPr>
            <w:tcW w:type="dxa" w:w="1949"/>
          </w:tcPr>
          <w:p>
            <w:r>
              <w:rPr>
                <w:sz w:val="20"/>
              </w:rPr>
              <w:t>0.669422</w:t>
            </w:r>
          </w:p>
        </w:tc>
        <w:tc>
          <w:tcPr>
            <w:tcW w:type="dxa" w:w="1949"/>
          </w:tcPr>
          <w:p>
            <w:r>
              <w:rPr>
                <w:sz w:val="20"/>
              </w:rPr>
              <w:t>274.705352</w:t>
            </w:r>
          </w:p>
        </w:tc>
      </w:tr>
      <w:tr>
        <w:tc>
          <w:tcPr>
            <w:tcW w:type="dxa" w:w="1949"/>
          </w:tcPr>
          <w:p>
            <w:r>
              <w:rPr>
                <w:sz w:val="20"/>
              </w:rPr>
              <w:t>70/30(LGBM+Cat)</w:t>
            </w:r>
          </w:p>
        </w:tc>
        <w:tc>
          <w:tcPr>
            <w:tcW w:type="dxa" w:w="1949"/>
          </w:tcPr>
          <w:p>
            <w:r>
              <w:rPr>
                <w:sz w:val="20"/>
              </w:rPr>
              <w:t>16.604731</w:t>
            </w:r>
          </w:p>
        </w:tc>
        <w:tc>
          <w:tcPr>
            <w:tcW w:type="dxa" w:w="1949"/>
          </w:tcPr>
          <w:p>
            <w:r>
              <w:rPr>
                <w:sz w:val="20"/>
              </w:rPr>
              <w:t>10.963489</w:t>
            </w:r>
          </w:p>
        </w:tc>
        <w:tc>
          <w:tcPr>
            <w:tcW w:type="dxa" w:w="1949"/>
          </w:tcPr>
          <w:p>
            <w:r>
              <w:rPr>
                <w:sz w:val="20"/>
              </w:rPr>
              <w:t>0.668205</w:t>
            </w:r>
          </w:p>
        </w:tc>
        <w:tc>
          <w:tcPr>
            <w:tcW w:type="dxa" w:w="1949"/>
          </w:tcPr>
          <w:p>
            <w:r>
              <w:rPr>
                <w:sz w:val="20"/>
              </w:rPr>
              <w:t>275.717091</w:t>
            </w:r>
          </w:p>
        </w:tc>
      </w:tr>
      <w:tr>
        <w:tc>
          <w:tcPr>
            <w:tcW w:type="dxa" w:w="1949"/>
          </w:tcPr>
          <w:p>
            <w:r>
              <w:rPr>
                <w:sz w:val="20"/>
              </w:rPr>
              <w:t>LightGBM</w:t>
            </w:r>
          </w:p>
        </w:tc>
        <w:tc>
          <w:tcPr>
            <w:tcW w:type="dxa" w:w="1949"/>
          </w:tcPr>
          <w:p>
            <w:r>
              <w:rPr>
                <w:sz w:val="20"/>
              </w:rPr>
              <w:t>16.739195</w:t>
            </w:r>
          </w:p>
        </w:tc>
        <w:tc>
          <w:tcPr>
            <w:tcW w:type="dxa" w:w="1949"/>
          </w:tcPr>
          <w:p>
            <w:r>
              <w:rPr>
                <w:sz w:val="20"/>
              </w:rPr>
              <w:t>11.011247</w:t>
            </w:r>
          </w:p>
        </w:tc>
        <w:tc>
          <w:tcPr>
            <w:tcW w:type="dxa" w:w="1949"/>
          </w:tcPr>
          <w:p>
            <w:r>
              <w:rPr>
                <w:sz w:val="20"/>
              </w:rPr>
              <w:t>0.662809</w:t>
            </w:r>
          </w:p>
        </w:tc>
        <w:tc>
          <w:tcPr>
            <w:tcW w:type="dxa" w:w="1949"/>
          </w:tcPr>
          <w:p>
            <w:r>
              <w:rPr>
                <w:sz w:val="20"/>
              </w:rPr>
              <w:t>280.200646</w:t>
            </w:r>
          </w:p>
        </w:tc>
      </w:tr>
      <w:tr>
        <w:tc>
          <w:tcPr>
            <w:tcW w:type="dxa" w:w="1949"/>
          </w:tcPr>
          <w:p>
            <w:r>
              <w:rPr>
                <w:sz w:val="20"/>
              </w:rPr>
              <w:t>XGBoost</w:t>
            </w:r>
          </w:p>
        </w:tc>
        <w:tc>
          <w:tcPr>
            <w:tcW w:type="dxa" w:w="1949"/>
          </w:tcPr>
          <w:p>
            <w:r>
              <w:rPr>
                <w:sz w:val="20"/>
              </w:rPr>
              <w:t>16.751833</w:t>
            </w:r>
          </w:p>
        </w:tc>
        <w:tc>
          <w:tcPr>
            <w:tcW w:type="dxa" w:w="1949"/>
          </w:tcPr>
          <w:p>
            <w:r>
              <w:rPr>
                <w:sz w:val="20"/>
              </w:rPr>
              <w:t>11.222851</w:t>
            </w:r>
          </w:p>
        </w:tc>
        <w:tc>
          <w:tcPr>
            <w:tcW w:type="dxa" w:w="1949"/>
          </w:tcPr>
          <w:p>
            <w:r>
              <w:rPr>
                <w:sz w:val="20"/>
              </w:rPr>
              <w:t>0.662300</w:t>
            </w:r>
          </w:p>
        </w:tc>
        <w:tc>
          <w:tcPr>
            <w:tcW w:type="dxa" w:w="1949"/>
          </w:tcPr>
          <w:p>
            <w:r>
              <w:rPr>
                <w:sz w:val="20"/>
              </w:rPr>
              <w:t>280.623901</w:t>
            </w:r>
          </w:p>
        </w:tc>
      </w:tr>
      <w:tr>
        <w:tc>
          <w:tcPr>
            <w:tcW w:type="dxa" w:w="1949"/>
          </w:tcPr>
          <w:p>
            <w:r>
              <w:rPr>
                <w:sz w:val="20"/>
              </w:rPr>
              <w:t>GBR</w:t>
            </w:r>
          </w:p>
        </w:tc>
        <w:tc>
          <w:tcPr>
            <w:tcW w:type="dxa" w:w="1949"/>
          </w:tcPr>
          <w:p>
            <w:r>
              <w:rPr>
                <w:sz w:val="20"/>
              </w:rPr>
              <w:t>16.839994</w:t>
            </w:r>
          </w:p>
        </w:tc>
        <w:tc>
          <w:tcPr>
            <w:tcW w:type="dxa" w:w="1949"/>
          </w:tcPr>
          <w:p>
            <w:r>
              <w:rPr>
                <w:sz w:val="20"/>
              </w:rPr>
              <w:t>11.081146</w:t>
            </w:r>
          </w:p>
        </w:tc>
        <w:tc>
          <w:tcPr>
            <w:tcW w:type="dxa" w:w="1949"/>
          </w:tcPr>
          <w:p>
            <w:r>
              <w:rPr>
                <w:sz w:val="20"/>
              </w:rPr>
              <w:t>0.658736</w:t>
            </w:r>
          </w:p>
        </w:tc>
        <w:tc>
          <w:tcPr>
            <w:tcW w:type="dxa" w:w="1949"/>
          </w:tcPr>
          <w:p>
            <w:r>
              <w:rPr>
                <w:sz w:val="20"/>
              </w:rPr>
              <w:t>283.585400</w:t>
            </w:r>
          </w:p>
        </w:tc>
      </w:tr>
    </w:tbl>
    <w:p>
      <w:r>
        <w:t>Öne çıkan nokta: En iyi skor meta-ensemble (StackRidge/StackNNLS) tarafında. Bu, LightGBM ve CatBoost’un hatalarının tam korele olmadığını ve meta katmanın doğru bölgelerde doğru modele daha fazla ağırlık verebildiğini gösterir.</w:t>
      </w:r>
    </w:p>
    <w:p>
      <w:pPr>
        <w:pStyle w:val="Heading2"/>
      </w:pPr>
      <w:r>
        <w:t>7.1 Bu Skor MVP için Ne Anlama Geliyor?</w:t>
      </w:r>
    </w:p>
    <w:p>
      <w:r>
        <w:t>RMSE ~16.49, cap=125 kırpması altında ortalama tahmin hatasının yaklaşık 16-17 RUL civarında olduğu anlamına gelir. MVP açısından bu, 'trend takibi ve erken uyarı' için kullanılabilir bir başlangıçtır; ancak kritik senaryolarda (EOL’a yakın) hata davranışı ayrıca incelenmelidir. Bu yüzden sonraki adım olarak hata dilimleme (0-30 / 30-80 / 80-125) öneriyoruz.</w:t>
      </w:r>
    </w:p>
    <w:p>
      <w:pPr>
        <w:pStyle w:val="Heading1"/>
      </w:pPr>
      <w:r>
        <w:t>8. Neden Bu Kombinasyon? (Model + Normalizasyonun Kazandırdıkları)</w:t>
      </w:r>
    </w:p>
    <w:p>
      <w:pPr>
        <w:pStyle w:val="Heading2"/>
      </w:pPr>
      <w:r>
        <w:t>8.1 BASE Normalizasyonun Kazancı</w:t>
      </w:r>
    </w:p>
    <w:p>
      <w:pPr>
        <w:pStyle w:val="ListBullet"/>
      </w:pPr>
      <w:r>
        <w:t>Tekrarlanabilirlik: aynı scaler ile aynı dönüşüm; deney karşılaştırması netleşir.</w:t>
      </w:r>
    </w:p>
    <w:p>
      <w:pPr>
        <w:pStyle w:val="ListBullet"/>
      </w:pPr>
      <w:r>
        <w:t>Denetlenebilirlik: train-only fit ile leakage riskinin kontrolü kolaydır.</w:t>
      </w:r>
    </w:p>
    <w:p>
      <w:pPr>
        <w:pStyle w:val="ListBullet"/>
      </w:pPr>
      <w:r>
        <w:t>Karmaşıklık yönetimi: MVP aşamasında gereksiz varyant patlaması olmadan sağlam baseline.</w:t>
      </w:r>
    </w:p>
    <w:p>
      <w:pPr>
        <w:pStyle w:val="ListBullet"/>
      </w:pPr>
      <w:r>
        <w:t>Model uyumluluğu: tabular boosting için zorunlu olmasa da, pipeline standardizasyonu ve ilerideki model çeşitliliği için faydalıdır.</w:t>
      </w:r>
    </w:p>
    <w:p>
      <w:pPr>
        <w:pStyle w:val="Heading2"/>
      </w:pPr>
      <w:r>
        <w:t>8.2 LightGBM + CatBoost’un Kazancı</w:t>
      </w:r>
    </w:p>
    <w:p>
      <w:pPr>
        <w:pStyle w:val="ListBullet"/>
      </w:pPr>
      <w:r>
        <w:t>Tabular veride güçlü GBDT ailesi: etkileşim ve doğrusal olmayan ilişkileri iyi yakalar.</w:t>
      </w:r>
    </w:p>
    <w:p>
      <w:pPr>
        <w:pStyle w:val="ListBullet"/>
      </w:pPr>
      <w:r>
        <w:t>Hata çeşitliliği: farklı boosting düzenleri, stacking için sinyal üretir.</w:t>
      </w:r>
    </w:p>
    <w:p>
      <w:pPr>
        <w:pStyle w:val="ListBullet"/>
      </w:pPr>
      <w:r>
        <w:t>Operasyon koşulu karmaşıklığında pratik performans: FD002 gibi çok koşullu setlerde sıklıkla iyi baseline verir.</w:t>
      </w:r>
    </w:p>
    <w:p>
      <w:pPr>
        <w:pStyle w:val="Heading2"/>
      </w:pPr>
      <w:r>
        <w:t>8.3 Ridge Stacking’in Kazancı</w:t>
      </w:r>
    </w:p>
    <w:p>
      <w:pPr>
        <w:pStyle w:val="ListBullet"/>
      </w:pPr>
      <w:r>
        <w:t>Sabit ağırlık yerine ağırlıkları veriden öğrenir (OOF üstünden).</w:t>
      </w:r>
    </w:p>
    <w:p>
      <w:pPr>
        <w:pStyle w:val="ListBullet"/>
      </w:pPr>
      <w:r>
        <w:t>L2 düzenleme ile meta katmanın 'aşırı agresif' ağırlıklar öğrenmesi engellenir.</w:t>
      </w:r>
    </w:p>
    <w:p>
      <w:pPr>
        <w:pStyle w:val="ListBullet"/>
      </w:pPr>
      <w:r>
        <w:t>Açıklanabilir: meta katsayıları 'hangi taban modele ne kadar güvenildiğini' doğrudan anlatır.</w:t>
      </w:r>
    </w:p>
    <w:p>
      <w:pPr>
        <w:pStyle w:val="ListBullet"/>
      </w:pPr>
      <w:r>
        <w:t>Pratik avantaj: tek bir modeli uzun uzun seçmek yerine en iyi birleşime hızlı yakınsama.</w:t>
      </w:r>
    </w:p>
    <w:p>
      <w:pPr>
        <w:pStyle w:val="Heading1"/>
      </w:pPr>
      <w:r>
        <w:t>9. Gelecekte RUL Tahminini Daha İyi Hale Getirmek için Yol Haritası</w:t>
      </w:r>
    </w:p>
    <w:p>
      <w:r>
        <w:t>Bu bölüm, BASE hattını bozmadan (aynı veri/aynı değerlendirme kuralı) gelecekte uygulanabilecek geliştirme adımlarını listeler. Öncelik sırası, MVP’de hızlı kazanım sağlayacak ve leakage riskini artırmayacak seçeneklere göre önerilmiştir.</w:t>
      </w:r>
    </w:p>
    <w:p>
      <w:pPr>
        <w:pStyle w:val="Heading2"/>
      </w:pPr>
      <w:r>
        <w:t>9.1 Hızlı Kazanım (Düşük Risk)</w:t>
      </w:r>
    </w:p>
    <w:p>
      <w:pPr>
        <w:pStyle w:val="ListBullet"/>
      </w:pPr>
      <w:r>
        <w:t>Hiperparametre taraması: LightGBM (num_leaves, min_data_in_leaf, reg_lambda, subsample, colsample) ve CatBoost (depth, l2_leaf_reg, iterations) için hedefli arama.</w:t>
      </w:r>
    </w:p>
    <w:p>
      <w:pPr>
        <w:pStyle w:val="ListBullet"/>
      </w:pPr>
      <w:r>
        <w:t>Meta katmanda alternatifler: ElasticNet, Lasso, ya da sadece NNLS (negatif ağırlıkları engelleyerek daha stabil blending).</w:t>
      </w:r>
    </w:p>
    <w:p>
      <w:pPr>
        <w:pStyle w:val="ListBullet"/>
      </w:pPr>
      <w:r>
        <w:t>Örnek ağırlığı: EOL’a yakın satırlara daha fazla ağırlık verip kritik bölgede hatayı düşürme (all_rows RMSE etkisi test edilerek).</w:t>
      </w:r>
    </w:p>
    <w:p>
      <w:pPr>
        <w:pStyle w:val="ListBullet"/>
      </w:pPr>
      <w:r>
        <w:t>Belirsizlik: quantile/interval tahminleri ya da conformal prediction ile güven aralığı üretimi (karar-destek için değerli).</w:t>
      </w:r>
    </w:p>
    <w:p>
      <w:pPr>
        <w:pStyle w:val="Heading2"/>
      </w:pPr>
      <w:r>
        <w:t>9.2 Orta Vadeli (Orta Risk / Daha Fazla Efor)</w:t>
      </w:r>
    </w:p>
    <w:p>
      <w:pPr>
        <w:pStyle w:val="ListBullet"/>
      </w:pPr>
      <w:r>
        <w:t>Kontrollü feature engineering: rolling mean/std, trend eğimi (slope), seçili sensörler için kısa pencere istatistikleri; engine bazlı leakage kontrolü korunarak.</w:t>
      </w:r>
    </w:p>
    <w:p>
      <w:pPr>
        <w:pStyle w:val="ListBullet"/>
      </w:pPr>
      <w:r>
        <w:t>Zaman serisi modelleri: TCN/GRU/LSTM veya Transformer tabanlı sequence yaklaşımı (compute ve veri hazırlığı maliyetiyle birlikte değerlendirilir).</w:t>
      </w:r>
    </w:p>
    <w:p>
      <w:pPr>
        <w:pStyle w:val="ListBullet"/>
      </w:pPr>
      <w:r>
        <w:t>AutoGluon (HighQuality): geniş model havuzu ve stacking ile daha iyi skor mümkün; ancak compute maliyeti ve kontrol edilebilirlik nedeniyle MVP sonrası önerilir.</w:t>
      </w:r>
    </w:p>
    <w:p>
      <w:pPr>
        <w:pStyle w:val="Heading2"/>
      </w:pPr>
      <w:r>
        <w:t>9.3 Uzun Vadeli (Yüksek Etki / Yüksek Efor)</w:t>
      </w:r>
    </w:p>
    <w:p>
      <w:pPr>
        <w:pStyle w:val="ListBullet"/>
      </w:pPr>
      <w:r>
        <w:t>Regime-aware normalizasyon (A/B): operasyon koşulu kaymasını daha iyi temizleyebilir; parity sonrası tekrar açılabilir.</w:t>
      </w:r>
    </w:p>
    <w:p>
      <w:pPr>
        <w:pStyle w:val="ListBullet"/>
      </w:pPr>
      <w:r>
        <w:t>Domain adaptation: FD001–FD002 transferi, multi-task learning veya pretraining (daha fazla araştırma gerektirir).</w:t>
      </w:r>
    </w:p>
    <w:p>
      <w:pPr>
        <w:pStyle w:val="ListBullet"/>
      </w:pPr>
      <w:r>
        <w:t>Physics-informed sinyaller: bilinen degradasyon desenleri varsa, sensör kombinasyonlarıyla fiziksel proxy feature’lar.</w:t>
      </w:r>
    </w:p>
    <w:p>
      <w:pPr>
        <w:pStyle w:val="Heading1"/>
      </w:pPr>
      <w:r>
        <w:t>10. SHAP / XAI ile Açıklanabilirlik Planı</w:t>
      </w:r>
    </w:p>
    <w:p>
      <w:r>
        <w:t>MVP’de amaç sadece düşük RMSE değil, aynı zamanda karar vericinin (PdM) güven duyacağı açıklamalar üretmektir. Bu nedenle XAI çıktıları iki seviyede ele alınmalıdır: (i) taban modellerin açıklaması, (ii) meta birleşimin açıklaması.</w:t>
      </w:r>
    </w:p>
    <w:p>
      <w:pPr>
        <w:pStyle w:val="Heading2"/>
      </w:pPr>
      <w:r>
        <w:t>10.1 Taban Model Açıklamaları</w:t>
      </w:r>
    </w:p>
    <w:p>
      <w:pPr>
        <w:pStyle w:val="ListBullet"/>
      </w:pPr>
      <w:r>
        <w:t>LightGBM: TreeSHAP ile global (beeswarm) ve lokal (waterfall) açıklamalar.</w:t>
      </w:r>
    </w:p>
    <w:p>
      <w:pPr>
        <w:pStyle w:val="ListBullet"/>
      </w:pPr>
      <w:r>
        <w:t>CatBoost: yerleşik SHAP değerleri ile feature importance; global ve lokal raporlama.</w:t>
      </w:r>
    </w:p>
    <w:p>
      <w:pPr>
        <w:pStyle w:val="ListBullet"/>
      </w:pPr>
      <w:r>
        <w:t>Raporlama çıktıları: en etkili ilk 10 feature, cycle etkisi, operating settings etkisi, kritik sensörlerin davranışı.</w:t>
      </w:r>
    </w:p>
    <w:p>
      <w:pPr>
        <w:pStyle w:val="Heading2"/>
      </w:pPr>
      <w:r>
        <w:t>10.2 Meta (StackRidge) Açıklaması</w:t>
      </w:r>
    </w:p>
    <w:p>
      <w:pPr>
        <w:pStyle w:val="ListBullet"/>
      </w:pPr>
      <w:r>
        <w:t>Ridge katsayıları raporlanır: meta modelin LightGBM ve CatBoost tahminlerine verdiği ağırlıklar.</w:t>
      </w:r>
    </w:p>
    <w:p>
      <w:pPr>
        <w:pStyle w:val="ListBullet"/>
      </w:pPr>
      <w:r>
        <w:t>Alt dilim analizi: düşük RUL / yüksek RUL bölgesinde hangi taban model daha baskın? (hata analizi ile birlikte).</w:t>
      </w:r>
    </w:p>
    <w:p>
      <w:pPr>
        <w:pStyle w:val="ListBullet"/>
      </w:pPr>
      <w:r>
        <w:t>Model-agnostic doğrulama: permutation importance veya partial dependence ile meta düzeyi kontrol.</w:t>
      </w:r>
    </w:p>
    <w:p>
      <w:pPr>
        <w:pStyle w:val="Heading2"/>
      </w:pPr>
      <w:r>
        <w:t>10.3 Hata Analizi + XAI Birleştirme</w:t>
      </w:r>
    </w:p>
    <w:p>
      <w:r>
        <w:t>Önerilen yaklaşım:</w:t>
      </w:r>
    </w:p>
    <w:p>
      <w:pPr>
        <w:pStyle w:val="ListBullet"/>
      </w:pPr>
      <w:r>
        <w:t>Hata dilimleme: düşük RUL (0-30), orta RUL (30-80), yüksek RUL (80-125) aralıklarında RMSE/MAE.</w:t>
      </w:r>
    </w:p>
    <w:p>
      <w:pPr>
        <w:pStyle w:val="ListBullet"/>
      </w:pPr>
      <w:r>
        <w:t>Motor bazlı vaka incelemesi: 3-5 motor seçip cycle boyunca gerçek vs tahmin grafiği + SHAP açıklaması.</w:t>
      </w:r>
    </w:p>
    <w:p>
      <w:pPr>
        <w:pStyle w:val="ListBullet"/>
      </w:pPr>
      <w:r>
        <w:t>Aykırı hata örnekleri: en büyük mutlak hata yapılan satırlarda SHAP waterfall ile neden analizi.</w:t>
      </w:r>
    </w:p>
    <w:p>
      <w:pPr>
        <w:pStyle w:val="Heading1"/>
      </w:pPr>
      <w:r>
        <w:t>11. Riskler, Kontroller ve Tekrar Üretilebilirlik</w:t>
      </w:r>
    </w:p>
    <w:p>
      <w:pPr>
        <w:pStyle w:val="ListBullet"/>
      </w:pPr>
      <w:r>
        <w:t>Dosya karışıklığını önlemek için her run’da TRAIN/TEST/SCALER path’leri ve dosya hash’leri loglanmalı.</w:t>
      </w:r>
    </w:p>
    <w:p>
      <w:pPr>
        <w:pStyle w:val="ListBullet"/>
      </w:pPr>
      <w:r>
        <w:t>Feature listesi rapora kaydedilmeli (BASE’te beklenen 25 feature).</w:t>
      </w:r>
    </w:p>
    <w:p>
      <w:pPr>
        <w:pStyle w:val="ListBullet"/>
      </w:pPr>
      <w:r>
        <w:t>Seed sabitlenmeli (SEED=42) ve n_splits sabitlenmeli (5-fold).</w:t>
      </w:r>
    </w:p>
    <w:p>
      <w:pPr>
        <w:pStyle w:val="ListBullet"/>
      </w:pPr>
      <w:r>
        <w:t>Aynı notebook ile farklı dataset koşularken, config hücresi dışında hardcode path kalmamalı.</w:t>
      </w:r>
    </w:p>
    <w:p>
      <w:pPr>
        <w:pStyle w:val="Heading1"/>
      </w:pPr>
      <w:r>
        <w:t>Ek A. Kullanılan Artefaktlar</w:t>
      </w:r>
    </w:p>
    <w:p>
      <w:pPr>
        <w:pStyle w:val="ListBullet"/>
      </w:pPr>
      <w:r>
        <w:t>Train CSV (Colab yolu): /content/train_FD002_full_global_zscore.csv</w:t>
      </w:r>
    </w:p>
    <w:p>
      <w:pPr>
        <w:pStyle w:val="ListBullet"/>
      </w:pPr>
      <w:r>
        <w:t>Test CSV (Colab yolu): /content/test_FD002_full_global_zscore.csv</w:t>
      </w:r>
    </w:p>
    <w:p>
      <w:pPr>
        <w:pStyle w:val="ListBullet"/>
      </w:pPr>
      <w:r>
        <w:t>Scaler JSON (Colab yolu): /content/fd002_full_global_zscore_scaler.json</w:t>
      </w:r>
    </w:p>
    <w:p>
      <w:pPr>
        <w:pStyle w:val="ListBullet"/>
      </w:pPr>
      <w:r>
        <w:t>Notebook: FD002_SingleDataset_Runner_AllRows.ipynb (tek-dataset runner)</w:t>
      </w:r>
    </w:p>
    <w:p>
      <w:r>
        <w:t>Not: A ve B normalizasyon varyantları bu raporda kapsam dışıdır; ileride karşılaştırmalı çalışmaya geri dönülebilir.</w:t>
      </w:r>
    </w:p>
    <w:p>
      <w:r>
        <w:br w:type="page"/>
      </w:r>
    </w:p>
    <w:p>
      <w:pPr>
        <w:pStyle w:val="Heading1"/>
      </w:pPr>
      <w:r>
        <w:t>Ek: Leakage Kanıtı (Engine Bazlı Split)</w:t>
      </w:r>
    </w:p>
    <w:p>
      <w:r>
        <w:t>Bu ek bölüm, engine-bazlı split (GroupKFold) ile aynı engine_id’nin train ve validation içine karışmadığını (leakage-free) kanıtlayan otomatik kontrollerin çıktısını içerir.</w:t>
      </w:r>
    </w:p>
    <w:p>
      <w:r>
        <w:t>Kaynak OOF raporu: 02_notebooks_exports/RUL/FD002/FD002_Ozcan_All/fd002_oof_predictions_FD002_LOCAL_BASE.csv</w:t>
      </w:r>
    </w:p>
    <w:p>
      <w:r>
        <w:t>Üretilen leakage kanıt dosyası: 02_notebooks_exports/RUL/FD002/FD002_Ozcan_All/fd002_leakage_report_FD002_LOCAL_BASE.json</w:t>
      </w:r>
    </w:p>
    <w:p>
      <w:r>
        <w:t>Generated (UTC): 2026-01-27T13:05:13+00:00</w:t>
      </w:r>
    </w:p>
    <w:p>
      <w:r>
        <w:t>Sonuç (passed): True</w:t>
      </w:r>
    </w:p>
    <w:p>
      <w:r>
        <w:t>BLOCKER kontrolü — engine_id birden fazla fold’da mı?: 0 (0 olmalı)</w:t>
      </w:r>
    </w:p>
    <w:p>
      <w:r>
        <w:t>Fold bazlı kanıt (engine_overlap=0 olmalı):</w:t>
      </w:r>
    </w:p>
    <w:tbl>
      <w:tblPr>
        <w:tblW w:type="auto" w:w="0"/>
        <w:tblLook w:firstColumn="1" w:firstRow="1" w:lastColumn="0" w:lastRow="0" w:noHBand="0" w:noVBand="1" w:val="04A0"/>
      </w:tblPr>
      <w:tblGrid>
        <w:gridCol w:w="1949"/>
        <w:gridCol w:w="1949"/>
        <w:gridCol w:w="1949"/>
        <w:gridCol w:w="1949"/>
        <w:gridCol w:w="1949"/>
      </w:tblGrid>
      <w:tr>
        <w:tc>
          <w:tcPr>
            <w:tcW w:type="dxa" w:w="1949"/>
          </w:tcPr>
          <w:p>
            <w:r>
              <w:t>fold</w:t>
            </w:r>
          </w:p>
        </w:tc>
        <w:tc>
          <w:tcPr>
            <w:tcW w:type="dxa" w:w="1949"/>
          </w:tcPr>
          <w:p>
            <w:r>
              <w:t>valid_rows</w:t>
            </w:r>
          </w:p>
        </w:tc>
        <w:tc>
          <w:tcPr>
            <w:tcW w:type="dxa" w:w="1949"/>
          </w:tcPr>
          <w:p>
            <w:r>
              <w:t>valid_engines</w:t>
            </w:r>
          </w:p>
        </w:tc>
        <w:tc>
          <w:tcPr>
            <w:tcW w:type="dxa" w:w="1949"/>
          </w:tcPr>
          <w:p>
            <w:r>
              <w:t>train_engines</w:t>
            </w:r>
          </w:p>
        </w:tc>
        <w:tc>
          <w:tcPr>
            <w:tcW w:type="dxa" w:w="1949"/>
          </w:tcPr>
          <w:p>
            <w:r>
              <w:t>engine_overlap</w:t>
            </w:r>
          </w:p>
        </w:tc>
      </w:tr>
      <w:tr>
        <w:tc>
          <w:tcPr>
            <w:tcW w:type="dxa" w:w="1949"/>
          </w:tcPr>
          <w:p>
            <w:r>
              <w:t>1</w:t>
            </w:r>
          </w:p>
        </w:tc>
        <w:tc>
          <w:tcPr>
            <w:tcW w:type="dxa" w:w="1949"/>
          </w:tcPr>
          <w:p>
            <w:r>
              <w:t>10755</w:t>
            </w:r>
          </w:p>
        </w:tc>
        <w:tc>
          <w:tcPr>
            <w:tcW w:type="dxa" w:w="1949"/>
          </w:tcPr>
          <w:p>
            <w:r>
              <w:t>52</w:t>
            </w:r>
          </w:p>
        </w:tc>
        <w:tc>
          <w:tcPr>
            <w:tcW w:type="dxa" w:w="1949"/>
          </w:tcPr>
          <w:p>
            <w:r>
              <w:t>208</w:t>
            </w:r>
          </w:p>
        </w:tc>
        <w:tc>
          <w:tcPr>
            <w:tcW w:type="dxa" w:w="1949"/>
          </w:tcPr>
          <w:p>
            <w:r>
              <w:t>0</w:t>
            </w:r>
          </w:p>
        </w:tc>
      </w:tr>
      <w:tr>
        <w:tc>
          <w:tcPr>
            <w:tcW w:type="dxa" w:w="1949"/>
          </w:tcPr>
          <w:p>
            <w:r>
              <w:t>2</w:t>
            </w:r>
          </w:p>
        </w:tc>
        <w:tc>
          <w:tcPr>
            <w:tcW w:type="dxa" w:w="1949"/>
          </w:tcPr>
          <w:p>
            <w:r>
              <w:t>10749</w:t>
            </w:r>
          </w:p>
        </w:tc>
        <w:tc>
          <w:tcPr>
            <w:tcW w:type="dxa" w:w="1949"/>
          </w:tcPr>
          <w:p>
            <w:r>
              <w:t>52</w:t>
            </w:r>
          </w:p>
        </w:tc>
        <w:tc>
          <w:tcPr>
            <w:tcW w:type="dxa" w:w="1949"/>
          </w:tcPr>
          <w:p>
            <w:r>
              <w:t>208</w:t>
            </w:r>
          </w:p>
        </w:tc>
        <w:tc>
          <w:tcPr>
            <w:tcW w:type="dxa" w:w="1949"/>
          </w:tcPr>
          <w:p>
            <w:r>
              <w:t>0</w:t>
            </w:r>
          </w:p>
        </w:tc>
      </w:tr>
      <w:tr>
        <w:tc>
          <w:tcPr>
            <w:tcW w:type="dxa" w:w="1949"/>
          </w:tcPr>
          <w:p>
            <w:r>
              <w:t>3</w:t>
            </w:r>
          </w:p>
        </w:tc>
        <w:tc>
          <w:tcPr>
            <w:tcW w:type="dxa" w:w="1949"/>
          </w:tcPr>
          <w:p>
            <w:r>
              <w:t>10753</w:t>
            </w:r>
          </w:p>
        </w:tc>
        <w:tc>
          <w:tcPr>
            <w:tcW w:type="dxa" w:w="1949"/>
          </w:tcPr>
          <w:p>
            <w:r>
              <w:t>52</w:t>
            </w:r>
          </w:p>
        </w:tc>
        <w:tc>
          <w:tcPr>
            <w:tcW w:type="dxa" w:w="1949"/>
          </w:tcPr>
          <w:p>
            <w:r>
              <w:t>208</w:t>
            </w:r>
          </w:p>
        </w:tc>
        <w:tc>
          <w:tcPr>
            <w:tcW w:type="dxa" w:w="1949"/>
          </w:tcPr>
          <w:p>
            <w:r>
              <w:t>0</w:t>
            </w:r>
          </w:p>
        </w:tc>
      </w:tr>
      <w:tr>
        <w:tc>
          <w:tcPr>
            <w:tcW w:type="dxa" w:w="1949"/>
          </w:tcPr>
          <w:p>
            <w:r>
              <w:t>4</w:t>
            </w:r>
          </w:p>
        </w:tc>
        <w:tc>
          <w:tcPr>
            <w:tcW w:type="dxa" w:w="1949"/>
          </w:tcPr>
          <w:p>
            <w:r>
              <w:t>10753</w:t>
            </w:r>
          </w:p>
        </w:tc>
        <w:tc>
          <w:tcPr>
            <w:tcW w:type="dxa" w:w="1949"/>
          </w:tcPr>
          <w:p>
            <w:r>
              <w:t>52</w:t>
            </w:r>
          </w:p>
        </w:tc>
        <w:tc>
          <w:tcPr>
            <w:tcW w:type="dxa" w:w="1949"/>
          </w:tcPr>
          <w:p>
            <w:r>
              <w:t>208</w:t>
            </w:r>
          </w:p>
        </w:tc>
        <w:tc>
          <w:tcPr>
            <w:tcW w:type="dxa" w:w="1949"/>
          </w:tcPr>
          <w:p>
            <w:r>
              <w:t>0</w:t>
            </w:r>
          </w:p>
        </w:tc>
      </w:tr>
      <w:tr>
        <w:tc>
          <w:tcPr>
            <w:tcW w:type="dxa" w:w="1949"/>
          </w:tcPr>
          <w:p>
            <w:r>
              <w:t>5</w:t>
            </w:r>
          </w:p>
        </w:tc>
        <w:tc>
          <w:tcPr>
            <w:tcW w:type="dxa" w:w="1949"/>
          </w:tcPr>
          <w:p>
            <w:r>
              <w:t>10749</w:t>
            </w:r>
          </w:p>
        </w:tc>
        <w:tc>
          <w:tcPr>
            <w:tcW w:type="dxa" w:w="1949"/>
          </w:tcPr>
          <w:p>
            <w:r>
              <w:t>52</w:t>
            </w:r>
          </w:p>
        </w:tc>
        <w:tc>
          <w:tcPr>
            <w:tcW w:type="dxa" w:w="1949"/>
          </w:tcPr>
          <w:p>
            <w:r>
              <w:t>208</w:t>
            </w:r>
          </w:p>
        </w:tc>
        <w:tc>
          <w:tcPr>
            <w:tcW w:type="dxa" w:w="1949"/>
          </w:tcPr>
          <w:p>
            <w:r>
              <w:t>0</w:t>
            </w:r>
          </w:p>
        </w:tc>
      </w:tr>
    </w:tbl>
    <w:p>
      <w:r>
        <w:rPr>
          <w:rFonts w:ascii="Courier New" w:hAnsi="Courier New"/>
          <w:sz w:val="18"/>
        </w:rPr>
        <w:t>Not: Eğitim script’i fold başına overlap kontrolünü assert eder ve overlap &gt; 0 ise çalışmayı durdurur:</w:t>
      </w:r>
    </w:p>
    <w:p>
      <w:r>
        <w:rPr>
          <w:rFonts w:ascii="Courier New" w:hAnsi="Courier New"/>
          <w:sz w:val="18"/>
        </w:rPr>
        <w:t>02_notebooks_exports/RUL/FD002/FD002_Ozcan_All/train_fd002_groupkfold_sklearn.py</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