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color w:val="1A365D"/>
          <w:sz w:val="36"/>
        </w:rPr>
        <w:t>ISO 19650 Kavramları + Somut Proje Örneği</w:t>
      </w:r>
    </w:p>
    <w:p>
      <w:pPr>
        <w:jc w:val="center"/>
      </w:pPr>
      <w:r>
        <w:rPr>
          <w:rFonts w:ascii="Calibri" w:hAnsi="Calibri" w:eastAsia="Calibri"/>
          <w:b w:val="0"/>
          <w:color w:val="4A5568"/>
          <w:sz w:val="20"/>
        </w:rPr>
        <w:t>Hafta 11 — Kısa sözlük ve kurgusal proje üzerinden süreç</w:t>
      </w:r>
    </w:p>
    <w:p>
      <w:pPr>
        <w:jc w:val="center"/>
      </w:pPr>
      <w:r>
        <w:rPr>
          <w:rFonts w:ascii="Calibri" w:hAnsi="Calibri" w:eastAsia="Calibri"/>
          <w:b w:val="0"/>
          <w:color w:val="4A5568"/>
          <w:sz w:val="18"/>
        </w:rPr>
        <w:t>Hazırlayan: Elif Rabia Kırlı  ·  Sürüm: 1.1  ·  Tarih: 11 Eylül 2026</w:t>
        <w:br/>
      </w:r>
      <w:r>
        <w:rPr>
          <w:rFonts w:ascii="Calibri" w:hAnsi="Calibri" w:eastAsia="Calibri"/>
          <w:b w:val="0"/>
          <w:color w:val="4A5568"/>
          <w:sz w:val="18"/>
        </w:rPr>
        <w:t>Örnek proje (kurgusal): “Yeşilova Ortaokulu” — yeni inşa, mimari + yapı + MEP</w:t>
        <w:br/>
      </w:r>
    </w:p>
    <w:p>
      <w:pPr>
        <w:spacing w:after="80" w:line="269" w:lineRule="auto"/>
      </w:pPr>
      <w:r>
        <w:rPr>
          <w:rFonts w:ascii="Calibri" w:hAnsi="Calibri" w:eastAsia="Calibri"/>
          <w:b w:val="0"/>
          <w:i/>
          <w:sz w:val="18"/>
        </w:rPr>
        <w:t>Bu not sözleşmeli bir ISO belgesi değildir. Kavramlar kısa tutulur; B bölümündeki proje öğrenme amaçlı kurgusal bir örnektir (kişisel portföy laboratuvarından bağımsız).</w:t>
      </w:r>
    </w:p>
    <w:p>
      <w:pPr>
        <w:spacing w:before="240" w:after="80"/>
      </w:pPr>
      <w:r>
        <w:rPr>
          <w:rFonts w:ascii="Calibri" w:hAnsi="Calibri" w:eastAsia="Calibri"/>
          <w:b/>
          <w:color w:val="1A365D"/>
          <w:sz w:val="26"/>
        </w:rPr>
        <w:t>A) Kavramlar — kısaca</w:t>
      </w:r>
    </w:p>
    <w:p>
      <w:pPr>
        <w:spacing w:before="160" w:after="60"/>
      </w:pPr>
      <w:r>
        <w:rPr>
          <w:rFonts w:ascii="Calibri" w:hAnsi="Calibri" w:eastAsia="Calibri"/>
          <w:b/>
          <w:color w:val="2C5282"/>
          <w:sz w:val="22"/>
        </w:rPr>
        <w:t>Sıra ne?</w:t>
      </w:r>
    </w:p>
    <w:p>
      <w:pPr>
        <w:spacing w:after="80" w:line="269" w:lineRule="auto"/>
      </w:pPr>
      <w:r>
        <w:rPr>
          <w:rFonts w:ascii="Calibri" w:hAnsi="Calibri" w:eastAsia="Calibri"/>
          <w:b w:val="0"/>
          <w:i w:val="0"/>
          <w:sz w:val="20"/>
        </w:rPr>
        <w:t>OIR / AIR / PIR → ihtiyacı tanımlar. EIR → işveren “şunu teslim et” der. BEP → ekip “şöyle cevap vereceğiz” der. CDE → dosyalar nerede / hangi durumda. MIDP / TIDP → kim, neyi, ne zaman. LOIN → ne kadar detay yeterli.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Kısaltma</w:t>
            </w:r>
          </w:p>
        </w:tc>
        <w:tc>
          <w:tcPr>
            <w:tcW w:type="dxa" w:w="3249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Ne?</w:t>
            </w:r>
          </w:p>
        </w:tc>
        <w:tc>
          <w:tcPr>
            <w:tcW w:type="dxa" w:w="3249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Tek cümle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OIR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Organisation Information Requirements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Kurumun genel, projeden bağımsız bilgi ihtiyacı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AIR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Asset Information Requirements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Varlık işletme / bakım için gereken bilgiler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Project Information Requirements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 spesifik projenin bilgi ihtiyacı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EIR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Exchange Information Requirements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İşverenin ekiplerden istediği takas şartnamesi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BIM Execution Plan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Ekibin EIR’ye nasıl cevap vereceği oyun planı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MIDP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Master Information Delivery Plan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Tüm teslimlerin ana zaman planı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TIDP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Task Information Delivery Plan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Disiplin / görev bazlı teslim planı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CDE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Common Data Environment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Sürüm kontrollü ortak veri ortamı (e-posta eki değil)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LOIN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Level of Information Need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Gerçekten gereken bilgi seviyesi; aşırı modellemeyi keser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color w:val="2C5282"/>
          <w:sz w:val="22"/>
        </w:rPr>
        <w:t>Issue ve BCF (kısa)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</w:p>
        </w:tc>
        <w:tc>
          <w:tcPr>
            <w:tcW w:type="dxa" w:w="3249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249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BCF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Nerede?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Proje CDE / platformunda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.bcf / .bcfzip dosyası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Amaç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Ekip içi sorun takibi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Yazılımlar arası aynı sorunu taşımak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Örnek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Clash’ten Issue açılır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Issue Navisworks ↔ Revit arasında BCF ile gider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color w:val="2C5282"/>
          <w:sz w:val="22"/>
        </w:rPr>
        <w:t>CDE durumları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WIP — sadece kendi düzenlemen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Shared — incelemeye / diğer disiplinlere açılan sürüm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Published — onaylı / sözleşme / işletmeye giden “donmuş” çıktı</w:t>
      </w:r>
    </w:p>
    <w:p>
      <w:pPr>
        <w:spacing w:before="240" w:after="80"/>
      </w:pPr>
      <w:r>
        <w:rPr>
          <w:rFonts w:ascii="Calibri" w:hAnsi="Calibri" w:eastAsia="Calibri"/>
          <w:b/>
          <w:color w:val="1A365D"/>
          <w:sz w:val="26"/>
        </w:rPr>
        <w:t>B) Somut örnek — Yeşilova Ortaokulu (kurgusal)</w:t>
      </w:r>
    </w:p>
    <w:p>
      <w:pPr>
        <w:spacing w:after="80" w:line="269" w:lineRule="auto"/>
      </w:pPr>
      <w:r>
        <w:rPr>
          <w:rFonts w:ascii="Calibri" w:hAnsi="Calibri" w:eastAsia="Calibri"/>
          <w:b w:val="0"/>
          <w:i w:val="0"/>
          <w:sz w:val="20"/>
        </w:rPr>
        <w:t>İşveren: İlçe Milli Eğitim Müdürlüğü (appointing party). Proje: 16 derslikli yeni ortaokul, ~8.000 m². Atanan ekip: mimarlık ofisi (lead) + yapı + mekanik/elektrik alt yüklenicileri. CDE: bulut Docs (ör. Forma / ACC). Yazılım: Revit + Navisworks / Model Coordination.</w:t>
      </w:r>
    </w:p>
    <w:p>
      <w:pPr>
        <w:spacing w:before="160" w:after="60"/>
      </w:pPr>
      <w:r>
        <w:rPr>
          <w:rFonts w:ascii="Calibri" w:hAnsi="Calibri" w:eastAsia="Calibri"/>
          <w:b/>
          <w:color w:val="2C5282"/>
          <w:sz w:val="22"/>
        </w:rPr>
        <w:t>1) İhtiyaç tarafı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Katman</w:t>
            </w:r>
          </w:p>
        </w:tc>
        <w:tc>
          <w:tcPr>
            <w:tcW w:type="dxa" w:w="4873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Bu projede örnek içerik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OIR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İlçe genelinde: okul binalarında oda kodu, alan m², yangın sınıfı zorunlu alanlar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AIR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İşletme: bakım için ekipman etiketi, garanti, filtre değişim periyodu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Bu okul: 16 derslik, spor salonu, yemekhane; ifc/rvt teslim + metraj özeti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EIR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Milestone M2’de mimari+yapı federasyon; clash raporu; beton m³ schedule; LOIN tablosu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color w:val="2C5282"/>
          <w:sz w:val="22"/>
        </w:rPr>
        <w:t>2) Cevap tarafı — BEP’te ne yazılır?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Kim CDE admin? Hangi klasör yapısı? Adlandırma: YEO-ARC-ZZ-M3-A-0001.rvt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Hangi yazılım / hangi sürüm? Federasyon nerede (Coordination space)?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Clash toleransı, Issue atama kuralı, BCF kullanılıp kullanılmayacağı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0"/>
        </w:rPr>
        <w:t>MIDP: M1 kavram → M2 koordinasyon → M3 ihale → M4 as-built</w:t>
      </w:r>
    </w:p>
    <w:p>
      <w:pPr>
        <w:spacing w:before="160" w:after="60"/>
      </w:pPr>
      <w:r>
        <w:rPr>
          <w:rFonts w:ascii="Calibri" w:hAnsi="Calibri" w:eastAsia="Calibri"/>
          <w:b/>
          <w:color w:val="2C5282"/>
          <w:sz w:val="22"/>
        </w:rPr>
        <w:t>3) Süreç — adım adım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Adım</w:t>
            </w:r>
          </w:p>
        </w:tc>
        <w:tc>
          <w:tcPr>
            <w:tcW w:type="dxa" w:w="2436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Ne olur?</w:t>
            </w:r>
          </w:p>
        </w:tc>
        <w:tc>
          <w:tcPr>
            <w:tcW w:type="dxa" w:w="2436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ISO dili</w:t>
            </w:r>
          </w:p>
        </w:tc>
        <w:tc>
          <w:tcPr>
            <w:tcW w:type="dxa" w:w="2436"/>
            <w:shd w:fill="1A365D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CDE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İşveren EIR yayınlar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EIR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Published (şartname)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Ekip BEP yazar / onaylatır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BEP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Shared → Published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Mimar model üretir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LOIN’e göre detay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WIP → Shared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Yapı / MEP consume eder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Design Collaboration / referans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Shared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Federasyon + clash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Model Coordination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Shared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Clash → Issue / BCF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Issue yönetimi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Shared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Metraj schedule + özet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EIR teslim maddesi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Published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As-built + AIR alanları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Asset bilgisi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Published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color w:val="2C5282"/>
          <w:sz w:val="22"/>
        </w:rPr>
        <w:t>4) Tek somut satır — metraj</w:t>
      </w:r>
    </w:p>
    <w:p>
      <w:pPr>
        <w:spacing w:after="80" w:line="269" w:lineRule="auto"/>
      </w:pPr>
      <w:r>
        <w:rPr>
          <w:rFonts w:ascii="Calibri" w:hAnsi="Calibri" w:eastAsia="Calibri"/>
          <w:b w:val="0"/>
          <w:i w:val="0"/>
          <w:sz w:val="20"/>
        </w:rPr>
        <w:t>EIR: “Temel betonu m³, tip bazında schedule.” BEP: Revit Material Takeoff + Excel export; birim Metric. Teslim (Published): Footing tipleri + toplam m³ tablosu. Kontrol: yapı mühendisi ile mimar aynı CDE sürümünden sayar — e-posta ekiyle değil.</w:t>
      </w:r>
    </w:p>
    <w:p>
      <w:pPr>
        <w:spacing w:before="160" w:after="60"/>
      </w:pPr>
      <w:r>
        <w:rPr>
          <w:rFonts w:ascii="Calibri" w:hAnsi="Calibri" w:eastAsia="Calibri"/>
          <w:b/>
          <w:color w:val="2C5282"/>
          <w:sz w:val="22"/>
        </w:rPr>
        <w:t>5) Tek somut satır — çakışma</w:t>
      </w:r>
    </w:p>
    <w:p>
      <w:pPr>
        <w:spacing w:after="80" w:line="269" w:lineRule="auto"/>
      </w:pPr>
      <w:r>
        <w:rPr>
          <w:rFonts w:ascii="Calibri" w:hAnsi="Calibri" w:eastAsia="Calibri"/>
          <w:b w:val="0"/>
          <w:i w:val="0"/>
          <w:sz w:val="20"/>
        </w:rPr>
        <w:t>EIR: “M2’de mimari–mekanik clash raporu.” BEP: Coordination space; tol. 10 mm; Issue ataması MEP’e. Süreç: clash grubu → Issue → gerekirse BCF ile Revit’e → çözüm → Issue kapat → Shared güncel model.</w:t>
      </w:r>
    </w:p>
    <w:p>
      <w:pPr>
        <w:spacing w:before="160" w:after="60"/>
      </w:pPr>
      <w:r>
        <w:rPr>
          <w:rFonts w:ascii="Calibri" w:hAnsi="Calibri" w:eastAsia="Calibri"/>
          <w:b/>
          <w:color w:val="2C5282"/>
          <w:sz w:val="22"/>
        </w:rPr>
        <w:t>6) Akış (tek bakışta)</w:t>
      </w:r>
    </w:p>
    <w:p>
      <w:pPr>
        <w:spacing w:after="80" w:line="269" w:lineRule="auto"/>
      </w:pPr>
      <w:r>
        <w:rPr>
          <w:rFonts w:ascii="Calibri" w:hAnsi="Calibri" w:eastAsia="Calibri"/>
          <w:b w:val="0"/>
          <w:i w:val="0"/>
          <w:sz w:val="20"/>
        </w:rPr>
        <w:t>OIR/AIR (kurum) → PIR (bu okul) → EIR (işveren şartı) → BEP (ekip planı) → CDE’de üret (WIP) → paylaş (Shared) → onaylı teslim (Published) → işletme (AIR).</w:t>
      </w:r>
    </w:p>
    <w:p>
      <w:pPr>
        <w:spacing w:before="240" w:after="80"/>
      </w:pPr>
      <w:r>
        <w:rPr>
          <w:rFonts w:ascii="Calibri" w:hAnsi="Calibri" w:eastAsia="Calibri"/>
          <w:b/>
          <w:color w:val="1A365D"/>
          <w:sz w:val="26"/>
        </w:rPr>
        <w:t>C) Portföy notu</w:t>
      </w:r>
    </w:p>
    <w:p>
      <w:pPr>
        <w:spacing w:after="80" w:line="269" w:lineRule="auto"/>
      </w:pPr>
      <w:r>
        <w:rPr>
          <w:rFonts w:ascii="Calibri" w:hAnsi="Calibri" w:eastAsia="Calibri"/>
          <w:b w:val="0"/>
          <w:i w:val="0"/>
          <w:sz w:val="18"/>
        </w:rPr>
        <w:t>Kişisel Mini BEP (Beginner House / Forma Deneme) ayrı dosyadır: Mini-BEP-Ogrenci-Projesi.pdf. Bu belgedeki Yeşilova örneği yalnızca kavramı somutlaştırmak içindir.</w:t>
      </w:r>
    </w:p>
    <w:p>
      <w:pPr>
        <w:spacing w:after="80" w:line="269" w:lineRule="auto"/>
      </w:pPr>
      <w:r>
        <w:rPr>
          <w:rFonts w:ascii="Calibri" w:hAnsi="Calibri" w:eastAsia="Calibri"/>
          <w:b w:val="0"/>
          <w:i w:val="0"/>
          <w:sz w:val="18"/>
        </w:rPr>
        <w:t>Kaynaklar: UK BIM Framework / ISO 19650 terimleri; Issue-ve-BCF-Hafta10-Notu.pdf; kavram-haritasi.html.</w:t>
      </w:r>
    </w:p>
    <w:p>
      <w:pPr>
        <w:spacing w:before="240"/>
        <w:jc w:val="center"/>
      </w:pPr>
      <w:r>
        <w:rPr>
          <w:rFonts w:ascii="Calibri" w:hAnsi="Calibri" w:eastAsia="Calibri"/>
          <w:b w:val="0"/>
          <w:color w:val="718096"/>
          <w:sz w:val="18"/>
        </w:rPr>
        <w:t>BIM Öğrenme Portföyü · Hafta 11 · ISO 19650 kavram + kurgusal proje örneği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