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9fa" w:val="clear"/>
        <w:spacing w:after="240" w:lineRule="auto"/>
        <w:rPr>
          <w:rFonts w:ascii="Roboto" w:cs="Roboto" w:eastAsia="Roboto" w:hAnsi="Roboto"/>
          <w:color w:val="1d2125"/>
          <w:sz w:val="30"/>
          <w:szCs w:val="30"/>
        </w:rPr>
      </w:pPr>
      <w:r w:rsidDel="00000000" w:rsidR="00000000" w:rsidRPr="00000000">
        <w:rPr>
          <w:rtl w:val="0"/>
        </w:rPr>
        <w:t xml:space="preserve">468 sketches from Le Corbusier's Œuvre Complète (Birkhäuser, 1999) are encoded in a 26×18 chronological grid. Each cell contains five stacked horizontal stripes representing: Part/period, design move count, occupancy, content category, and decade era. All colors are drawn from Le Corbusier's own 1931 Salubra palette. </w:t>
      </w:r>
      <w:r w:rsidDel="00000000" w:rsidR="00000000" w:rsidRPr="00000000">
        <w:rPr>
          <w:rtl w:val="0"/>
        </w:rPr>
      </w:r>
    </w:p>
    <w:p w:rsidR="00000000" w:rsidDel="00000000" w:rsidP="00000000" w:rsidRDefault="00000000" w:rsidRPr="00000000" w14:paraId="00000002">
      <w:pPr>
        <w:shd w:fill="f8f9fa" w:val="clear"/>
        <w:spacing w:after="240" w:lineRule="auto"/>
        <w:rPr>
          <w:rFonts w:ascii="Roboto" w:cs="Roboto" w:eastAsia="Roboto" w:hAnsi="Roboto"/>
          <w:b w:val="1"/>
          <w:bCs w:val="1"/>
          <w:i w:val="1"/>
          <w:iCs w:val="1"/>
          <w:color w:val="1d2125"/>
          <w:sz w:val="30"/>
          <w:szCs w:val="30"/>
        </w:rPr>
      </w:pPr>
      <w:r w:rsidDel="00000000" w:rsidR="00000000" w:rsidRPr="00000000">
        <w:rPr>
          <w:rFonts w:ascii="Roboto" w:cs="Roboto" w:eastAsia="Roboto" w:hAnsi="Roboto"/>
          <w:b w:val="1"/>
          <w:bCs w:val="1"/>
          <w:i w:val="1"/>
          <w:iCs w:val="1"/>
          <w:color w:val="1d2125"/>
          <w:sz w:val="30"/>
          <w:szCs w:val="30"/>
          <w:rtl w:val="0"/>
        </w:rPr>
        <w:t xml:space="preserve">A brief description of the dataset</w:t>
      </w:r>
    </w:p>
    <w:p w:rsidR="00000000" w:rsidDel="00000000" w:rsidP="00000000" w:rsidRDefault="00000000" w:rsidRPr="00000000" w14:paraId="00000003">
      <w:pPr>
        <w:rPr/>
      </w:pPr>
      <w:r w:rsidDel="00000000" w:rsidR="00000000" w:rsidRPr="00000000">
        <w:rPr>
          <w:rtl w:val="0"/>
        </w:rPr>
        <w:t xml:space="preserve">The dataset consists of 468 sketches drawn by Le Corbusier between 1910 and 1965, extracted from the eight-volume </w:t>
      </w:r>
      <w:r w:rsidDel="00000000" w:rsidR="00000000" w:rsidRPr="00000000">
        <w:rPr>
          <w:i w:val="1"/>
          <w:iCs w:val="1"/>
          <w:rtl w:val="0"/>
        </w:rPr>
        <w:t xml:space="preserve">Œuvre Complète</w:t>
      </w:r>
      <w:r w:rsidDel="00000000" w:rsidR="00000000" w:rsidRPr="00000000">
        <w:rPr>
          <w:rtl w:val="0"/>
        </w:rPr>
        <w:t xml:space="preserve">, accessed through İTÜ EBSCO. Each sketch was manually cropped from scanned page photographs, resized to a uniform 256×256 pixel canvas, removed background if needed, and saved as individual PNG and also converted to SVG files organized by publication volume. </w:t>
      </w:r>
    </w:p>
    <w:p w:rsidR="00000000" w:rsidDel="00000000" w:rsidP="00000000" w:rsidRDefault="00000000" w:rsidRPr="00000000" w14:paraId="00000004">
      <w:pPr>
        <w:rPr/>
      </w:pPr>
      <w:r w:rsidDel="00000000" w:rsidR="00000000" w:rsidRPr="00000000">
        <w:rPr>
          <w:rtl w:val="0"/>
        </w:rPr>
        <w:t xml:space="preserve">The periodization follows William J. R. Curtis's three-part framework (</w:t>
      </w:r>
      <w:r w:rsidDel="00000000" w:rsidR="00000000" w:rsidRPr="00000000">
        <w:rPr>
          <w:i w:val="1"/>
          <w:iCs w:val="1"/>
          <w:rtl w:val="0"/>
        </w:rPr>
        <w:t xml:space="preserve">Le Corbusier: Ideas and Forms</w:t>
      </w:r>
      <w:r w:rsidDel="00000000" w:rsidR="00000000" w:rsidRPr="00000000">
        <w:rPr>
          <w:rtl w:val="0"/>
        </w:rPr>
        <w:t xml:space="preserve">, Phaidon, 1986): </w:t>
      </w:r>
      <w:r w:rsidDel="00000000" w:rsidR="00000000" w:rsidRPr="00000000">
        <w:rPr>
          <w:b w:val="1"/>
          <w:bCs w:val="1"/>
          <w:rtl w:val="0"/>
        </w:rPr>
        <w:t xml:space="preserve">Part I</w:t>
      </w:r>
      <w:r w:rsidDel="00000000" w:rsidR="00000000" w:rsidRPr="00000000">
        <w:rPr>
          <w:rtl w:val="0"/>
        </w:rPr>
        <w:t xml:space="preserve"> covers the formative years of Charles-Édouard Jeanneret (72 sketches, 1910–1929), </w:t>
      </w:r>
      <w:r w:rsidDel="00000000" w:rsidR="00000000" w:rsidRPr="00000000">
        <w:rPr>
          <w:b w:val="1"/>
          <w:bCs w:val="1"/>
          <w:rtl w:val="0"/>
        </w:rPr>
        <w:t xml:space="preserve">Part II</w:t>
      </w:r>
      <w:r w:rsidDel="00000000" w:rsidR="00000000" w:rsidRPr="00000000">
        <w:rPr>
          <w:rtl w:val="0"/>
        </w:rPr>
        <w:t xml:space="preserve"> the period of architectural ideals and social realities (184 sketches, 1930–1944), and </w:t>
      </w:r>
      <w:r w:rsidDel="00000000" w:rsidR="00000000" w:rsidRPr="00000000">
        <w:rPr>
          <w:b w:val="1"/>
          <w:bCs w:val="1"/>
          <w:rtl w:val="0"/>
        </w:rPr>
        <w:t xml:space="preserve">Part III</w:t>
      </w:r>
      <w:r w:rsidDel="00000000" w:rsidR="00000000" w:rsidRPr="00000000">
        <w:rPr>
          <w:rtl w:val="0"/>
        </w:rPr>
        <w:t xml:space="preserve"> the late works marked by an ancient sensibility (212 sketches, 1945–1965). </w:t>
      </w:r>
    </w:p>
    <w:p w:rsidR="00000000" w:rsidDel="00000000" w:rsidP="00000000" w:rsidRDefault="00000000" w:rsidRPr="00000000" w14:paraId="00000005">
      <w:pPr>
        <w:rPr/>
      </w:pPr>
      <w:r w:rsidDel="00000000" w:rsidR="00000000" w:rsidRPr="00000000">
        <w:rPr>
          <w:b w:val="1"/>
          <w:bCs w:val="1"/>
          <w:rtl w:val="0"/>
        </w:rPr>
        <w:t xml:space="preserve">Content labels</w:t>
      </w:r>
      <w:r w:rsidDel="00000000" w:rsidR="00000000" w:rsidRPr="00000000">
        <w:rPr>
          <w:rtl w:val="0"/>
        </w:rPr>
        <w:t xml:space="preserve"> we</w:t>
      </w:r>
      <w:r w:rsidDel="00000000" w:rsidR="00000000" w:rsidRPr="00000000">
        <w:rPr>
          <w:rtl w:val="0"/>
        </w:rPr>
        <w:t xml:space="preserve">re assigned manually through close reading of each sketch image. Each sketch was examined individually and categorized into one of seven types based on its dominant subject matter. </w:t>
      </w:r>
      <w:r w:rsidDel="00000000" w:rsidR="00000000" w:rsidRPr="00000000">
        <w:rPr>
          <w:b w:val="1"/>
          <w:bCs w:val="1"/>
          <w:rtl w:val="0"/>
        </w:rPr>
        <w:t xml:space="preserve">Era tags </w:t>
      </w:r>
      <w:r w:rsidDel="00000000" w:rsidR="00000000" w:rsidRPr="00000000">
        <w:rPr>
          <w:rtl w:val="0"/>
        </w:rPr>
        <w:t xml:space="preserve">were likewise determined manually: each sketch's approximate date was identified by cross-referencing the drawing itself with the surrounding captions, footnotes, and running text on the page in the </w:t>
      </w:r>
      <w:r w:rsidDel="00000000" w:rsidR="00000000" w:rsidRPr="00000000">
        <w:rPr>
          <w:i w:val="1"/>
          <w:iCs w:val="1"/>
          <w:rtl w:val="0"/>
        </w:rPr>
        <w:t xml:space="preserve">Œuvre Complète</w:t>
      </w:r>
      <w:r w:rsidDel="00000000" w:rsidR="00000000" w:rsidRPr="00000000">
        <w:rPr>
          <w:rtl w:val="0"/>
        </w:rPr>
        <w:t xml:space="preserve">, as the volumes do not always provide explicit dates for individual sketches. Both manual processes reflect a single coder's interpretation, which constitutes an acknowledged limitation of the dataset. </w:t>
      </w:r>
    </w:p>
    <w:p w:rsidR="00000000" w:rsidDel="00000000" w:rsidP="00000000" w:rsidRDefault="00000000" w:rsidRPr="00000000" w14:paraId="00000006">
      <w:pPr>
        <w:rPr/>
      </w:pPr>
      <w:r w:rsidDel="00000000" w:rsidR="00000000" w:rsidRPr="00000000">
        <w:rPr>
          <w:b w:val="1"/>
          <w:bCs w:val="1"/>
          <w:rtl w:val="0"/>
        </w:rPr>
        <w:t xml:space="preserve">Move count</w:t>
      </w:r>
      <w:r w:rsidDel="00000000" w:rsidR="00000000" w:rsidRPr="00000000">
        <w:rPr>
          <w:rtl w:val="0"/>
        </w:rPr>
        <w:t xml:space="preserve"> was derived computationally by converting each PNG to SVG. The number of paths in the resulting SVG file was taken as the move count for that sketch, each discrete path representing a distinct drawn stroke or mark. This operationalization treats vectorized path count as a proxy for the number of design moves. </w:t>
      </w:r>
      <w:r w:rsidDel="00000000" w:rsidR="00000000" w:rsidRPr="00000000">
        <w:rPr>
          <w:b w:val="1"/>
          <w:bCs w:val="1"/>
          <w:rtl w:val="0"/>
        </w:rPr>
        <w:t xml:space="preserve">Occupancy</w:t>
      </w:r>
      <w:r w:rsidDel="00000000" w:rsidR="00000000" w:rsidRPr="00000000">
        <w:rPr>
          <w:rtl w:val="0"/>
        </w:rPr>
        <w:t xml:space="preserve"> was measured as the pixel-area ratio of drawn marks to total canvas, capturing how densely a sketch fills its 256×256 frame. </w:t>
      </w:r>
    </w:p>
    <w:p w:rsidR="00000000" w:rsidDel="00000000" w:rsidP="00000000" w:rsidRDefault="00000000" w:rsidRPr="00000000" w14:paraId="00000007">
      <w:pPr>
        <w:rPr/>
      </w:pPr>
      <w:r w:rsidDel="00000000" w:rsidR="00000000" w:rsidRPr="00000000">
        <w:rPr>
          <w:b w:val="1"/>
          <w:bCs w:val="1"/>
          <w:rtl w:val="0"/>
        </w:rPr>
        <w:t xml:space="preserve">The color palette</w:t>
      </w:r>
      <w:r w:rsidDel="00000000" w:rsidR="00000000" w:rsidRPr="00000000">
        <w:rPr>
          <w:rtl w:val="0"/>
        </w:rPr>
        <w:t xml:space="preserve"> used throughout the visualization was drawn directly from Le Corbusier's own Salubra collection — a set of 63 architectural colors he designed in 1931 for the Swiss wallpaper manufacturer Salubra, intended as a systematic tool for harmonizing interior surfaces.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18"/>
          <w:szCs w:val="18"/>
        </w:rPr>
      </w:pPr>
      <w:bookmarkStart w:colFirst="0" w:colLast="0" w:name="_h364xhhqauf8" w:id="0"/>
      <w:bookmarkEnd w:id="0"/>
      <w:r w:rsidDel="00000000" w:rsidR="00000000" w:rsidRPr="00000000">
        <w:rPr>
          <w:b w:val="1"/>
          <w:bCs w:val="1"/>
          <w:sz w:val="18"/>
          <w:szCs w:val="18"/>
          <w:rtl w:val="0"/>
        </w:rPr>
        <w:t xml:space="preserve">Source Data: FINALVERI.csv</w:t>
      </w:r>
    </w:p>
    <w:p w:rsidR="00000000" w:rsidDel="00000000" w:rsidP="00000000" w:rsidRDefault="00000000" w:rsidRPr="00000000" w14:paraId="0000000A">
      <w:pPr>
        <w:spacing w:after="240" w:before="240" w:lineRule="auto"/>
        <w:rPr>
          <w:sz w:val="18"/>
          <w:szCs w:val="18"/>
        </w:rPr>
      </w:pPr>
      <w:r w:rsidDel="00000000" w:rsidR="00000000" w:rsidRPr="00000000">
        <w:rPr>
          <w:sz w:val="18"/>
          <w:szCs w:val="18"/>
          <w:rtl w:val="0"/>
        </w:rPr>
        <w:t xml:space="preserve">The CSV is the single source of truth. Key columns:</w:t>
      </w:r>
    </w:p>
    <w:tbl>
      <w:tblPr>
        <w:tblStyle w:val="Table1"/>
        <w:tblW w:w="81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1175"/>
        <w:gridCol w:w="4520"/>
        <w:tblGridChange w:id="0">
          <w:tblGrid>
            <w:gridCol w:w="2480"/>
            <w:gridCol w:w="1175"/>
            <w:gridCol w:w="45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sz w:val="18"/>
                <w:szCs w:val="18"/>
              </w:rPr>
            </w:pPr>
            <w:r w:rsidDel="00000000" w:rsidR="00000000" w:rsidRPr="00000000">
              <w:rPr>
                <w:b w:val="1"/>
                <w:bCs w:val="1"/>
                <w:sz w:val="18"/>
                <w:szCs w:val="18"/>
                <w:rtl w:val="0"/>
              </w:rPr>
              <w:t xml:space="preserve">Column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sz w:val="18"/>
                <w:szCs w:val="18"/>
              </w:rPr>
            </w:pPr>
            <w:r w:rsidDel="00000000" w:rsidR="00000000" w:rsidRPr="00000000">
              <w:rPr>
                <w:b w:val="1"/>
                <w:bCs w:val="1"/>
                <w:sz w:val="18"/>
                <w:szCs w:val="18"/>
                <w:rtl w:val="0"/>
              </w:rPr>
              <w:t xml:space="preserve">Source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sz w:val="18"/>
                <w:szCs w:val="18"/>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sz w:val="18"/>
                <w:szCs w:val="18"/>
              </w:rPr>
            </w:pPr>
            <w:r w:rsidDel="00000000" w:rsidR="00000000" w:rsidRPr="00000000">
              <w:rPr>
                <w:rFonts w:ascii="Roboto Mono" w:cs="Roboto Mono" w:eastAsia="Roboto Mono" w:hAnsi="Roboto Mono"/>
                <w:color w:val="188038"/>
                <w:sz w:val="18"/>
                <w:szCs w:val="18"/>
                <w:rtl w:val="0"/>
              </w:rPr>
              <w:t xml:space="preserve">filename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sz w:val="18"/>
                <w:szCs w:val="18"/>
              </w:rPr>
            </w:pPr>
            <w:r w:rsidDel="00000000" w:rsidR="00000000" w:rsidRPr="00000000">
              <w:rPr>
                <w:sz w:val="18"/>
                <w:szCs w:val="18"/>
                <w:rtl w:val="0"/>
              </w:rPr>
              <w:t xml:space="preserve">computed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rPr>
                <w:sz w:val="18"/>
                <w:szCs w:val="18"/>
              </w:rPr>
            </w:pPr>
            <w:r w:rsidDel="00000000" w:rsidR="00000000" w:rsidRPr="00000000">
              <w:rPr>
                <w:sz w:val="18"/>
                <w:szCs w:val="18"/>
                <w:rtl w:val="0"/>
              </w:rPr>
              <w:t xml:space="preserve">Potrace SVG filename (e.g. </w:t>
            </w:r>
            <w:r w:rsidDel="00000000" w:rsidR="00000000" w:rsidRPr="00000000">
              <w:rPr>
                <w:rFonts w:ascii="Roboto Mono" w:cs="Roboto Mono" w:eastAsia="Roboto Mono" w:hAnsi="Roboto Mono"/>
                <w:color w:val="188038"/>
                <w:sz w:val="18"/>
                <w:szCs w:val="18"/>
                <w:rtl w:val="0"/>
              </w:rPr>
              <w:t xml:space="preserve">PART1 (10).svg</w:t>
            </w:r>
            <w:r w:rsidDel="00000000" w:rsidR="00000000" w:rsidRPr="00000000">
              <w:rPr>
                <w:sz w:val="18"/>
                <w:szCs w:val="18"/>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rPr>
                <w:sz w:val="18"/>
                <w:szCs w:val="18"/>
              </w:rPr>
            </w:pPr>
            <w:r w:rsidDel="00000000" w:rsidR="00000000" w:rsidRPr="00000000">
              <w:rPr>
                <w:rFonts w:ascii="Roboto Mono" w:cs="Roboto Mono" w:eastAsia="Roboto Mono" w:hAnsi="Roboto Mono"/>
                <w:color w:val="188038"/>
                <w:sz w:val="18"/>
                <w:szCs w:val="18"/>
                <w:rtl w:val="0"/>
              </w:rPr>
              <w:t xml:space="preserve">part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sz w:val="18"/>
                <w:szCs w:val="18"/>
              </w:rPr>
            </w:pPr>
            <w:r w:rsidDel="00000000" w:rsidR="00000000" w:rsidRPr="00000000">
              <w:rPr>
                <w:b w:val="1"/>
                <w:bCs w:val="1"/>
                <w:sz w:val="18"/>
                <w:szCs w:val="18"/>
                <w:rtl w:val="0"/>
              </w:rPr>
              <w:t xml:space="preserve">manual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sz w:val="18"/>
                <w:szCs w:val="18"/>
              </w:rPr>
            </w:pPr>
            <w:r w:rsidDel="00000000" w:rsidR="00000000" w:rsidRPr="00000000">
              <w:rPr>
                <w:sz w:val="18"/>
                <w:szCs w:val="18"/>
                <w:rtl w:val="0"/>
              </w:rPr>
              <w:t xml:space="preserve">Period string (mapped to Part I/II/III)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sz w:val="18"/>
                <w:szCs w:val="18"/>
              </w:rPr>
            </w:pP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rPr>
                <w:sz w:val="18"/>
                <w:szCs w:val="18"/>
              </w:rPr>
            </w:pPr>
            <w:r w:rsidDel="00000000" w:rsidR="00000000" w:rsidRPr="00000000">
              <w:rPr>
                <w:b w:val="1"/>
                <w:bCs w:val="1"/>
                <w:sz w:val="18"/>
                <w:szCs w:val="18"/>
                <w:rtl w:val="0"/>
              </w:rPr>
              <w:t xml:space="preserve">manual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rPr>
                <w:sz w:val="18"/>
                <w:szCs w:val="18"/>
              </w:rPr>
            </w:pPr>
            <w:r w:rsidDel="00000000" w:rsidR="00000000" w:rsidRPr="00000000">
              <w:rPr>
                <w:sz w:val="18"/>
                <w:szCs w:val="18"/>
                <w:rtl w:val="0"/>
              </w:rPr>
              <w:t xml:space="preserve">Content category (7 types)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sz w:val="18"/>
                <w:szCs w:val="18"/>
              </w:rPr>
            </w:pPr>
            <w:r w:rsidDel="00000000" w:rsidR="00000000" w:rsidRPr="00000000">
              <w:rPr>
                <w:rFonts w:ascii="Roboto Mono" w:cs="Roboto Mono" w:eastAsia="Roboto Mono" w:hAnsi="Roboto Mono"/>
                <w:color w:val="188038"/>
                <w:sz w:val="18"/>
                <w:szCs w:val="18"/>
                <w:rtl w:val="0"/>
              </w:rPr>
              <w:t xml:space="preserve">era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sz w:val="18"/>
                <w:szCs w:val="18"/>
              </w:rPr>
            </w:pPr>
            <w:r w:rsidDel="00000000" w:rsidR="00000000" w:rsidRPr="00000000">
              <w:rPr>
                <w:b w:val="1"/>
                <w:bCs w:val="1"/>
                <w:sz w:val="18"/>
                <w:szCs w:val="18"/>
                <w:rtl w:val="0"/>
              </w:rPr>
              <w:t xml:space="preserve">manual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sz w:val="18"/>
                <w:szCs w:val="18"/>
              </w:rPr>
            </w:pPr>
            <w:r w:rsidDel="00000000" w:rsidR="00000000" w:rsidRPr="00000000">
              <w:rPr>
                <w:sz w:val="18"/>
                <w:szCs w:val="18"/>
                <w:rtl w:val="0"/>
              </w:rPr>
              <w:t xml:space="preserve">Approximate year from page context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sz w:val="18"/>
                <w:szCs w:val="18"/>
              </w:rPr>
            </w:pPr>
            <w:r w:rsidDel="00000000" w:rsidR="00000000" w:rsidRPr="00000000">
              <w:rPr>
                <w:rFonts w:ascii="Roboto Mono" w:cs="Roboto Mono" w:eastAsia="Roboto Mono" w:hAnsi="Roboto Mono"/>
                <w:color w:val="188038"/>
                <w:sz w:val="18"/>
                <w:szCs w:val="18"/>
                <w:rtl w:val="0"/>
              </w:rPr>
              <w:t xml:space="preserve">move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sz w:val="18"/>
                <w:szCs w:val="18"/>
              </w:rPr>
            </w:pPr>
            <w:r w:rsidDel="00000000" w:rsidR="00000000" w:rsidRPr="00000000">
              <w:rPr>
                <w:sz w:val="18"/>
                <w:szCs w:val="18"/>
                <w:rtl w:val="0"/>
              </w:rPr>
              <w:t xml:space="preserve">computed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sz w:val="18"/>
                <w:szCs w:val="18"/>
              </w:rPr>
            </w:pPr>
            <w:r w:rsidDel="00000000" w:rsidR="00000000" w:rsidRPr="00000000">
              <w:rPr>
                <w:sz w:val="18"/>
                <w:szCs w:val="18"/>
                <w:rtl w:val="0"/>
              </w:rPr>
              <w:t xml:space="preserve">SVG </w:t>
            </w:r>
            <w:r w:rsidDel="00000000" w:rsidR="00000000" w:rsidRPr="00000000">
              <w:rPr>
                <w:rFonts w:ascii="Roboto Mono" w:cs="Roboto Mono" w:eastAsia="Roboto Mono" w:hAnsi="Roboto Mono"/>
                <w:color w:val="188038"/>
                <w:sz w:val="18"/>
                <w:szCs w:val="18"/>
                <w:rtl w:val="0"/>
              </w:rPr>
              <w:t xml:space="preserve">&lt;path&gt;</w:t>
            </w:r>
            <w:r w:rsidDel="00000000" w:rsidR="00000000" w:rsidRPr="00000000">
              <w:rPr>
                <w:sz w:val="18"/>
                <w:szCs w:val="18"/>
                <w:rtl w:val="0"/>
              </w:rPr>
              <w:t xml:space="preserve"> 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sz w:val="18"/>
                <w:szCs w:val="18"/>
              </w:rPr>
            </w:pPr>
            <w:r w:rsidDel="00000000" w:rsidR="00000000" w:rsidRPr="00000000">
              <w:rPr>
                <w:rFonts w:ascii="Roboto Mono" w:cs="Roboto Mono" w:eastAsia="Roboto Mono" w:hAnsi="Roboto Mono"/>
                <w:color w:val="188038"/>
                <w:sz w:val="18"/>
                <w:szCs w:val="18"/>
                <w:rtl w:val="0"/>
              </w:rPr>
              <w:t xml:space="preserve">area covered (pixels, occupancy)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sz w:val="18"/>
                <w:szCs w:val="18"/>
              </w:rPr>
            </w:pPr>
            <w:r w:rsidDel="00000000" w:rsidR="00000000" w:rsidRPr="00000000">
              <w:rPr>
                <w:sz w:val="18"/>
                <w:szCs w:val="18"/>
                <w:rtl w:val="0"/>
              </w:rPr>
              <w:t xml:space="preserve">computed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sz w:val="18"/>
                <w:szCs w:val="18"/>
              </w:rPr>
            </w:pPr>
            <w:r w:rsidDel="00000000" w:rsidR="00000000" w:rsidRPr="00000000">
              <w:rPr>
                <w:sz w:val="18"/>
                <w:szCs w:val="18"/>
                <w:rtl w:val="0"/>
              </w:rPr>
              <w:t xml:space="preserve">Non-white pixel count on 256×256 canvas</w:t>
            </w:r>
          </w:p>
        </w:tc>
      </w:tr>
    </w:tbl>
    <w:p w:rsidR="00000000" w:rsidDel="00000000" w:rsidP="00000000" w:rsidRDefault="00000000" w:rsidRPr="00000000" w14:paraId="00000020">
      <w:pPr>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