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Seasonal Patterns in Trail Use</w:t>
      </w:r>
    </w:p>
    <w:p>
      <w:r>
        <w:t xml:space="preserve">This essay examines why visitors prefer early-season hikes — and why the data doesn’t always agree.</w:t>
      </w:r>
      <w:r>
        <w:rPr>
          <w:rStyle w:val="FootnoteReference"/>
        </w:rPr>
        <w:footnoteReference w:id="1"/>
      </w:r>
      <w:r>
        <w:t xml:space="preserve"> It uses “smart quotes,” ‘single quotes’, an em dash —, an en dash 1990–2000, café, naïve, and two  spaces.</w:t>
      </w:r>
    </w:p>
    <w:p>
      <w:pPr>
        <w:pStyle w:val="Heading2"/>
      </w:pPr>
      <w:r>
        <w:t xml:space="preserve">Background</w:t>
      </w:r>
    </w:p>
    <w:p>
      <w:r>
        <w:rPr>
          <w:b/>
          <w:bCs/>
        </w:rPr>
        <w:t xml:space="preserve">Bold text</w:t>
      </w:r>
      <w:r>
        <w:t xml:space="preserve">, </w:t>
      </w:r>
      <w:r>
        <w:rPr>
          <w:i/>
          <w:iCs/>
        </w:rPr>
        <w:t xml:space="preserve">italic text</w:t>
      </w:r>
      <w:r>
        <w:t xml:space="preserve">, </w:t>
      </w:r>
      <w:r>
        <w:rPr>
          <w:u w:val="single"/>
        </w:rPr>
        <w:t xml:space="preserve">underlined text</w:t>
      </w:r>
      <w:r>
        <w:t xml:space="preserve">, and a </w:t>
      </w:r>
      <w:hyperlink w:history="1" r:id="rIdcp2jgx_ijcsijqbidu3t0">
        <w:r>
          <w:rPr>
            <w:rStyle w:val="Hyperlink"/>
          </w:rPr>
          <w:t xml:space="preserve">hyperlink</w:t>
        </w:r>
      </w:hyperlink>
      <w:r>
        <w:t xml:space="preserve">. A tab follows:</w:t>
      </w:r>
      <w:r>
        <w:tab/>
        <w:t xml:space="preserve">after the tab.</w:t>
      </w:r>
      <w:r>
        <w:br/>
        <w:t xml:space="preserve">This sentence starts after a line break.</w:t>
      </w:r>
      <w:r>
        <w:rPr>
          <w:rStyle w:val="FootnoteReference"/>
        </w:rPr>
        <w:footnoteReference w:id="2"/>
      </w:r>
    </w:p>
    <w:p>
      <w:pPr>
        <w:pStyle w:val="Heading2"/>
      </w:pPr>
      <w:r>
        <w:t xml:space="preserve">Key factors</w:t>
      </w:r>
    </w:p>
    <w:p>
      <w:pPr>
        <w:pStyle w:val="ListParagraph"/>
        <w:numPr>
          <w:ilvl w:val="0"/>
          <w:numId w:val="1"/>
        </w:numPr>
      </w:pPr>
      <w:r>
        <w:t xml:space="preserve">Snowpack and trail conditions</w:t>
      </w:r>
    </w:p>
    <w:p>
      <w:pPr>
        <w:pStyle w:val="ListParagraph"/>
        <w:numPr>
          <w:ilvl w:val="0"/>
          <w:numId w:val="1"/>
        </w:numPr>
      </w:pPr>
      <w:r>
        <w:t xml:space="preserve">Daylight hours</w:t>
      </w:r>
    </w:p>
    <w:p>
      <w:pPr>
        <w:pStyle w:val="ListParagraph"/>
        <w:numPr>
          <w:ilvl w:val="1"/>
          <w:numId w:val="1"/>
        </w:numPr>
      </w:pPr>
      <w:r>
        <w:t xml:space="preserve">Sunrise times in late spring</w:t>
      </w:r>
    </w:p>
    <w:p>
      <w:pPr>
        <w:pStyle w:val="ListParagraph"/>
        <w:numPr>
          <w:ilvl w:val="0"/>
          <w:numId w:val="2"/>
        </w:numPr>
      </w:pPr>
      <w:r>
        <w:t xml:space="preserve">Collect counts at each trailhead.</w:t>
      </w:r>
    </w:p>
    <w:p>
      <w:pPr>
        <w:pStyle w:val="ListParagraph"/>
        <w:numPr>
          <w:ilvl w:val="0"/>
          <w:numId w:val="2"/>
        </w:numPr>
      </w:pPr>
      <w:r>
        <w:t xml:space="preserve">Compare with weather records.</w:t>
      </w:r>
    </w:p>
    <w:p>
      <w:pPr>
        <w:pStyle w:val="ListParagraph"/>
        <w:numPr>
          <w:ilvl w:val="0"/>
          <w:numId w:val="2"/>
        </w:numPr>
      </w:pPr>
      <w:r>
        <w:t xml:space="preserve">Report the differences.</w:t>
      </w:r>
    </w:p>
    <w:p>
      <w:pPr>
        <w:pStyle w:val="Heading2"/>
      </w:pPr>
      <w:r>
        <w:t xml:space="preserve">Results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p>
            <w:r>
              <w:rPr>
                <w:b/>
                <w:bCs/>
              </w:rPr>
              <w:t xml:space="preserve">Month</w:t>
            </w:r>
          </w:p>
        </w:tc>
        <w:tc>
          <w:p>
            <w:r>
              <w:rPr>
                <w:b/>
                <w:bCs/>
              </w:rPr>
              <w:t xml:space="preserve">Visitors</w:t>
            </w:r>
          </w:p>
        </w:tc>
        <w:tc>
          <w:p>
            <w:r>
              <w:rPr>
                <w:b/>
                <w:bCs/>
              </w:rPr>
              <w:t xml:space="preserve">Avg. temp (°C)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April</w:t>
            </w:r>
          </w:p>
        </w:tc>
        <w:tc>
          <w:p>
            <w:r>
              <w:rPr>
                <w:b w:val="false"/>
                <w:bCs w:val="false"/>
              </w:rPr>
              <w:t xml:space="preserve">1,240</w:t>
            </w:r>
          </w:p>
        </w:tc>
        <w:tc>
          <w:p>
            <w:r>
              <w:rPr>
                <w:b w:val="false"/>
                <w:bCs w:val="false"/>
              </w:rPr>
              <w:t xml:space="preserve">8.5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May</w:t>
            </w:r>
          </w:p>
        </w:tc>
        <w:tc>
          <w:p>
            <w:r>
              <w:rPr>
                <w:b w:val="false"/>
                <w:bCs w:val="false"/>
              </w:rPr>
              <w:t xml:space="preserve">3,980</w:t>
            </w:r>
          </w:p>
        </w:tc>
        <w:tc>
          <w:p>
            <w:r>
              <w:rPr>
                <w:b w:val="false"/>
                <w:bCs w:val="false"/>
              </w:rPr>
              <w:t xml:space="preserve">14.2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June</w:t>
            </w:r>
          </w:p>
        </w:tc>
        <w:tc>
          <w:p>
            <w:r>
              <w:rPr>
                <w:b w:val="false"/>
                <w:bCs w:val="false"/>
              </w:rPr>
              <w:t xml:space="preserve">5,105</w:t>
            </w:r>
          </w:p>
        </w:tc>
        <w:tc>
          <w:p>
            <w:r>
              <w:rPr>
                <w:b w:val="false"/>
                <w:bCs w:val="false"/>
              </w:rPr>
              <w:t xml:space="preserve">19.0</w:t>
            </w:r>
          </w:p>
        </w:tc>
      </w:tr>
    </w:tbl>
    <w:p>
      <w:r>
        <w:t xml:space="preserve">Figure 1 shows monthly visitors.</w:t>
      </w:r>
    </w:p>
    <w:p>
      <w:r>
        <w:drawing>
          <wp:inline distT="0" distB="0" distL="0" distR="0">
            <wp:extent cx="2286000" cy="1143000"/>
            <wp:effectExtent t="0" r="0" b="0" l="0"/>
            <wp:docPr id="1" name="chart" descr="Bar chart of monthly visitors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Works Cited</w:t>
      </w:r>
    </w:p>
    <w:p>
      <w:pPr>
        <w:ind w:left="720" w:hanging="720"/>
      </w:pPr>
      <w:r>
        <w:t xml:space="preserve">Alvarez, Maria. </w:t>
      </w:r>
      <w:r>
        <w:rPr>
          <w:i/>
          <w:iCs/>
        </w:rPr>
        <w:t xml:space="preserve">Mountain Seasons: A Study of Alpine Visitors</w:t>
      </w:r>
      <w:r>
        <w:t xml:space="preserve">. Northern Press, 2021.</w:t>
      </w:r>
    </w:p>
    <w:p>
      <w:pPr>
        <w:ind w:left="720" w:hanging="720"/>
      </w:pPr>
      <w:r>
        <w:t xml:space="preserve">Chen, David, and Priya Shah. “Weather and Weekend Hiking.” </w:t>
      </w:r>
      <w:r>
        <w:rPr>
          <w:i/>
          <w:iCs/>
        </w:rPr>
        <w:t xml:space="preserve">Journal of Outdoor Studies</w:t>
      </w:r>
      <w:r>
        <w:t xml:space="preserve">, vol. 14, no. 2, 2023, pp. 45–67, https://doi.org/10.0000/example.2023.</w:t>
      </w:r>
    </w:p>
    <w:p>
      <w:pPr>
        <w:ind w:left="720" w:hanging="720"/>
      </w:pPr>
      <w:r>
        <w:t xml:space="preserve">Parks Canada. “Visitor Statistics 2024.” Government of Canada, 2025, www.example.gc.ca/stats. Accessed 1 Mar.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Environment Canada, “Historical Climate Data,” accessed 3 March 2026.</w:t>
      </w:r>
    </w:p>
  </w:footnote>
  <w:footnote w:id="2">
    <w:p>
      <w:r>
        <w:rPr>
          <w:rStyle w:val="FootnoteReference"/>
        </w:rPr>
        <w:footnoteRef/>
      </w:r>
      <w:r>
        <w:t xml:space="preserve">See also the </w:t>
      </w:r>
      <w:r>
        <w:rPr>
          <w:i/>
          <w:iCs/>
        </w:rPr>
        <w:t xml:space="preserve">Field Guide</w:t>
      </w:r>
      <w:r>
        <w:t xml:space="preserve">, pp. 12–14.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cp2jgx_ijcsijqbidu3t0" Type="http://schemas.openxmlformats.org/officeDocument/2006/relationships/hyperlink" Target="https://example.org/trails" TargetMode="External"/><Relationship Id="rId8" Type="http://schemas.openxmlformats.org/officeDocument/2006/relationships/image" Target="media/c760d120d6e10b0e79f08bb33ed82821d70e41b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essay</dc:title>
  <dc:creator>DocxToBrightspace test generator</dc:creator>
  <cp:lastModifiedBy>Un-named</cp:lastModifiedBy>
  <cp:revision>1</cp:revision>
  <dcterms:created xsi:type="dcterms:W3CDTF">2026-10-21T00:21:40.973Z</dcterms:created>
  <dcterms:modified xsi:type="dcterms:W3CDTF">2026-10-21T00:21:40.974Z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