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Harbour Library Renovation</w:t>
      </w:r>
    </w:p>
    <w:p>
      <w:r>
        <w:rPr>
          <w:i/>
        </w:rPr>
        <w:t>Project update for the board · October 2026</w:t>
      </w:r>
    </w:p>
    <w:p>
      <w:pPr>
        <w:pStyle w:val="Heading1"/>
      </w:pPr>
      <w:r>
        <w:t>Summary</w:t>
      </w:r>
    </w:p>
    <w:p>
      <w:r>
        <w:t xml:space="preserve">The reading room reopened on 6 October, two weeks ahead of the plan. </w:t>
      </w:r>
      <w:commentRangeStart w:id="0"/>
      <w:r>
        <w:t>Visitor numbers are already back to last year’s level</w:t>
      </w:r>
      <w:commentRangeEnd w:id="0"/>
      <w:r>
        <w:rPr>
          <w:rStyle w:val="CommentReference"/>
        </w:rPr>
        <w:commentReference w:id="0"/>
      </w:r>
      <w:r>
        <w:t>, and the new study booths are booked most afternoons. The children’s floor is the last stage, with work starting in November.</w:t>
      </w:r>
    </w:p>
    <w:p>
      <w:pPr>
        <w:pStyle w:val="Heading1"/>
      </w:pPr>
      <w:r>
        <w:t>What changed</w:t>
      </w:r>
    </w:p>
    <w:p>
      <w:pPr>
        <w:pStyle w:val="ListBullet"/>
      </w:pPr>
      <w:r>
        <w:t>New lighting and acoustic panels in the reading room</w:t>
      </w:r>
    </w:p>
    <w:p>
      <w:pPr>
        <w:pStyle w:val="ListBullet"/>
      </w:pPr>
      <w:r>
        <w:t>Twelve bookable study booths with power at every desk</w:t>
      </w:r>
    </w:p>
    <w:p>
      <w:pPr>
        <w:pStyle w:val="ListBullet"/>
      </w:pPr>
      <w:r>
        <w:t>A step-free entrance from Quay Street</w:t>
      </w:r>
    </w:p>
    <w:p>
      <w:pPr>
        <w:pStyle w:val="Heading1"/>
      </w:pPr>
      <w:r>
        <w:t>Budget</w:t>
      </w:r>
    </w:p>
    <w:p>
      <w:r>
        <w:t>Spending is on track. The contingency covers the extra structural work found under the old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Spent</w:t>
            </w:r>
          </w:p>
        </w:tc>
      </w:tr>
      <w:tr>
        <w:tc>
          <w:tcPr>
            <w:tcW w:type="dxa" w:w="2880"/>
          </w:tcPr>
          <w:p>
            <w:r>
              <w:t>Reading room</w:t>
            </w:r>
          </w:p>
        </w:tc>
        <w:tc>
          <w:tcPr>
            <w:tcW w:type="dxa" w:w="2880"/>
          </w:tcPr>
          <w:p>
            <w:r>
              <w:t>$420,000</w:t>
            </w:r>
          </w:p>
        </w:tc>
        <w:tc>
          <w:tcPr>
            <w:tcW w:type="dxa" w:w="2880"/>
          </w:tcPr>
          <w:p>
            <w:r>
              <w:t>$408,500</w:t>
            </w:r>
          </w:p>
        </w:tc>
      </w:tr>
      <w:tr>
        <w:tc>
          <w:tcPr>
            <w:tcW w:type="dxa" w:w="2880"/>
          </w:tcPr>
          <w:p>
            <w:r>
              <w:t>Study booths</w:t>
            </w:r>
          </w:p>
        </w:tc>
        <w:tc>
          <w:tcPr>
            <w:tcW w:type="dxa" w:w="2880"/>
          </w:tcPr>
          <w:p>
            <w:r>
              <w:t>$96,000</w:t>
            </w:r>
          </w:p>
        </w:tc>
        <w:tc>
          <w:tcPr>
            <w:tcW w:type="dxa" w:w="2880"/>
          </w:tcPr>
          <w:p>
            <w:r>
              <w:t>$91,200</w:t>
            </w:r>
          </w:p>
        </w:tc>
      </w:tr>
      <w:tr>
        <w:tc>
          <w:tcPr>
            <w:tcW w:type="dxa" w:w="2880"/>
          </w:tcPr>
          <w:p>
            <w:r>
              <w:t>Children’s floor</w:t>
            </w:r>
          </w:p>
        </w:tc>
        <w:tc>
          <w:tcPr>
            <w:tcW w:type="dxa" w:w="2880"/>
          </w:tcPr>
          <w:p>
            <w:r>
              <w:t>$310,000</w:t>
            </w:r>
          </w:p>
        </w:tc>
        <w:tc>
          <w:tcPr>
            <w:tcW w:type="dxa" w:w="2880"/>
          </w:tcPr>
          <w:p>
            <w:r>
              <w:t>$12,000</w:t>
            </w:r>
          </w:p>
        </w:tc>
      </w:tr>
    </w:tbl>
    <w:p>
      <w:pPr>
        <w:pStyle w:val="Heading1"/>
      </w:pPr>
      <w:r>
        <w:t>Next steps</w:t>
      </w:r>
    </w:p>
    <w:p>
      <w:r>
        <w:t>The children’s floor closes on 3 November. Story time moves to the reading room’s east corner until the spring, and the holiday programme runs as usual.</w:t>
      </w:r>
    </w:p>
    <w:p>
      <w:r>
        <w:t>We will bring the final furniture order to the December meeting for approval, along with a revised opening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ya Chen" w:initials="MC" w:date="2026-10-23T03:51:31Z">
    <w:p>
      <w:pPr>
        <w:pStyle w:val="CommentText"/>
      </w:pPr>
      <w:r>
        <w:rPr>
          <w:rStyle w:val="CommentReference"/>
        </w:rPr>
        <w:annotationRef/>
      </w:r>
      <w:r>
        <w:t>Can we add the September figure here for comparison?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