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74D"/>
          <w:sz w:val="40"/>
          <w:szCs w:val="40"/>
        </w:rPr>
        <w:t xml:space="preserve">PROSE NAVIGATOR</w:t>
      </w:r>
    </w:p>
    <w:p>
      <w:pPr>
        <w:spacing w:after="60"/>
        <w:jc w:val="center"/>
      </w:pPr>
      <w:r>
        <w:rPr>
          <w:b/>
          <w:bCs/>
          <w:sz w:val="28"/>
          <w:szCs w:val="28"/>
        </w:rPr>
        <w:t xml:space="preserve">Cold-Start Workflow</w:t>
      </w:r>
    </w:p>
    <w:p>
      <w:pPr>
        <w:spacing w:after="60"/>
        <w:jc w:val="center"/>
      </w:pPr>
      <w:r>
        <w:rPr>
          <w:color w:val="555555"/>
          <w:sz w:val="22"/>
          <w:szCs w:val="22"/>
        </w:rPr>
        <w:t xml:space="preserve">From Grievance to Filed Complaint — the User Has No Case Yet</w:t>
      </w:r>
    </w:p>
    <w:p>
      <w:pPr>
        <w:spacing w:after="240"/>
        <w:jc w:val="center"/>
      </w:pPr>
      <w:r>
        <w:rPr>
          <w:i/>
          <w:iCs/>
          <w:color w:val="777777"/>
          <w:sz w:val="20"/>
          <w:szCs w:val="20"/>
        </w:rPr>
        <w:t xml:space="preserve">v1.0  |  July 18, 2026  |  Companion to Blueprint v1.0</w:t>
      </w:r>
    </w:p>
    <w:p>
      <w:pPr>
        <w:pStyle w:val="Heading1"/>
        <w:spacing w:after="160" w:before="360"/>
      </w:pPr>
      <w:r>
        <w:rPr>
          <w:b/>
          <w:bCs/>
          <w:color w:val="1B474D"/>
          <w:sz w:val="32"/>
          <w:szCs w:val="32"/>
        </w:rPr>
        <w:t xml:space="preserve">1.  Why This Workflow Matters</w:t>
      </w:r>
    </w:p>
    <w:p>
      <w:pPr>
        <w:spacing w:after="120" w:line="300"/>
        <w:jc w:val="left"/>
      </w:pPr>
      <w:r>
        <w:rPr>
          <w:sz w:val="22"/>
          <w:szCs w:val="22"/>
        </w:rPr>
        <w:t xml:space="preserve">The Workflow Blueprint (v1.0) starts when a court document arrives. That is the reactive workflow — the one for people already in litigation. This document covers the opposite starting point: a person has been wronged, wants to sue, and has nothing but the grievance in their head.</w:t>
      </w:r>
    </w:p>
    <w:p>
      <w:pPr>
        <w:spacing w:after="120" w:line="300"/>
        <w:jc w:val="left"/>
      </w:pPr>
      <w:r>
        <w:rPr>
          <w:sz w:val="22"/>
          <w:szCs w:val="22"/>
        </w:rPr>
        <w:t xml:space="preserve">This is the larger user base. Most people who need pro se help never had a lawyer to begin with. They have receipts, screenshots, and a story — no docket, no caption, no complaint. If ProSe Navigator only handles reactive work, it serves the tiny slice already inside the system. If it handles cold-start, it serves the entire pro se market.</w:t>
      </w:r>
    </w:p>
    <w:p>
      <w:pPr>
        <w:spacing w:after="120" w:line="300"/>
        <w:jc w:val="left"/>
      </w:pPr>
      <w:r>
        <w:rPr>
          <w:b/>
          <w:bCs/>
          <w:sz w:val="22"/>
          <w:szCs w:val="22"/>
        </w:rPr>
        <w:t xml:space="preserve">The design goal: </w:t>
      </w:r>
      <w:r>
        <w:rPr>
          <w:sz w:val="22"/>
          <w:szCs w:val="22"/>
        </w:rPr>
        <w:t xml:space="preserve">take a user from "Chase did me wrong" to "I have a filed complaint in the correct court under the correct claims with verified authorities and a proper caption" — without them needing to know what any of those words mean.</w:t>
      </w:r>
    </w:p>
    <w:p>
      <w:pPr>
        <w:pStyle w:val="Heading1"/>
        <w:spacing w:after="160" w:before="360"/>
      </w:pPr>
      <w:r>
        <w:rPr>
          <w:b/>
          <w:bCs/>
          <w:color w:val="1B474D"/>
          <w:sz w:val="32"/>
          <w:szCs w:val="32"/>
        </w:rPr>
        <w:t xml:space="preserve">2.  The Cold-Start Arc (Nine Phases)</w:t>
      </w:r>
    </w:p>
    <w:p>
      <w:pPr>
        <w:spacing w:after="120" w:line="300"/>
        <w:jc w:val="left"/>
      </w:pPr>
      <w:r>
        <w:rPr>
          <w:sz w:val="22"/>
          <w:szCs w:val="22"/>
        </w:rPr>
        <w:t xml:space="preserve">The full path from grievance to filed complaint is nine phases. Each phase has a clear gate — a specific artifact the user must have before advancing. The user cannot skip a phase, but the app can move fast through phases the user already has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rPr>
          <w:tblHeader/>
        </w:trPr>
        <w:tc>
          <w:tcPr>
            <w:tcW w:type="dxa" w:w="5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t>
            </w:r>
          </w:p>
        </w:tc>
        <w:tc>
          <w:tcPr>
            <w:tcW w:type="dxa" w:w="26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Phase</w:t>
            </w:r>
          </w:p>
        </w:tc>
        <w:tc>
          <w:tcPr>
            <w:tcW w:type="dxa" w:w="3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What Happens</w:t>
            </w:r>
          </w:p>
        </w:tc>
        <w:tc>
          <w:tcPr>
            <w:tcW w:type="dxa" w:w="30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Gate (Must Have Before Advancing)</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Story Intake</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User tells what happened, in their own words. App listens without correcting.</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A structured fact narrative: who, what, when, where, harm.</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2</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Evidence Inventory</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User uploads every document, receipt, text, screenshot, email, statement they have.</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A dated evidence index with each item classified.</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Legal Theory Discovery</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maps the facts to potential causes of action and gives the user a plain-English menu.</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User-selected claim theory (may be multiple).</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4</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Viability Check</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tests each claim against statute of limitations, standing, damages, jurisdiction, and exhaustion.</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A viability report — go / hold / no-go per claim.</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5</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Pre-Suit Steps</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produces demand letters, regulator complaints, and any statutorily required notices before suit.</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Proof of pre-suit notice and any exhaustion requirement satisfied.</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6</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Court Selection</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determines the correct court: federal vs. state, jurisdiction, venue, division, judge/magistrate.</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A named court with local rules loaded and filing method identified.</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7</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Complaint Drafting</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drafts the complaint with caption, jurisdictional statement, parties, facts, counts, prayer.</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A verified draft complaint with every citation checked.</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8</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Filing Packet</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assembles complaint + civil cover sheet + summons + IFP application (if applicable) + exhibits.</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A filing-ready packet with checklist and step-by-step submission instructions.</w:t>
            </w:r>
          </w:p>
        </w:tc>
      </w:tr>
      <w:tr>
        <w:tc>
          <w:tcPr>
            <w:tcW w:type="dxa" w:w="5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9</w:t>
            </w:r>
          </w:p>
        </w:tc>
        <w:tc>
          <w:tcPr>
            <w:tcW w:type="dxa" w:w="2600"/>
            <w:tcBorders>
              <w:top w:val="single" w:color="9B9B9B" w:sz="4"/>
              <w:left w:val="single" w:color="9B9B9B" w:sz="4"/>
              <w:bottom w:val="single" w:color="9B9B9B" w:sz="4"/>
              <w:right w:val="single" w:color="9B9B9B" w:sz="4"/>
            </w:tcBorders>
            <w:shd w:fill="E4EEF0" w:val="clear"/>
            <w:tcMar>
              <w:top w:type="dxa" w:w="80"/>
              <w:left w:type="dxa" w:w="120"/>
              <w:bottom w:type="dxa" w:w="80"/>
              <w:right w:type="dxa" w:w="120"/>
            </w:tcMar>
          </w:tcPr>
          <w:p>
            <w:pPr>
              <w:spacing w:after="40" w:line="280"/>
            </w:pPr>
            <w:r>
              <w:rPr>
                <w:b/>
                <w:bCs/>
                <w:sz w:val="20"/>
                <w:szCs w:val="20"/>
              </w:rPr>
              <w:t xml:space="preserve">Service and Docketing</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guides service of process, tracks the return date, and initializes the case ledger for the reactive workflow.</w:t>
            </w:r>
          </w:p>
        </w:tc>
        <w:tc>
          <w:tcPr>
            <w:tcW w:type="dxa" w:w="3060"/>
            <w:tcBorders>
              <w:top w:val="single" w:color="9B9B9B" w:sz="4"/>
              <w:left w:val="single" w:color="9B9B9B" w:sz="4"/>
              <w:bottom w:val="single" w:color="9B9B9B" w:sz="4"/>
              <w:right w:val="single" w:color="9B9B9B" w:sz="4"/>
            </w:tcBorders>
            <w:shd w:fill="F5E4E4" w:val="clear"/>
            <w:tcMar>
              <w:top w:type="dxa" w:w="80"/>
              <w:left w:type="dxa" w:w="120"/>
              <w:bottom w:type="dxa" w:w="80"/>
              <w:right w:type="dxa" w:w="120"/>
            </w:tcMar>
          </w:tcPr>
          <w:p>
            <w:pPr>
              <w:spacing w:after="40" w:line="280"/>
            </w:pPr>
            <w:r>
              <w:rPr>
                <w:sz w:val="20"/>
                <w:szCs w:val="20"/>
              </w:rPr>
              <w:t xml:space="preserve">Docket #, service completed, deadlines calibrated — case is now live.</w:t>
            </w:r>
          </w:p>
        </w:tc>
      </w:tr>
    </w:tbl>
    <w:p>
      <w:pPr>
        <w:spacing w:after="120" w:line="300"/>
        <w:jc w:val="left"/>
      </w:pPr>
      <w:r>
        <w:rPr>
          <w:sz w:val="22"/>
          <w:szCs w:val="22"/>
        </w:rPr>
        <w:t xml:space="preserve"/>
      </w:r>
    </w:p>
    <w:p>
      <w:pPr>
        <w:spacing w:after="120" w:line="300"/>
        <w:jc w:val="left"/>
      </w:pPr>
      <w:r>
        <w:rPr>
          <w:b/>
          <w:bCs/>
          <w:sz w:val="22"/>
          <w:szCs w:val="22"/>
        </w:rPr>
        <w:t xml:space="preserve">Design note: </w:t>
      </w:r>
      <w:r>
        <w:rPr>
          <w:sz w:val="22"/>
          <w:szCs w:val="22"/>
        </w:rPr>
        <w:t xml:space="preserve">The gates are non-negotiable. The user cannot draft a complaint without a viability report. They cannot file without pre-suit notice where the law requires it. The gates are what stop pro se filings from getting dismissed on day one.</w:t>
      </w:r>
    </w:p>
    <w:p>
      <w:pPr>
        <w:pStyle w:val="Heading1"/>
        <w:spacing w:after="160" w:before="360"/>
      </w:pPr>
      <w:r>
        <w:rPr>
          <w:b/>
          <w:bCs/>
          <w:color w:val="1B474D"/>
          <w:sz w:val="32"/>
          <w:szCs w:val="32"/>
        </w:rPr>
        <w:t xml:space="preserve">3.  Phase 1 — Story Intake</w:t>
      </w:r>
    </w:p>
    <w:p>
      <w:pPr>
        <w:spacing w:after="120" w:line="300"/>
        <w:jc w:val="left"/>
      </w:pPr>
      <w:r>
        <w:rPr>
          <w:b/>
          <w:bCs/>
          <w:sz w:val="22"/>
          <w:szCs w:val="22"/>
        </w:rPr>
        <w:t xml:space="preserve">The problem: </w:t>
      </w:r>
      <w:r>
        <w:rPr>
          <w:sz w:val="22"/>
          <w:szCs w:val="22"/>
        </w:rPr>
        <w:t xml:space="preserve">most pro se litigants cannot cleanly separate "what happened" from "what I felt about it." Their first telling is emotional and unstructured. If the app corrects them or asks legal questions too early, the story gets warped by what they think the app wants to hear.</w:t>
      </w:r>
    </w:p>
    <w:p>
      <w:pPr>
        <w:spacing w:after="120" w:line="300"/>
        <w:jc w:val="left"/>
      </w:pPr>
      <w:r>
        <w:rPr>
          <w:b/>
          <w:bCs/>
          <w:sz w:val="22"/>
          <w:szCs w:val="22"/>
        </w:rPr>
        <w:t xml:space="preserve">The mechanic: </w:t>
      </w:r>
      <w:r>
        <w:rPr>
          <w:sz w:val="22"/>
          <w:szCs w:val="22"/>
        </w:rPr>
        <w:t xml:space="preserve">the app listens first. No interruptions, no legal words. The user is invited to tell the whole story in their own voice, either by typing or by voice-to-text. The app takes notes silently.</w:t>
      </w:r>
    </w:p>
    <w:p>
      <w:pPr>
        <w:pStyle w:val="Heading2"/>
        <w:spacing w:after="120" w:before="280"/>
      </w:pPr>
      <w:r>
        <w:rPr>
          <w:b/>
          <w:bCs/>
          <w:sz w:val="26"/>
          <w:szCs w:val="26"/>
        </w:rPr>
        <w:t xml:space="preserve">3.1  What the app extracts silently</w:t>
      </w:r>
    </w:p>
    <w:p>
      <w:pPr>
        <w:pStyle w:val="ListParagraph"/>
        <w:numPr>
          <w:ilvl w:val="0"/>
          <w:numId w:val="2"/>
        </w:numPr>
        <w:spacing w:after="80" w:line="300"/>
      </w:pPr>
      <w:r>
        <w:rPr>
          <w:sz w:val="22"/>
          <w:szCs w:val="22"/>
        </w:rPr>
        <w:t xml:space="preserve">Who: the defendant(s), by best available name.</w:t>
      </w:r>
    </w:p>
    <w:p>
      <w:pPr>
        <w:pStyle w:val="ListParagraph"/>
        <w:numPr>
          <w:ilvl w:val="0"/>
          <w:numId w:val="2"/>
        </w:numPr>
        <w:spacing w:after="80" w:line="300"/>
      </w:pPr>
      <w:r>
        <w:rPr>
          <w:sz w:val="22"/>
          <w:szCs w:val="22"/>
        </w:rPr>
        <w:t xml:space="preserve">What: the specific act(s) or omission(s) at issue.</w:t>
      </w:r>
    </w:p>
    <w:p>
      <w:pPr>
        <w:pStyle w:val="ListParagraph"/>
        <w:numPr>
          <w:ilvl w:val="0"/>
          <w:numId w:val="2"/>
        </w:numPr>
        <w:spacing w:after="80" w:line="300"/>
      </w:pPr>
      <w:r>
        <w:rPr>
          <w:sz w:val="22"/>
          <w:szCs w:val="22"/>
        </w:rPr>
        <w:t xml:space="preserve">When: the dates or approximate dates.</w:t>
      </w:r>
    </w:p>
    <w:p>
      <w:pPr>
        <w:pStyle w:val="ListParagraph"/>
        <w:numPr>
          <w:ilvl w:val="0"/>
          <w:numId w:val="2"/>
        </w:numPr>
        <w:spacing w:after="80" w:line="300"/>
      </w:pPr>
      <w:r>
        <w:rPr>
          <w:sz w:val="22"/>
          <w:szCs w:val="22"/>
        </w:rPr>
        <w:t xml:space="preserve">Where: the state where the conduct occurred, and whether it involves interstate commerce.</w:t>
      </w:r>
    </w:p>
    <w:p>
      <w:pPr>
        <w:pStyle w:val="ListParagraph"/>
        <w:numPr>
          <w:ilvl w:val="0"/>
          <w:numId w:val="2"/>
        </w:numPr>
        <w:spacing w:after="80" w:line="300"/>
      </w:pPr>
      <w:r>
        <w:rPr>
          <w:sz w:val="22"/>
          <w:szCs w:val="22"/>
        </w:rPr>
        <w:t xml:space="preserve">Harm: money lost, credit damaged, physical injury, emotional distress, opportunity lost.</w:t>
      </w:r>
    </w:p>
    <w:p>
      <w:pPr>
        <w:pStyle w:val="ListParagraph"/>
        <w:numPr>
          <w:ilvl w:val="0"/>
          <w:numId w:val="2"/>
        </w:numPr>
        <w:spacing w:after="80" w:line="300"/>
      </w:pPr>
      <w:r>
        <w:rPr>
          <w:sz w:val="22"/>
          <w:szCs w:val="22"/>
        </w:rPr>
        <w:t xml:space="preserve">Prior contact: any letters, calls, emails, or complaints the user already made.</w:t>
      </w:r>
    </w:p>
    <w:p>
      <w:pPr>
        <w:pStyle w:val="ListParagraph"/>
        <w:numPr>
          <w:ilvl w:val="0"/>
          <w:numId w:val="2"/>
        </w:numPr>
        <w:spacing w:after="80" w:line="300"/>
      </w:pPr>
      <w:r>
        <w:rPr>
          <w:sz w:val="22"/>
          <w:szCs w:val="22"/>
        </w:rPr>
        <w:t xml:space="preserve">Deadlines the user mentions in passing (a 30-day letter, a lease term, a policy notice).</w:t>
      </w:r>
    </w:p>
    <w:p>
      <w:pPr>
        <w:pStyle w:val="Heading2"/>
        <w:spacing w:after="120" w:before="280"/>
      </w:pPr>
      <w:r>
        <w:rPr>
          <w:b/>
          <w:bCs/>
          <w:sz w:val="26"/>
          <w:szCs w:val="26"/>
        </w:rPr>
        <w:t xml:space="preserve">3.2  What the app asks after the story is told</w:t>
      </w:r>
    </w:p>
    <w:p>
      <w:pPr>
        <w:spacing w:after="120" w:line="300"/>
        <w:jc w:val="left"/>
      </w:pPr>
      <w:r>
        <w:rPr>
          <w:sz w:val="22"/>
          <w:szCs w:val="22"/>
        </w:rPr>
        <w:t xml:space="preserve">Only after the user has finished, the app returns with a small number of targeted follow-ups. These are gap-fillers, not cross-examination:</w:t>
      </w:r>
    </w:p>
    <w:p>
      <w:pPr>
        <w:pStyle w:val="ListParagraph"/>
        <w:numPr>
          <w:ilvl w:val="0"/>
          <w:numId w:val="2"/>
        </w:numPr>
        <w:spacing w:after="80" w:line="300"/>
      </w:pPr>
      <w:r>
        <w:rPr>
          <w:sz w:val="22"/>
          <w:szCs w:val="22"/>
        </w:rPr>
        <w:t xml:space="preserve">"Do you remember approximately when this first happened?" — anchors the statute of limitations.</w:t>
      </w:r>
    </w:p>
    <w:p>
      <w:pPr>
        <w:pStyle w:val="ListParagraph"/>
        <w:numPr>
          <w:ilvl w:val="0"/>
          <w:numId w:val="2"/>
        </w:numPr>
        <w:spacing w:after="80" w:line="300"/>
      </w:pPr>
      <w:r>
        <w:rPr>
          <w:sz w:val="22"/>
          <w:szCs w:val="22"/>
        </w:rPr>
        <w:t xml:space="preserve">"Is Chase (or the defendant) the only entity involved, or were others?" — captures joint tortfeasors and necessary parties.</w:t>
      </w:r>
    </w:p>
    <w:p>
      <w:pPr>
        <w:pStyle w:val="ListParagraph"/>
        <w:numPr>
          <w:ilvl w:val="0"/>
          <w:numId w:val="2"/>
        </w:numPr>
        <w:spacing w:after="80" w:line="300"/>
      </w:pPr>
      <w:r>
        <w:rPr>
          <w:sz w:val="22"/>
          <w:szCs w:val="22"/>
        </w:rPr>
        <w:t xml:space="preserve">"Where do you live right now?" — anchors venue and diversity analysis.</w:t>
      </w:r>
    </w:p>
    <w:p>
      <w:pPr>
        <w:pStyle w:val="ListParagraph"/>
        <w:numPr>
          <w:ilvl w:val="0"/>
          <w:numId w:val="2"/>
        </w:numPr>
        <w:spacing w:after="80" w:line="300"/>
      </w:pPr>
      <w:r>
        <w:rPr>
          <w:sz w:val="22"/>
          <w:szCs w:val="22"/>
        </w:rPr>
        <w:t xml:space="preserve">"Have you signed anything with them, like an account agreement or arbitration clause?" — flags arbitration risk early.</w:t>
      </w:r>
    </w:p>
    <w:p>
      <w:pPr>
        <w:pStyle w:val="ListParagraph"/>
        <w:numPr>
          <w:ilvl w:val="0"/>
          <w:numId w:val="2"/>
        </w:numPr>
        <w:spacing w:after="80" w:line="300"/>
      </w:pPr>
      <w:r>
        <w:rPr>
          <w:sz w:val="22"/>
          <w:szCs w:val="22"/>
        </w:rPr>
        <w:t xml:space="preserve">"How much money, roughly, are you out?" — anchors amount-in-controversy and small-claims routing.</w:t>
      </w:r>
    </w:p>
    <w:p>
      <w:pPr>
        <w:pStyle w:val="Heading2"/>
        <w:spacing w:after="120" w:before="280"/>
      </w:pPr>
      <w:r>
        <w:rPr>
          <w:b/>
          <w:bCs/>
          <w:sz w:val="26"/>
          <w:szCs w:val="26"/>
        </w:rPr>
        <w:t xml:space="preserve">3.3  The output</w:t>
      </w:r>
    </w:p>
    <w:p>
      <w:pPr>
        <w:spacing w:after="120" w:line="300"/>
        <w:jc w:val="left"/>
      </w:pPr>
      <w:r>
        <w:rPr>
          <w:sz w:val="22"/>
          <w:szCs w:val="22"/>
        </w:rPr>
        <w:t xml:space="preserve">A structured fact narrative — the app's summary of the story in neutral, legally-clean language, with the user's original words preserved in the sidebar for reference. User approves before advancing to Phase 2.</w:t>
      </w:r>
    </w:p>
    <w:p>
      <w:pPr>
        <w:pStyle w:val="Heading2"/>
        <w:spacing w:after="120" w:before="280"/>
      </w:pPr>
      <w:r>
        <w:rPr>
          <w:b/>
          <w:bCs/>
          <w:sz w:val="26"/>
          <w:szCs w:val="26"/>
        </w:rPr>
        <w:t xml:space="preserve">3.4  Anti-pattern to avoid</w:t>
      </w:r>
    </w:p>
    <w:p>
      <w:pPr>
        <w:spacing w:after="120" w:line="300"/>
        <w:jc w:val="left"/>
      </w:pPr>
      <w:r>
        <w:rPr>
          <w:sz w:val="22"/>
          <w:szCs w:val="22"/>
        </w:rPr>
        <w:t xml:space="preserve">Do not launch into legal theory during intake. The user does not yet know if they have a claim. Do not tell them they have "an ECOA violation" in Phase 1. Tell them nothing about law. Just structure their story.</w:t>
      </w:r>
    </w:p>
    <w:p>
      <w:pPr>
        <w:pStyle w:val="Heading1"/>
        <w:spacing w:after="160" w:before="360"/>
      </w:pPr>
      <w:r>
        <w:rPr>
          <w:b/>
          <w:bCs/>
          <w:color w:val="1B474D"/>
          <w:sz w:val="32"/>
          <w:szCs w:val="32"/>
        </w:rPr>
        <w:t xml:space="preserve">4.  Phase 2 — Evidence Inventory</w:t>
      </w:r>
    </w:p>
    <w:p>
      <w:pPr>
        <w:spacing w:after="120" w:line="300"/>
        <w:jc w:val="left"/>
      </w:pPr>
      <w:r>
        <w:rPr>
          <w:b/>
          <w:bCs/>
          <w:sz w:val="22"/>
          <w:szCs w:val="22"/>
        </w:rPr>
        <w:t xml:space="preserve">The problem: </w:t>
      </w:r>
      <w:r>
        <w:rPr>
          <w:sz w:val="22"/>
          <w:szCs w:val="22"/>
        </w:rPr>
        <w:t xml:space="preserve">most pro se litigants have evidence scattered across their phone, email, physical mail, and memory. They cannot tell you what they have without going to look. And they do not know which items matter.</w:t>
      </w:r>
    </w:p>
    <w:p>
      <w:pPr>
        <w:spacing w:after="120" w:line="300"/>
        <w:jc w:val="left"/>
      </w:pPr>
      <w:r>
        <w:rPr>
          <w:b/>
          <w:bCs/>
          <w:sz w:val="22"/>
          <w:szCs w:val="22"/>
        </w:rPr>
        <w:t xml:space="preserve">The mechanic: </w:t>
      </w:r>
      <w:r>
        <w:rPr>
          <w:sz w:val="22"/>
          <w:szCs w:val="22"/>
        </w:rPr>
        <w:t xml:space="preserve">the app asks the user to upload everything they think might be related — no filtering. The app classifies, dates, and organizes it.</w:t>
      </w:r>
    </w:p>
    <w:p>
      <w:pPr>
        <w:pStyle w:val="Heading2"/>
        <w:spacing w:after="120" w:before="280"/>
      </w:pPr>
      <w:r>
        <w:rPr>
          <w:b/>
          <w:bCs/>
          <w:sz w:val="26"/>
          <w:szCs w:val="26"/>
        </w:rPr>
        <w:t xml:space="preserve">4.1  What the app accepts</w:t>
      </w:r>
    </w:p>
    <w:p>
      <w:pPr>
        <w:pStyle w:val="ListParagraph"/>
        <w:numPr>
          <w:ilvl w:val="0"/>
          <w:numId w:val="2"/>
        </w:numPr>
        <w:spacing w:after="80" w:line="300"/>
      </w:pPr>
      <w:r>
        <w:rPr>
          <w:sz w:val="22"/>
          <w:szCs w:val="22"/>
        </w:rPr>
        <w:t xml:space="preserve">PDFs (letters, statements, contracts, notices, court papers).</w:t>
      </w:r>
    </w:p>
    <w:p>
      <w:pPr>
        <w:pStyle w:val="ListParagraph"/>
        <w:numPr>
          <w:ilvl w:val="0"/>
          <w:numId w:val="2"/>
        </w:numPr>
        <w:spacing w:after="80" w:line="300"/>
      </w:pPr>
      <w:r>
        <w:rPr>
          <w:sz w:val="22"/>
          <w:szCs w:val="22"/>
        </w:rPr>
        <w:t xml:space="preserve">Images (photos of physical mail, screenshots of texts, screenshots of dashboards).</w:t>
      </w:r>
    </w:p>
    <w:p>
      <w:pPr>
        <w:pStyle w:val="ListParagraph"/>
        <w:numPr>
          <w:ilvl w:val="0"/>
          <w:numId w:val="2"/>
        </w:numPr>
        <w:spacing w:after="80" w:line="300"/>
      </w:pPr>
      <w:r>
        <w:rPr>
          <w:sz w:val="22"/>
          <w:szCs w:val="22"/>
        </w:rPr>
        <w:t xml:space="preserve">Audio/video (voicemails, phone recordings — subject to state recording law).</w:t>
      </w:r>
    </w:p>
    <w:p>
      <w:pPr>
        <w:pStyle w:val="ListParagraph"/>
        <w:numPr>
          <w:ilvl w:val="0"/>
          <w:numId w:val="2"/>
        </w:numPr>
        <w:spacing w:after="80" w:line="300"/>
      </w:pPr>
      <w:r>
        <w:rPr>
          <w:sz w:val="22"/>
          <w:szCs w:val="22"/>
        </w:rPr>
        <w:t xml:space="preserve">Emails (via forward-to-address or connector).</w:t>
      </w:r>
    </w:p>
    <w:p>
      <w:pPr>
        <w:pStyle w:val="ListParagraph"/>
        <w:numPr>
          <w:ilvl w:val="0"/>
          <w:numId w:val="2"/>
        </w:numPr>
        <w:spacing w:after="80" w:line="300"/>
      </w:pPr>
      <w:r>
        <w:rPr>
          <w:sz w:val="22"/>
          <w:szCs w:val="22"/>
        </w:rPr>
        <w:t xml:space="preserve">Free-text descriptions of things the user remembers but cannot produce.</w:t>
      </w:r>
    </w:p>
    <w:p>
      <w:pPr>
        <w:pStyle w:val="Heading2"/>
        <w:spacing w:after="120" w:before="280"/>
      </w:pPr>
      <w:r>
        <w:rPr>
          <w:b/>
          <w:bCs/>
          <w:sz w:val="26"/>
          <w:szCs w:val="26"/>
        </w:rPr>
        <w:t xml:space="preserve">4.2  What the app does automatically</w:t>
      </w:r>
    </w:p>
    <w:p>
      <w:pPr>
        <w:pStyle w:val="ListParagraph"/>
        <w:numPr>
          <w:ilvl w:val="0"/>
          <w:numId w:val="2"/>
        </w:numPr>
        <w:spacing w:after="80" w:line="300"/>
      </w:pPr>
      <w:r>
        <w:rPr>
          <w:sz w:val="22"/>
          <w:szCs w:val="22"/>
        </w:rPr>
        <w:t xml:space="preserve">OCR every image and PDF.</w:t>
      </w:r>
    </w:p>
    <w:p>
      <w:pPr>
        <w:pStyle w:val="ListParagraph"/>
        <w:numPr>
          <w:ilvl w:val="0"/>
          <w:numId w:val="2"/>
        </w:numPr>
        <w:spacing w:after="80" w:line="300"/>
      </w:pPr>
      <w:r>
        <w:rPr>
          <w:sz w:val="22"/>
          <w:szCs w:val="22"/>
        </w:rPr>
        <w:t xml:space="preserve">Extract dates, dollar amounts, account numbers, and named parties from every item.</w:t>
      </w:r>
    </w:p>
    <w:p>
      <w:pPr>
        <w:pStyle w:val="ListParagraph"/>
        <w:numPr>
          <w:ilvl w:val="0"/>
          <w:numId w:val="2"/>
        </w:numPr>
        <w:spacing w:after="80" w:line="300"/>
      </w:pPr>
      <w:r>
        <w:rPr>
          <w:sz w:val="22"/>
          <w:szCs w:val="22"/>
        </w:rPr>
        <w:t xml:space="preserve">Classify each item by type (contract, notice, statement, correspondence, receipt, screenshot, physical evidence, testimony).</w:t>
      </w:r>
    </w:p>
    <w:p>
      <w:pPr>
        <w:pStyle w:val="ListParagraph"/>
        <w:numPr>
          <w:ilvl w:val="0"/>
          <w:numId w:val="2"/>
        </w:numPr>
        <w:spacing w:after="80" w:line="300"/>
      </w:pPr>
      <w:r>
        <w:rPr>
          <w:sz w:val="22"/>
          <w:szCs w:val="22"/>
        </w:rPr>
        <w:t xml:space="preserve">Build an evidence index with a stable ID for each item.</w:t>
      </w:r>
    </w:p>
    <w:p>
      <w:pPr>
        <w:pStyle w:val="ListParagraph"/>
        <w:numPr>
          <w:ilvl w:val="0"/>
          <w:numId w:val="2"/>
        </w:numPr>
        <w:spacing w:after="80" w:line="300"/>
      </w:pPr>
      <w:r>
        <w:rPr>
          <w:sz w:val="22"/>
          <w:szCs w:val="22"/>
        </w:rPr>
        <w:t xml:space="preserve">Flag missing items the story implied but no evidence supports (the "we heard about X but see no proof of X" list).</w:t>
      </w:r>
    </w:p>
    <w:p>
      <w:pPr>
        <w:pStyle w:val="Heading2"/>
        <w:spacing w:after="120" w:before="280"/>
      </w:pPr>
      <w:r>
        <w:rPr>
          <w:b/>
          <w:bCs/>
          <w:sz w:val="26"/>
          <w:szCs w:val="26"/>
        </w:rPr>
        <w:t xml:space="preserve">4.3  What the app asks the user to obtain</w:t>
      </w:r>
    </w:p>
    <w:p>
      <w:pPr>
        <w:spacing w:after="120" w:line="300"/>
        <w:jc w:val="left"/>
      </w:pPr>
      <w:r>
        <w:rPr>
          <w:sz w:val="22"/>
          <w:szCs w:val="22"/>
        </w:rPr>
        <w:t xml:space="preserve">For any material fact with no supporting evidence, the app tells the user exactly where to look and how to get it:</w:t>
      </w:r>
    </w:p>
    <w:p>
      <w:pPr>
        <w:pStyle w:val="ListParagraph"/>
        <w:numPr>
          <w:ilvl w:val="0"/>
          <w:numId w:val="2"/>
        </w:numPr>
        <w:spacing w:after="80" w:line="300"/>
      </w:pPr>
      <w:r>
        <w:rPr>
          <w:sz w:val="22"/>
          <w:szCs w:val="22"/>
        </w:rPr>
        <w:t xml:space="preserve">"Your bank statement for December 2025 — download it from Chase.com under Statements &amp; Documents."</w:t>
      </w:r>
    </w:p>
    <w:p>
      <w:pPr>
        <w:pStyle w:val="ListParagraph"/>
        <w:numPr>
          <w:ilvl w:val="0"/>
          <w:numId w:val="2"/>
        </w:numPr>
        <w:spacing w:after="80" w:line="300"/>
      </w:pPr>
      <w:r>
        <w:rPr>
          <w:sz w:val="22"/>
          <w:szCs w:val="22"/>
        </w:rPr>
        <w:t xml:space="preserve">"The certified-mail green card — check your paper mail or usps.com tracking history."</w:t>
      </w:r>
    </w:p>
    <w:p>
      <w:pPr>
        <w:pStyle w:val="ListParagraph"/>
        <w:numPr>
          <w:ilvl w:val="0"/>
          <w:numId w:val="2"/>
        </w:numPr>
        <w:spacing w:after="80" w:line="300"/>
      </w:pPr>
      <w:r>
        <w:rPr>
          <w:sz w:val="22"/>
          <w:szCs w:val="22"/>
        </w:rPr>
        <w:t xml:space="preserve">"The account agreement — request it in writing from Chase; they must provide a copy under 12 C.F.R. § 1026.</w:t>
      </w:r>
    </w:p>
    <w:p>
      <w:pPr>
        <w:pStyle w:val="ListParagraph"/>
        <w:numPr>
          <w:ilvl w:val="0"/>
          <w:numId w:val="2"/>
        </w:numPr>
        <w:spacing w:after="80" w:line="300"/>
      </w:pPr>
      <w:r>
        <w:rPr>
          <w:sz w:val="22"/>
          <w:szCs w:val="22"/>
        </w:rPr>
        <w:t xml:space="preserve">"The credit report entry — pull a free report at annualcreditreport.com."</w:t>
      </w:r>
    </w:p>
    <w:p>
      <w:pPr>
        <w:pStyle w:val="Heading2"/>
        <w:spacing w:after="120" w:before="280"/>
      </w:pPr>
      <w:r>
        <w:rPr>
          <w:b/>
          <w:bCs/>
          <w:sz w:val="26"/>
          <w:szCs w:val="26"/>
        </w:rPr>
        <w:t xml:space="preserve">4.4  The output</w:t>
      </w:r>
    </w:p>
    <w:p>
      <w:pPr>
        <w:spacing w:after="120" w:line="300"/>
        <w:jc w:val="left"/>
      </w:pPr>
      <w:r>
        <w:rPr>
          <w:sz w:val="22"/>
          <w:szCs w:val="22"/>
        </w:rPr>
        <w:t xml:space="preserve">A dated, indexed evidence table. Each row: item ID, date, type, parties involved, dollar amount if any, and a one-line description. This becomes the exhibit list for every future filing.</w:t>
      </w:r>
    </w:p>
    <w:p>
      <w:pPr>
        <w:pStyle w:val="Heading1"/>
        <w:spacing w:after="160" w:before="360"/>
      </w:pPr>
      <w:r>
        <w:rPr>
          <w:b/>
          <w:bCs/>
          <w:color w:val="1B474D"/>
          <w:sz w:val="32"/>
          <w:szCs w:val="32"/>
        </w:rPr>
        <w:t xml:space="preserve">5.  Phase 3 — Legal Theory Discovery</w:t>
      </w:r>
    </w:p>
    <w:p>
      <w:pPr>
        <w:spacing w:after="120" w:line="300"/>
        <w:jc w:val="left"/>
      </w:pPr>
      <w:r>
        <w:rPr>
          <w:b/>
          <w:bCs/>
          <w:sz w:val="22"/>
          <w:szCs w:val="22"/>
        </w:rPr>
        <w:t xml:space="preserve">The problem: </w:t>
      </w:r>
      <w:r>
        <w:rPr>
          <w:sz w:val="22"/>
          <w:szCs w:val="22"/>
        </w:rPr>
        <w:t xml:space="preserve">the user knows they were wronged but not what to call it. "Chase stole my money" could be conversion, breach of contract, violation of the Truth in Lending Act, ECOA, UDAP, or fraud — each with different elements, different damages, different statutes of limitations, and different forums.</w:t>
      </w:r>
    </w:p>
    <w:p>
      <w:pPr>
        <w:spacing w:after="120" w:line="300"/>
        <w:jc w:val="left"/>
      </w:pPr>
      <w:r>
        <w:rPr>
          <w:b/>
          <w:bCs/>
          <w:sz w:val="22"/>
          <w:szCs w:val="22"/>
        </w:rPr>
        <w:t xml:space="preserve">The mechanic: </w:t>
      </w:r>
      <w:r>
        <w:rPr>
          <w:sz w:val="22"/>
          <w:szCs w:val="22"/>
        </w:rPr>
        <w:t xml:space="preserve">the app maps the facts to potential causes of action from a curated legal-theory library, then presents the user with a plain-English menu of options.</w:t>
      </w:r>
    </w:p>
    <w:p>
      <w:pPr>
        <w:pStyle w:val="Heading2"/>
        <w:spacing w:after="120" w:before="280"/>
      </w:pPr>
      <w:r>
        <w:rPr>
          <w:b/>
          <w:bCs/>
          <w:sz w:val="26"/>
          <w:szCs w:val="26"/>
        </w:rPr>
        <w:t xml:space="preserve">5.1  How the mapping works</w:t>
      </w:r>
    </w:p>
    <w:p>
      <w:pPr>
        <w:spacing w:after="120" w:line="300"/>
        <w:jc w:val="left"/>
      </w:pPr>
      <w:r>
        <w:rPr>
          <w:sz w:val="22"/>
          <w:szCs w:val="22"/>
        </w:rPr>
        <w:t xml:space="preserve">The app has a case-type router that pattern-matches the fact narrative against common pro se claim types. For a banking dispute, the router considers: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Fact pattern in the story</w:t>
            </w:r>
          </w:p>
        </w:tc>
        <w:tc>
          <w:tcPr>
            <w:tcW w:type="dxa" w:w="3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Candidate causes of action</w:t>
            </w:r>
          </w:p>
        </w:tc>
        <w:tc>
          <w:tcPr>
            <w:tcW w:type="dxa" w:w="35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Key elements the app will verify against evidence</w:t>
            </w:r>
          </w:p>
        </w:tc>
      </w:tr>
      <w:tr>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Credit application denied without written notice</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ECOA § 1691(d); FCRA § 1681m; state UDAP</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Application submitted, adverse action taken, no timely written notice.</w:t>
            </w:r>
          </w:p>
        </w:tc>
      </w:tr>
      <w:tr>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Bank retained instrument without dishonor or return</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UCC 3-501/3-502/3-503/3-505; conversion (3-420); breach of good faith</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Presentment, custody, no timely dishonor, no accounting.</w:t>
            </w:r>
          </w:p>
        </w:tc>
      </w:tr>
      <w:tr>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Unauthorized charges on account</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EFTA § 1693g (electronic); TILA § 1643 (credit); breach of contract</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Notice within statutory window, provisional recredit obligations.</w:t>
            </w:r>
          </w:p>
        </w:tc>
      </w:tr>
      <w:tr>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Debt reported inaccurately to credit bureau</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FCRA § 1681s-2 (furnisher); FDCPA if debt collector</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Dispute filed with bureau, inaccurate reporting continued, damages.</w:t>
            </w:r>
          </w:p>
        </w:tc>
      </w:tr>
      <w:tr>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Account frozen or closed without notice</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Breach of deposit agreement; state UDAP; possibly Reg CC violations</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Deposit agreement terms, notice obligations, damages from freeze.</w:t>
            </w:r>
          </w:p>
        </w:tc>
      </w:tr>
      <w:tr>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Discrimination — treated differently than similarly-situated customers</w:t>
            </w:r>
          </w:p>
        </w:tc>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ECOA § 1691 (credit); Fair Housing Act (housing loans); state civil rights</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Protected-class evidence, similarly-situated comparators, causation.</w:t>
            </w:r>
          </w:p>
        </w:tc>
      </w:tr>
    </w:tbl>
    <w:p>
      <w:pPr>
        <w:pStyle w:val="Heading2"/>
        <w:spacing w:after="120" w:before="280"/>
      </w:pPr>
      <w:r>
        <w:rPr>
          <w:b/>
          <w:bCs/>
          <w:sz w:val="26"/>
          <w:szCs w:val="26"/>
        </w:rPr>
        <w:t xml:space="preserve">5.2  How the menu is presented to the user</w:t>
      </w:r>
    </w:p>
    <w:p>
      <w:pPr>
        <w:spacing w:after="120" w:line="300"/>
        <w:jc w:val="left"/>
      </w:pPr>
      <w:r>
        <w:rPr>
          <w:sz w:val="22"/>
          <w:szCs w:val="22"/>
        </w:rPr>
        <w:t xml:space="preserve">Not by statute number. In plain English:</w:t>
      </w:r>
    </w:p>
    <w:p>
      <w:pPr>
        <w:pStyle w:val="ListParagraph"/>
        <w:numPr>
          <w:ilvl w:val="0"/>
          <w:numId w:val="2"/>
        </w:numPr>
        <w:spacing w:after="80" w:line="300"/>
      </w:pPr>
      <w:r>
        <w:rPr>
          <w:sz w:val="22"/>
          <w:szCs w:val="22"/>
        </w:rPr>
        <w:t xml:space="preserve">"You applied for credit and never got a written explanation. That is called an ECOA violation. If we can prove it, you can get statutory damages plus attorney fees plus punitive damages up to $10,000."</w:t>
      </w:r>
    </w:p>
    <w:p>
      <w:pPr>
        <w:pStyle w:val="ListParagraph"/>
        <w:numPr>
          <w:ilvl w:val="0"/>
          <w:numId w:val="2"/>
        </w:numPr>
        <w:spacing w:after="80" w:line="300"/>
      </w:pPr>
      <w:r>
        <w:rPr>
          <w:sz w:val="22"/>
          <w:szCs w:val="22"/>
        </w:rPr>
        <w:t xml:space="preserve">"You gave the bank a document worth money and they kept it without responding. There are several ways to sue for that — the strongest is called conversion under state law."</w:t>
      </w:r>
    </w:p>
    <w:p>
      <w:pPr>
        <w:pStyle w:val="ListParagraph"/>
        <w:numPr>
          <w:ilvl w:val="0"/>
          <w:numId w:val="2"/>
        </w:numPr>
        <w:spacing w:after="80" w:line="300"/>
      </w:pPr>
      <w:r>
        <w:rPr>
          <w:sz w:val="22"/>
          <w:szCs w:val="22"/>
        </w:rPr>
        <w:t xml:space="preserve">"They reported bad information to your credit report after you disputed it. That is a Fair Credit Reporting Act claim. The damages include actual harm plus up to $1,000 statutory."</w:t>
      </w:r>
    </w:p>
    <w:p>
      <w:pPr>
        <w:pStyle w:val="Heading2"/>
        <w:spacing w:after="120" w:before="280"/>
      </w:pPr>
      <w:r>
        <w:rPr>
          <w:b/>
          <w:bCs/>
          <w:sz w:val="26"/>
          <w:szCs w:val="26"/>
        </w:rPr>
        <w:t xml:space="preserve">5.3  What the app is honest about</w:t>
      </w:r>
    </w:p>
    <w:p>
      <w:pPr>
        <w:spacing w:after="120" w:line="300"/>
        <w:jc w:val="left"/>
      </w:pPr>
      <w:r>
        <w:rPr>
          <w:sz w:val="22"/>
          <w:szCs w:val="22"/>
        </w:rPr>
        <w:t xml:space="preserve">The app tells the user which claims are strong, which are marginal, and which are unavailable. It does not sell them on filing something weak just to have a case. If the strongest theory is a state-court small-claims case for $5,000, the app says so — even though a federal case sounds more impressive.</w:t>
      </w:r>
    </w:p>
    <w:p>
      <w:pPr>
        <w:pStyle w:val="Heading1"/>
        <w:spacing w:after="160" w:before="360"/>
      </w:pPr>
      <w:r>
        <w:rPr>
          <w:b/>
          <w:bCs/>
          <w:color w:val="1B474D"/>
          <w:sz w:val="32"/>
          <w:szCs w:val="32"/>
        </w:rPr>
        <w:t xml:space="preserve">6.  Phase 4 — Viability Check</w:t>
      </w:r>
    </w:p>
    <w:p>
      <w:pPr>
        <w:spacing w:after="120" w:line="300"/>
        <w:jc w:val="left"/>
      </w:pPr>
      <w:r>
        <w:rPr>
          <w:b/>
          <w:bCs/>
          <w:sz w:val="22"/>
          <w:szCs w:val="22"/>
        </w:rPr>
        <w:t xml:space="preserve">The problem: </w:t>
      </w:r>
      <w:r>
        <w:rPr>
          <w:sz w:val="22"/>
          <w:szCs w:val="22"/>
        </w:rPr>
        <w:t xml:space="preserve">a claim with good facts can still be dead on arrival if the statute of limitations expired, the wrong court is chosen, damages are speculative, standing is missing, or a required pre-suit step was skipped.</w:t>
      </w:r>
    </w:p>
    <w:p>
      <w:pPr>
        <w:spacing w:after="120" w:line="300"/>
        <w:jc w:val="left"/>
      </w:pPr>
      <w:r>
        <w:rPr>
          <w:b/>
          <w:bCs/>
          <w:sz w:val="22"/>
          <w:szCs w:val="22"/>
        </w:rPr>
        <w:t xml:space="preserve">The mechanic: </w:t>
      </w:r>
      <w:r>
        <w:rPr>
          <w:sz w:val="22"/>
          <w:szCs w:val="22"/>
        </w:rPr>
        <w:t xml:space="preserve">the app runs a mandatory five-check viability test for each candidate claim. Any claim that fails a check is either dropped or routed to a fix.</w:t>
      </w:r>
    </w:p>
    <w:p>
      <w:pPr>
        <w:pStyle w:val="Heading2"/>
        <w:spacing w:after="120" w:before="280"/>
      </w:pPr>
      <w:r>
        <w:rPr>
          <w:b/>
          <w:bCs/>
          <w:sz w:val="26"/>
          <w:szCs w:val="26"/>
        </w:rPr>
        <w:t xml:space="preserve">6.1  The five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Check</w:t>
            </w:r>
          </w:p>
        </w:tc>
        <w:tc>
          <w:tcPr>
            <w:tcW w:type="dxa" w:w="36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What the app tests</w:t>
            </w:r>
          </w:p>
        </w:tc>
        <w:tc>
          <w:tcPr>
            <w:tcW w:type="dxa" w:w="38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Failure remedy</w:t>
            </w:r>
          </w:p>
        </w:tc>
      </w:tr>
      <w:tr>
        <w:tc>
          <w:tcPr>
            <w:tcW w:type="dxa" w:w="1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Statute of limitations</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Compare the earliest date of harm to the statute of limitations for the claim in the relevant jurisdiction.</w:t>
            </w:r>
          </w:p>
        </w:tc>
        <w:tc>
          <w:tcPr>
            <w:tcW w:type="dxa" w:w="3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expired: drop the claim, look for continuing-violation theory or discovery-rule argument, or route to a different claim with a longer window.</w:t>
            </w:r>
          </w:p>
        </w:tc>
      </w:tr>
      <w:tr>
        <w:tc>
          <w:tcPr>
            <w:tcW w:type="dxa" w:w="1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Standing</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Verify concrete injury, traceability to the defendant, and redressability (Article III for federal court; state analog for state court).</w:t>
            </w:r>
          </w:p>
        </w:tc>
        <w:tc>
          <w:tcPr>
            <w:tcW w:type="dxa" w:w="3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missing: identify who does have standing and whether an assignment can transfer it (as we saw in the Chase case).</w:t>
            </w:r>
          </w:p>
        </w:tc>
      </w:tr>
      <w:tr>
        <w:tc>
          <w:tcPr>
            <w:tcW w:type="dxa" w:w="1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Jurisdiction</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Federal question (specific statute), diversity ($75k + citizenship), or state jurisdiction. Check personal jurisdiction over the defendant.</w:t>
            </w:r>
          </w:p>
        </w:tc>
        <w:tc>
          <w:tcPr>
            <w:tcW w:type="dxa" w:w="3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wrong court: route the case to the correct one; a strong federal claim may downgrade to state court if diversity is missing.</w:t>
            </w:r>
          </w:p>
        </w:tc>
      </w:tr>
      <w:tr>
        <w:tc>
          <w:tcPr>
            <w:tcW w:type="dxa" w:w="1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Damages</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Are damages quantifiable? Are they within the statutory range (small claims cap, federal amount-in-controversy)?</w:t>
            </w:r>
          </w:p>
        </w:tc>
        <w:tc>
          <w:tcPr>
            <w:tcW w:type="dxa" w:w="3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speculative: gather more evidence or plead statutory/nominal damages plus fees. If below small-claims cap: route to small claims.</w:t>
            </w:r>
          </w:p>
        </w:tc>
      </w:tr>
      <w:tr>
        <w:tc>
          <w:tcPr>
            <w:tcW w:type="dxa" w:w="1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b/>
                <w:bCs/>
                <w:sz w:val="20"/>
                <w:szCs w:val="20"/>
              </w:rPr>
              <w:t xml:space="preserve">Exhaustion / pre-suit</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Does the claim require a demand letter, agency filing, or notice before suit? (ECOA, EEOC, some UDAP statutes, Louisiana LUTPA, arbitration clauses.)</w:t>
            </w:r>
          </w:p>
        </w:tc>
        <w:tc>
          <w:tcPr>
            <w:tcW w:type="dxa" w:w="3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required and missing: route to Phase 5 to satisfy the requirement before advancing.</w:t>
            </w:r>
          </w:p>
        </w:tc>
      </w:tr>
    </w:tbl>
    <w:p>
      <w:pPr>
        <w:pStyle w:val="Heading2"/>
        <w:spacing w:after="120" w:before="280"/>
      </w:pPr>
      <w:r>
        <w:rPr>
          <w:b/>
          <w:bCs/>
          <w:sz w:val="26"/>
          <w:szCs w:val="26"/>
        </w:rPr>
        <w:t xml:space="preserve">6.2  The output</w:t>
      </w:r>
    </w:p>
    <w:p>
      <w:pPr>
        <w:spacing w:after="120" w:line="300"/>
        <w:jc w:val="left"/>
      </w:pPr>
      <w:r>
        <w:rPr>
          <w:sz w:val="22"/>
          <w:szCs w:val="22"/>
        </w:rPr>
        <w:t xml:space="preserve">A viability report per claim: PASS, HOLD (fix a specific problem first), or NO-GO (drop). The user sees the report and either advances with the surviving claims or asks the app to help fix a HOLD before advancing.</w:t>
      </w:r>
    </w:p>
    <w:p>
      <w:pPr>
        <w:pStyle w:val="Heading1"/>
        <w:spacing w:after="160" w:before="360"/>
      </w:pPr>
      <w:r>
        <w:rPr>
          <w:b/>
          <w:bCs/>
          <w:color w:val="1B474D"/>
          <w:sz w:val="32"/>
          <w:szCs w:val="32"/>
        </w:rPr>
        <w:t xml:space="preserve">7.  Phase 5 — Pre-Suit Steps</w:t>
      </w:r>
    </w:p>
    <w:p>
      <w:pPr>
        <w:spacing w:after="120" w:line="300"/>
        <w:jc w:val="left"/>
      </w:pPr>
      <w:r>
        <w:rPr>
          <w:b/>
          <w:bCs/>
          <w:sz w:val="22"/>
          <w:szCs w:val="22"/>
        </w:rPr>
        <w:t xml:space="preserve">The problem: </w:t>
      </w:r>
      <w:r>
        <w:rPr>
          <w:sz w:val="22"/>
          <w:szCs w:val="22"/>
        </w:rPr>
        <w:t xml:space="preserve">many pro se cases die because the plaintiff skipped a required pre-suit step. Some claims must have a demand letter first. Some must be filed with an agency (EEOC for federal employment discrimination, CFPB for some banking issues, state agencies for some UDAP claims). Some contracts require arbitration first.</w:t>
      </w:r>
    </w:p>
    <w:p>
      <w:pPr>
        <w:spacing w:after="120" w:line="300"/>
        <w:jc w:val="left"/>
      </w:pPr>
      <w:r>
        <w:rPr>
          <w:b/>
          <w:bCs/>
          <w:sz w:val="22"/>
          <w:szCs w:val="22"/>
        </w:rPr>
        <w:t xml:space="preserve">The mechanic: </w:t>
      </w:r>
      <w:r>
        <w:rPr>
          <w:sz w:val="22"/>
          <w:szCs w:val="22"/>
        </w:rPr>
        <w:t xml:space="preserve">the app produces every pre-suit artifact required by the claims the user has selected, in the correct order, with the correct notice periods.</w:t>
      </w:r>
    </w:p>
    <w:p>
      <w:pPr>
        <w:pStyle w:val="Heading2"/>
        <w:spacing w:after="120" w:before="280"/>
      </w:pPr>
      <w:r>
        <w:rPr>
          <w:b/>
          <w:bCs/>
          <w:sz w:val="26"/>
          <w:szCs w:val="26"/>
        </w:rPr>
        <w:t xml:space="preserve">7.1  Common pre-suit artifacts the app produces</w:t>
      </w:r>
    </w:p>
    <w:p>
      <w:pPr>
        <w:pStyle w:val="ListParagraph"/>
        <w:numPr>
          <w:ilvl w:val="0"/>
          <w:numId w:val="2"/>
        </w:numPr>
        <w:spacing w:after="80" w:line="300"/>
      </w:pPr>
      <w:r>
        <w:rPr>
          <w:sz w:val="22"/>
          <w:szCs w:val="22"/>
        </w:rPr>
        <w:t xml:space="preserve">Demand letter — a formal, dated letter to the defendant stating the claim, the harm, and the requested resolution, with a response deadline.</w:t>
      </w:r>
    </w:p>
    <w:p>
      <w:pPr>
        <w:pStyle w:val="ListParagraph"/>
        <w:numPr>
          <w:ilvl w:val="0"/>
          <w:numId w:val="2"/>
        </w:numPr>
        <w:spacing w:after="80" w:line="300"/>
      </w:pPr>
      <w:r>
        <w:rPr>
          <w:sz w:val="22"/>
          <w:szCs w:val="22"/>
        </w:rPr>
        <w:t xml:space="preserve">CFPB complaint — for consumer-financial claims. Free, generates a company response within 15 days.</w:t>
      </w:r>
    </w:p>
    <w:p>
      <w:pPr>
        <w:pStyle w:val="ListParagraph"/>
        <w:numPr>
          <w:ilvl w:val="0"/>
          <w:numId w:val="2"/>
        </w:numPr>
        <w:spacing w:after="80" w:line="300"/>
      </w:pPr>
      <w:r>
        <w:rPr>
          <w:sz w:val="22"/>
          <w:szCs w:val="22"/>
        </w:rPr>
        <w:t xml:space="preserve">OCC HelpWithMyBank complaint — for national bank complaints. Free, similar timeline.</w:t>
      </w:r>
    </w:p>
    <w:p>
      <w:pPr>
        <w:pStyle w:val="ListParagraph"/>
        <w:numPr>
          <w:ilvl w:val="0"/>
          <w:numId w:val="2"/>
        </w:numPr>
        <w:spacing w:after="80" w:line="300"/>
      </w:pPr>
      <w:r>
        <w:rPr>
          <w:sz w:val="22"/>
          <w:szCs w:val="22"/>
        </w:rPr>
        <w:t xml:space="preserve">State AG consumer protection complaint — for UDAP and consumer fraud.</w:t>
      </w:r>
    </w:p>
    <w:p>
      <w:pPr>
        <w:pStyle w:val="ListParagraph"/>
        <w:numPr>
          <w:ilvl w:val="0"/>
          <w:numId w:val="2"/>
        </w:numPr>
        <w:spacing w:after="80" w:line="300"/>
      </w:pPr>
      <w:r>
        <w:rPr>
          <w:sz w:val="22"/>
          <w:szCs w:val="22"/>
        </w:rPr>
        <w:t xml:space="preserve">State insurance/banking regulator complaint — for state-chartered institutions.</w:t>
      </w:r>
    </w:p>
    <w:p>
      <w:pPr>
        <w:pStyle w:val="ListParagraph"/>
        <w:numPr>
          <w:ilvl w:val="0"/>
          <w:numId w:val="2"/>
        </w:numPr>
        <w:spacing w:after="80" w:line="300"/>
      </w:pPr>
      <w:r>
        <w:rPr>
          <w:sz w:val="22"/>
          <w:szCs w:val="22"/>
        </w:rPr>
        <w:t xml:space="preserve">EEOC charge — required before most federal employment discrimination suits, 180-300 day deadline from harm.</w:t>
      </w:r>
    </w:p>
    <w:p>
      <w:pPr>
        <w:pStyle w:val="ListParagraph"/>
        <w:numPr>
          <w:ilvl w:val="0"/>
          <w:numId w:val="2"/>
        </w:numPr>
        <w:spacing w:after="80" w:line="300"/>
      </w:pPr>
      <w:r>
        <w:rPr>
          <w:sz w:val="22"/>
          <w:szCs w:val="22"/>
        </w:rPr>
        <w:t xml:space="preserve">Notice under a specific statute (Louisiana LUTPA requires certain notices; some tort statutes require notice before suing a public entity).</w:t>
      </w:r>
    </w:p>
    <w:p>
      <w:pPr>
        <w:pStyle w:val="Heading2"/>
        <w:spacing w:after="120" w:before="280"/>
      </w:pPr>
      <w:r>
        <w:rPr>
          <w:b/>
          <w:bCs/>
          <w:sz w:val="26"/>
          <w:szCs w:val="26"/>
        </w:rPr>
        <w:t xml:space="preserve">7.2  The arbitration check</w:t>
      </w:r>
    </w:p>
    <w:p>
      <w:pPr>
        <w:spacing w:after="120" w:line="300"/>
        <w:jc w:val="left"/>
      </w:pPr>
      <w:r>
        <w:rPr>
          <w:sz w:val="22"/>
          <w:szCs w:val="22"/>
        </w:rPr>
        <w:t xml:space="preserve">Before drafting any complaint, the app runs an arbitration check on every defendant-provided contract the user uploaded. If a valid arbitration clause exists, the app tells the user honestly: "You have an arbitration clause. Your choices are (a) file in arbitration under the clause; (b) file in court and expect a motion to compel arbitration; (c) look for unconscionability or other invalidity defenses. Here is what each path costs and how long it takes." The user picks.</w:t>
      </w:r>
    </w:p>
    <w:p>
      <w:pPr>
        <w:pStyle w:val="Heading2"/>
        <w:spacing w:after="120" w:before="280"/>
      </w:pPr>
      <w:r>
        <w:rPr>
          <w:b/>
          <w:bCs/>
          <w:sz w:val="26"/>
          <w:szCs w:val="26"/>
        </w:rPr>
        <w:t xml:space="preserve">7.3  The output</w:t>
      </w:r>
    </w:p>
    <w:p>
      <w:pPr>
        <w:spacing w:after="120" w:line="300"/>
        <w:jc w:val="left"/>
      </w:pPr>
      <w:r>
        <w:rPr>
          <w:sz w:val="22"/>
          <w:szCs w:val="22"/>
        </w:rPr>
        <w:t xml:space="preserve">A pre-suit packet: demand letter (sent via certified mail with return receipt), regulator complaints filed, arbitration decision made and documented, notice periods started. The user cannot advance to complaint drafting until any required pre-suit step is complete and documented.</w:t>
      </w:r>
    </w:p>
    <w:p>
      <w:pPr>
        <w:pStyle w:val="Heading1"/>
        <w:spacing w:after="160" w:before="360"/>
      </w:pPr>
      <w:r>
        <w:rPr>
          <w:b/>
          <w:bCs/>
          <w:color w:val="1B474D"/>
          <w:sz w:val="32"/>
          <w:szCs w:val="32"/>
        </w:rPr>
        <w:t xml:space="preserve">8.  Phase 6 — Court Selection</w:t>
      </w:r>
    </w:p>
    <w:p>
      <w:pPr>
        <w:spacing w:after="120" w:line="300"/>
        <w:jc w:val="left"/>
      </w:pPr>
      <w:r>
        <w:rPr>
          <w:b/>
          <w:bCs/>
          <w:sz w:val="22"/>
          <w:szCs w:val="22"/>
        </w:rPr>
        <w:t xml:space="preserve">The problem: </w:t>
      </w:r>
      <w:r>
        <w:rPr>
          <w:sz w:val="22"/>
          <w:szCs w:val="22"/>
        </w:rPr>
        <w:t xml:space="preserve">choosing the wrong court kills a case before it starts. Federal court for a state-law claim without diversity gets dismissed. State court for an exclusively-federal claim gets dismissed. Wrong venue gets transferred or dismissed. Wrong division within a district creates delay.</w:t>
      </w:r>
    </w:p>
    <w:p>
      <w:pPr>
        <w:spacing w:after="120" w:line="300"/>
        <w:jc w:val="left"/>
      </w:pPr>
      <w:r>
        <w:rPr>
          <w:b/>
          <w:bCs/>
          <w:sz w:val="22"/>
          <w:szCs w:val="22"/>
        </w:rPr>
        <w:t xml:space="preserve">The mechanic: </w:t>
      </w:r>
      <w:r>
        <w:rPr>
          <w:sz w:val="22"/>
          <w:szCs w:val="22"/>
        </w:rPr>
        <w:t xml:space="preserve">a deterministic decision tree that pins down the exact court, division, judge/magistrate, and filing method.</w:t>
      </w:r>
    </w:p>
    <w:p>
      <w:pPr>
        <w:pStyle w:val="Heading2"/>
        <w:spacing w:after="120" w:before="280"/>
      </w:pPr>
      <w:r>
        <w:rPr>
          <w:b/>
          <w:bCs/>
          <w:sz w:val="26"/>
          <w:szCs w:val="26"/>
        </w:rPr>
        <w:t xml:space="preserve">8.1  The decision tree</w:t>
      </w:r>
    </w:p>
    <w:p>
      <w:pPr>
        <w:pStyle w:val="ListParagraph"/>
        <w:numPr>
          <w:ilvl w:val="0"/>
          <w:numId w:val="2"/>
        </w:numPr>
        <w:spacing w:after="80" w:line="300"/>
      </w:pPr>
      <w:r>
        <w:rPr>
          <w:sz w:val="22"/>
          <w:szCs w:val="22"/>
        </w:rPr>
        <w:t xml:space="preserve">Federal question present? — If yes, federal court is available (concurrent or exclusive per statute).</w:t>
      </w:r>
    </w:p>
    <w:p>
      <w:pPr>
        <w:pStyle w:val="ListParagraph"/>
        <w:numPr>
          <w:ilvl w:val="0"/>
          <w:numId w:val="2"/>
        </w:numPr>
        <w:spacing w:after="80" w:line="300"/>
      </w:pPr>
      <w:r>
        <w:rPr>
          <w:sz w:val="22"/>
          <w:szCs w:val="22"/>
        </w:rPr>
        <w:t xml:space="preserve">Diversity? — Are all plaintiffs from different states than all defendants, and does the claim exceed $75,000? If yes, federal diversity is available.</w:t>
      </w:r>
    </w:p>
    <w:p>
      <w:pPr>
        <w:pStyle w:val="ListParagraph"/>
        <w:numPr>
          <w:ilvl w:val="0"/>
          <w:numId w:val="2"/>
        </w:numPr>
        <w:spacing w:after="80" w:line="300"/>
      </w:pPr>
      <w:r>
        <w:rPr>
          <w:sz w:val="22"/>
          <w:szCs w:val="22"/>
        </w:rPr>
        <w:t xml:space="preserve">Both fail? — State court only.</w:t>
      </w:r>
    </w:p>
    <w:p>
      <w:pPr>
        <w:pStyle w:val="ListParagraph"/>
        <w:numPr>
          <w:ilvl w:val="0"/>
          <w:numId w:val="2"/>
        </w:numPr>
        <w:spacing w:after="80" w:line="300"/>
      </w:pPr>
      <w:r>
        <w:rPr>
          <w:sz w:val="22"/>
          <w:szCs w:val="22"/>
        </w:rPr>
        <w:t xml:space="preserve">State or federal — where is venue proper? Where the defendant resides, where the events occurred, or where the property is located.</w:t>
      </w:r>
    </w:p>
    <w:p>
      <w:pPr>
        <w:pStyle w:val="ListParagraph"/>
        <w:numPr>
          <w:ilvl w:val="0"/>
          <w:numId w:val="2"/>
        </w:numPr>
        <w:spacing w:after="80" w:line="300"/>
      </w:pPr>
      <w:r>
        <w:rPr>
          <w:sz w:val="22"/>
          <w:szCs w:val="22"/>
        </w:rPr>
        <w:t xml:space="preserve">Which division within the district? — Determined by venue and by user's or defendant's address.</w:t>
      </w:r>
    </w:p>
    <w:p>
      <w:pPr>
        <w:pStyle w:val="ListParagraph"/>
        <w:numPr>
          <w:ilvl w:val="0"/>
          <w:numId w:val="2"/>
        </w:numPr>
        <w:spacing w:after="80" w:line="300"/>
      </w:pPr>
      <w:r>
        <w:rPr>
          <w:sz w:val="22"/>
          <w:szCs w:val="22"/>
        </w:rPr>
        <w:t xml:space="preserve">Small claims eligible? — If damages are below the state small-claims cap and no non-monetary relief is sought, small claims is usually the faster and cheaper choice.</w:t>
      </w:r>
    </w:p>
    <w:p>
      <w:pPr>
        <w:pStyle w:val="Heading2"/>
        <w:spacing w:after="120" w:before="280"/>
      </w:pPr>
      <w:r>
        <w:rPr>
          <w:b/>
          <w:bCs/>
          <w:sz w:val="26"/>
          <w:szCs w:val="26"/>
        </w:rPr>
        <w:t xml:space="preserve">8.2  What the app loads once the court is selected</w:t>
      </w:r>
    </w:p>
    <w:p>
      <w:pPr>
        <w:pStyle w:val="ListParagraph"/>
        <w:numPr>
          <w:ilvl w:val="0"/>
          <w:numId w:val="2"/>
        </w:numPr>
        <w:spacing w:after="80" w:line="300"/>
      </w:pPr>
      <w:r>
        <w:rPr>
          <w:sz w:val="22"/>
          <w:szCs w:val="22"/>
        </w:rPr>
        <w:t xml:space="preserve">Local rules for that court (page limits, formatting, spacing, font requirements).</w:t>
      </w:r>
    </w:p>
    <w:p>
      <w:pPr>
        <w:pStyle w:val="ListParagraph"/>
        <w:numPr>
          <w:ilvl w:val="0"/>
          <w:numId w:val="2"/>
        </w:numPr>
        <w:spacing w:after="80" w:line="300"/>
      </w:pPr>
      <w:r>
        <w:rPr>
          <w:sz w:val="22"/>
          <w:szCs w:val="22"/>
        </w:rPr>
        <w:t xml:space="preserve">The court's civil cover sheet template.</w:t>
      </w:r>
    </w:p>
    <w:p>
      <w:pPr>
        <w:pStyle w:val="ListParagraph"/>
        <w:numPr>
          <w:ilvl w:val="0"/>
          <w:numId w:val="2"/>
        </w:numPr>
        <w:spacing w:after="80" w:line="300"/>
      </w:pPr>
      <w:r>
        <w:rPr>
          <w:sz w:val="22"/>
          <w:szCs w:val="22"/>
        </w:rPr>
        <w:t xml:space="preserve">The court's summons template.</w:t>
      </w:r>
    </w:p>
    <w:p>
      <w:pPr>
        <w:pStyle w:val="ListParagraph"/>
        <w:numPr>
          <w:ilvl w:val="0"/>
          <w:numId w:val="2"/>
        </w:numPr>
        <w:spacing w:after="80" w:line="300"/>
      </w:pPr>
      <w:r>
        <w:rPr>
          <w:sz w:val="22"/>
          <w:szCs w:val="22"/>
        </w:rPr>
        <w:t xml:space="preserve">The court's IFP (in forma pauperis) application if the user cannot afford filing fees.</w:t>
      </w:r>
    </w:p>
    <w:p>
      <w:pPr>
        <w:pStyle w:val="ListParagraph"/>
        <w:numPr>
          <w:ilvl w:val="0"/>
          <w:numId w:val="2"/>
        </w:numPr>
        <w:spacing w:after="80" w:line="300"/>
      </w:pPr>
      <w:r>
        <w:rPr>
          <w:sz w:val="22"/>
          <w:szCs w:val="22"/>
        </w:rPr>
        <w:t xml:space="preserve">The court's pro se handbook where one exists.</w:t>
      </w:r>
    </w:p>
    <w:p>
      <w:pPr>
        <w:pStyle w:val="ListParagraph"/>
        <w:numPr>
          <w:ilvl w:val="0"/>
          <w:numId w:val="2"/>
        </w:numPr>
        <w:spacing w:after="80" w:line="300"/>
      </w:pPr>
      <w:r>
        <w:rPr>
          <w:sz w:val="22"/>
          <w:szCs w:val="22"/>
        </w:rPr>
        <w:t xml:space="preserve">The current filing fee.</w:t>
      </w:r>
    </w:p>
    <w:p>
      <w:pPr>
        <w:pStyle w:val="ListParagraph"/>
        <w:numPr>
          <w:ilvl w:val="0"/>
          <w:numId w:val="2"/>
        </w:numPr>
        <w:spacing w:after="80" w:line="300"/>
      </w:pPr>
      <w:r>
        <w:rPr>
          <w:sz w:val="22"/>
          <w:szCs w:val="22"/>
        </w:rPr>
        <w:t xml:space="preserve">The e-filing method (PACER for federal; state-specific portals for state courts) or the paper-filing address.</w:t>
      </w:r>
    </w:p>
    <w:p>
      <w:pPr>
        <w:pStyle w:val="Heading2"/>
        <w:spacing w:after="120" w:before="280"/>
      </w:pPr>
      <w:r>
        <w:rPr>
          <w:b/>
          <w:bCs/>
          <w:sz w:val="26"/>
          <w:szCs w:val="26"/>
        </w:rPr>
        <w:t xml:space="preserve">8.3  The output</w:t>
      </w:r>
    </w:p>
    <w:p>
      <w:pPr>
        <w:spacing w:after="120" w:line="300"/>
        <w:jc w:val="left"/>
      </w:pPr>
      <w:r>
        <w:rPr>
          <w:sz w:val="22"/>
          <w:szCs w:val="22"/>
        </w:rPr>
        <w:t xml:space="preserve">A single locked "court profile" for the case: named court, division, filing fee, filing method, local rules loaded. Every subsequent draft uses these settings.</w:t>
      </w:r>
    </w:p>
    <w:p>
      <w:pPr>
        <w:pStyle w:val="Heading1"/>
        <w:spacing w:after="160" w:before="360"/>
      </w:pPr>
      <w:r>
        <w:rPr>
          <w:b/>
          <w:bCs/>
          <w:color w:val="1B474D"/>
          <w:sz w:val="32"/>
          <w:szCs w:val="32"/>
        </w:rPr>
        <w:t xml:space="preserve">9.  Phase 7 — Complaint Drafting</w:t>
      </w:r>
    </w:p>
    <w:p>
      <w:pPr>
        <w:spacing w:after="120" w:line="300"/>
        <w:jc w:val="left"/>
      </w:pPr>
      <w:r>
        <w:rPr>
          <w:b/>
          <w:bCs/>
          <w:sz w:val="22"/>
          <w:szCs w:val="22"/>
        </w:rPr>
        <w:t xml:space="preserve">The problem: </w:t>
      </w:r>
      <w:r>
        <w:rPr>
          <w:sz w:val="22"/>
          <w:szCs w:val="22"/>
        </w:rPr>
        <w:t xml:space="preserve">a complaint is not a story. It is a structured legal document with jurisdictional, factual, and legal sections that follow rigid conventions. Most pro se plaintiffs write it like a letter, and get dismissed for failure to plead a claim.</w:t>
      </w:r>
    </w:p>
    <w:p>
      <w:pPr>
        <w:spacing w:after="120" w:line="300"/>
        <w:jc w:val="left"/>
      </w:pPr>
      <w:r>
        <w:rPr>
          <w:b/>
          <w:bCs/>
          <w:sz w:val="22"/>
          <w:szCs w:val="22"/>
        </w:rPr>
        <w:t xml:space="preserve">The mechanic: </w:t>
      </w:r>
      <w:r>
        <w:rPr>
          <w:sz w:val="22"/>
          <w:szCs w:val="22"/>
        </w:rPr>
        <w:t xml:space="preserve">the app builds the complaint section by section using the same seven-step meta-loop from the Blueprint. Intake is already done. Verification, outlining, drafting, and pressure-testing happen here.</w:t>
      </w:r>
    </w:p>
    <w:p>
      <w:pPr>
        <w:pStyle w:val="Heading2"/>
        <w:spacing w:after="120" w:before="280"/>
      </w:pPr>
      <w:r>
        <w:rPr>
          <w:b/>
          <w:bCs/>
          <w:sz w:val="26"/>
          <w:szCs w:val="26"/>
        </w:rPr>
        <w:t xml:space="preserve">9.1  The complaint skeleton</w:t>
      </w:r>
    </w:p>
    <w:p>
      <w:pPr>
        <w:pStyle w:val="ListParagraph"/>
        <w:numPr>
          <w:ilvl w:val="0"/>
          <w:numId w:val="2"/>
        </w:numPr>
        <w:spacing w:after="80" w:line="300"/>
      </w:pPr>
      <w:r>
        <w:rPr>
          <w:sz w:val="22"/>
          <w:szCs w:val="22"/>
        </w:rPr>
        <w:t xml:space="preserve">Caption — court, plaintiff, defendant, docket number placeholder, jury demand.</w:t>
      </w:r>
    </w:p>
    <w:p>
      <w:pPr>
        <w:pStyle w:val="ListParagraph"/>
        <w:numPr>
          <w:ilvl w:val="0"/>
          <w:numId w:val="2"/>
        </w:numPr>
        <w:spacing w:after="80" w:line="300"/>
      </w:pPr>
      <w:r>
        <w:rPr>
          <w:sz w:val="22"/>
          <w:szCs w:val="22"/>
        </w:rPr>
        <w:t xml:space="preserve">Introduction — one or two paragraphs summarizing the case in plain terms.</w:t>
      </w:r>
    </w:p>
    <w:p>
      <w:pPr>
        <w:pStyle w:val="ListParagraph"/>
        <w:numPr>
          <w:ilvl w:val="0"/>
          <w:numId w:val="2"/>
        </w:numPr>
        <w:spacing w:after="80" w:line="300"/>
      </w:pPr>
      <w:r>
        <w:rPr>
          <w:sz w:val="22"/>
          <w:szCs w:val="22"/>
        </w:rPr>
        <w:t xml:space="preserve">Jurisdiction — the specific statutory basis for the court's authority to hear the case.</w:t>
      </w:r>
    </w:p>
    <w:p>
      <w:pPr>
        <w:pStyle w:val="ListParagraph"/>
        <w:numPr>
          <w:ilvl w:val="0"/>
          <w:numId w:val="2"/>
        </w:numPr>
        <w:spacing w:after="80" w:line="300"/>
      </w:pPr>
      <w:r>
        <w:rPr>
          <w:sz w:val="22"/>
          <w:szCs w:val="22"/>
        </w:rPr>
        <w:t xml:space="preserve">Venue — the specific statutory basis for filing in this division.</w:t>
      </w:r>
    </w:p>
    <w:p>
      <w:pPr>
        <w:pStyle w:val="ListParagraph"/>
        <w:numPr>
          <w:ilvl w:val="0"/>
          <w:numId w:val="2"/>
        </w:numPr>
        <w:spacing w:after="80" w:line="300"/>
      </w:pPr>
      <w:r>
        <w:rPr>
          <w:sz w:val="22"/>
          <w:szCs w:val="22"/>
        </w:rPr>
        <w:t xml:space="preserve">Parties — who plaintiff and defendant(s) are, with capacity, citizenship, and address.</w:t>
      </w:r>
    </w:p>
    <w:p>
      <w:pPr>
        <w:pStyle w:val="ListParagraph"/>
        <w:numPr>
          <w:ilvl w:val="0"/>
          <w:numId w:val="2"/>
        </w:numPr>
        <w:spacing w:after="80" w:line="300"/>
      </w:pPr>
      <w:r>
        <w:rPr>
          <w:sz w:val="22"/>
          <w:szCs w:val="22"/>
        </w:rPr>
        <w:t xml:space="preserve">Factual allegations — numbered paragraphs, in chronological order, each with one fact.</w:t>
      </w:r>
    </w:p>
    <w:p>
      <w:pPr>
        <w:pStyle w:val="ListParagraph"/>
        <w:numPr>
          <w:ilvl w:val="0"/>
          <w:numId w:val="2"/>
        </w:numPr>
        <w:spacing w:after="80" w:line="300"/>
      </w:pPr>
      <w:r>
        <w:rPr>
          <w:sz w:val="22"/>
          <w:szCs w:val="22"/>
        </w:rPr>
        <w:t xml:space="preserve">Counts — one per cause of action; each count identifies the statute or common-law claim, incorporates the relevant facts, and states the elements met.</w:t>
      </w:r>
    </w:p>
    <w:p>
      <w:pPr>
        <w:pStyle w:val="ListParagraph"/>
        <w:numPr>
          <w:ilvl w:val="0"/>
          <w:numId w:val="2"/>
        </w:numPr>
        <w:spacing w:after="80" w:line="300"/>
      </w:pPr>
      <w:r>
        <w:rPr>
          <w:sz w:val="22"/>
          <w:szCs w:val="22"/>
        </w:rPr>
        <w:t xml:space="preserve">Prayer for relief — the specific relief sought (damages amount, injunction, declaration, fees, costs).</w:t>
      </w:r>
    </w:p>
    <w:p>
      <w:pPr>
        <w:pStyle w:val="ListParagraph"/>
        <w:numPr>
          <w:ilvl w:val="0"/>
          <w:numId w:val="2"/>
        </w:numPr>
        <w:spacing w:after="80" w:line="300"/>
      </w:pPr>
      <w:r>
        <w:rPr>
          <w:sz w:val="22"/>
          <w:szCs w:val="22"/>
        </w:rPr>
        <w:t xml:space="preserve">Jury demand — if desired.</w:t>
      </w:r>
    </w:p>
    <w:p>
      <w:pPr>
        <w:pStyle w:val="ListParagraph"/>
        <w:numPr>
          <w:ilvl w:val="0"/>
          <w:numId w:val="2"/>
        </w:numPr>
        <w:spacing w:after="80" w:line="300"/>
      </w:pPr>
      <w:r>
        <w:rPr>
          <w:sz w:val="22"/>
          <w:szCs w:val="22"/>
        </w:rPr>
        <w:t xml:space="preserve">Signature block — plaintiff's name, "Pro Se," address, phone, email.</w:t>
      </w:r>
    </w:p>
    <w:p>
      <w:pPr>
        <w:pStyle w:val="Heading2"/>
        <w:spacing w:after="120" w:before="280"/>
      </w:pPr>
      <w:r>
        <w:rPr>
          <w:b/>
          <w:bCs/>
          <w:sz w:val="26"/>
          <w:szCs w:val="26"/>
        </w:rPr>
        <w:t xml:space="preserve">9.2  What the app verifies before export</w:t>
      </w:r>
    </w:p>
    <w:p>
      <w:pPr>
        <w:pStyle w:val="ListParagraph"/>
        <w:numPr>
          <w:ilvl w:val="0"/>
          <w:numId w:val="2"/>
        </w:numPr>
        <w:spacing w:after="80" w:line="300"/>
      </w:pPr>
      <w:r>
        <w:rPr>
          <w:sz w:val="22"/>
          <w:szCs w:val="22"/>
        </w:rPr>
        <w:t xml:space="preserve">Every statutory citation in the jurisdiction, venue, and counts sections is checked against the actual statute text.</w:t>
      </w:r>
    </w:p>
    <w:p>
      <w:pPr>
        <w:pStyle w:val="ListParagraph"/>
        <w:numPr>
          <w:ilvl w:val="0"/>
          <w:numId w:val="2"/>
        </w:numPr>
        <w:spacing w:after="80" w:line="300"/>
      </w:pPr>
      <w:r>
        <w:rPr>
          <w:sz w:val="22"/>
          <w:szCs w:val="22"/>
        </w:rPr>
        <w:t xml:space="preserve">Every case citation used to support an element is verified against the actual opinion.</w:t>
      </w:r>
    </w:p>
    <w:p>
      <w:pPr>
        <w:pStyle w:val="ListParagraph"/>
        <w:numPr>
          <w:ilvl w:val="0"/>
          <w:numId w:val="2"/>
        </w:numPr>
        <w:spacing w:after="80" w:line="300"/>
      </w:pPr>
      <w:r>
        <w:rPr>
          <w:sz w:val="22"/>
          <w:szCs w:val="22"/>
        </w:rPr>
        <w:t xml:space="preserve">The caption matches the canonical caption stored in the case profile.</w:t>
      </w:r>
    </w:p>
    <w:p>
      <w:pPr>
        <w:pStyle w:val="ListParagraph"/>
        <w:numPr>
          <w:ilvl w:val="0"/>
          <w:numId w:val="2"/>
        </w:numPr>
        <w:spacing w:after="80" w:line="300"/>
      </w:pPr>
      <w:r>
        <w:rPr>
          <w:sz w:val="22"/>
          <w:szCs w:val="22"/>
        </w:rPr>
        <w:t xml:space="preserve">The signature block matches the canonical signature block.</w:t>
      </w:r>
    </w:p>
    <w:p>
      <w:pPr>
        <w:pStyle w:val="ListParagraph"/>
        <w:numPr>
          <w:ilvl w:val="0"/>
          <w:numId w:val="2"/>
        </w:numPr>
        <w:spacing w:after="80" w:line="300"/>
      </w:pPr>
      <w:r>
        <w:rPr>
          <w:sz w:val="22"/>
          <w:szCs w:val="22"/>
        </w:rPr>
        <w:t xml:space="preserve">The prayer for relief is tied to the specific statutes cited in each count.</w:t>
      </w:r>
    </w:p>
    <w:p>
      <w:pPr>
        <w:pStyle w:val="ListParagraph"/>
        <w:numPr>
          <w:ilvl w:val="0"/>
          <w:numId w:val="2"/>
        </w:numPr>
        <w:spacing w:after="80" w:line="300"/>
      </w:pPr>
      <w:r>
        <w:rPr>
          <w:sz w:val="22"/>
          <w:szCs w:val="22"/>
        </w:rPr>
        <w:t xml:space="preserve">The complaint does not contain any banned vocabulary from the user's tone profile.</w:t>
      </w:r>
    </w:p>
    <w:p>
      <w:pPr>
        <w:pStyle w:val="Heading2"/>
        <w:spacing w:after="120" w:before="280"/>
      </w:pPr>
      <w:r>
        <w:rPr>
          <w:b/>
          <w:bCs/>
          <w:sz w:val="26"/>
          <w:szCs w:val="26"/>
        </w:rPr>
        <w:t xml:space="preserve">9.3  Pressure-test</w:t>
      </w:r>
    </w:p>
    <w:p>
      <w:pPr>
        <w:spacing w:after="120" w:line="300"/>
        <w:jc w:val="left"/>
      </w:pPr>
      <w:r>
        <w:rPr>
          <w:sz w:val="22"/>
          <w:szCs w:val="22"/>
        </w:rPr>
        <w:t xml:space="preserve">Before delivering the draft, the app plays the defendant's motion to dismiss out loud in a "how they will attack this" panel:</w:t>
      </w:r>
    </w:p>
    <w:p>
      <w:pPr>
        <w:pStyle w:val="ListParagraph"/>
        <w:numPr>
          <w:ilvl w:val="0"/>
          <w:numId w:val="2"/>
        </w:numPr>
        <w:spacing w:after="80" w:line="300"/>
      </w:pPr>
      <w:r>
        <w:rPr>
          <w:sz w:val="22"/>
          <w:szCs w:val="22"/>
        </w:rPr>
        <w:t xml:space="preserve">Which counts are most vulnerable to a 12(b)(6) motion?</w:t>
      </w:r>
    </w:p>
    <w:p>
      <w:pPr>
        <w:pStyle w:val="ListParagraph"/>
        <w:numPr>
          <w:ilvl w:val="0"/>
          <w:numId w:val="2"/>
        </w:numPr>
        <w:spacing w:after="80" w:line="300"/>
      </w:pPr>
      <w:r>
        <w:rPr>
          <w:sz w:val="22"/>
          <w:szCs w:val="22"/>
        </w:rPr>
        <w:t xml:space="preserve">What element is thinnest?</w:t>
      </w:r>
    </w:p>
    <w:p>
      <w:pPr>
        <w:pStyle w:val="ListParagraph"/>
        <w:numPr>
          <w:ilvl w:val="0"/>
          <w:numId w:val="2"/>
        </w:numPr>
        <w:spacing w:after="80" w:line="300"/>
      </w:pPr>
      <w:r>
        <w:rPr>
          <w:sz w:val="22"/>
          <w:szCs w:val="22"/>
        </w:rPr>
        <w:t xml:space="preserve">What documents does the defendant have that could contradict a factual allegation?</w:t>
      </w:r>
    </w:p>
    <w:p>
      <w:pPr>
        <w:pStyle w:val="ListParagraph"/>
        <w:numPr>
          <w:ilvl w:val="0"/>
          <w:numId w:val="2"/>
        </w:numPr>
        <w:spacing w:after="80" w:line="300"/>
      </w:pPr>
      <w:r>
        <w:rPr>
          <w:sz w:val="22"/>
          <w:szCs w:val="22"/>
        </w:rPr>
        <w:t xml:space="preserve">What defenses will they raise (arbitration, statute of limitations, waiver, release)?</w:t>
      </w:r>
    </w:p>
    <w:p>
      <w:pPr>
        <w:spacing w:after="120" w:line="300"/>
        <w:jc w:val="left"/>
      </w:pPr>
      <w:r>
        <w:rPr>
          <w:sz w:val="22"/>
          <w:szCs w:val="22"/>
        </w:rPr>
        <w:t xml:space="preserve">The user sees this before filing and can strengthen weak spots, or accept them and file anyway. Either way, they file with eyes open.</w:t>
      </w:r>
    </w:p>
    <w:p>
      <w:pPr>
        <w:pStyle w:val="Heading1"/>
        <w:spacing w:after="160" w:before="360"/>
      </w:pPr>
      <w:r>
        <w:rPr>
          <w:b/>
          <w:bCs/>
          <w:color w:val="1B474D"/>
          <w:sz w:val="32"/>
          <w:szCs w:val="32"/>
        </w:rPr>
        <w:t xml:space="preserve">10.  Phase 8 — Filing Packet</w:t>
      </w:r>
    </w:p>
    <w:p>
      <w:pPr>
        <w:spacing w:after="120" w:line="300"/>
        <w:jc w:val="left"/>
      </w:pPr>
      <w:r>
        <w:rPr>
          <w:b/>
          <w:bCs/>
          <w:sz w:val="22"/>
          <w:szCs w:val="22"/>
        </w:rPr>
        <w:t xml:space="preserve">The problem: </w:t>
      </w:r>
      <w:r>
        <w:rPr>
          <w:sz w:val="22"/>
          <w:szCs w:val="22"/>
        </w:rPr>
        <w:t xml:space="preserve">a complaint alone does not open a case. Every court requires companion documents. Missing one gets the packet rejected by the clerk and can cost the user their statute-of-limitations window.</w:t>
      </w:r>
    </w:p>
    <w:p>
      <w:pPr>
        <w:pStyle w:val="Heading2"/>
        <w:spacing w:after="120" w:before="280"/>
      </w:pPr>
      <w:r>
        <w:rPr>
          <w:b/>
          <w:bCs/>
          <w:sz w:val="26"/>
          <w:szCs w:val="26"/>
        </w:rPr>
        <w:t xml:space="preserve">10.1  What the packet contains</w:t>
      </w:r>
    </w:p>
    <w:p>
      <w:pPr>
        <w:pStyle w:val="ListParagraph"/>
        <w:numPr>
          <w:ilvl w:val="0"/>
          <w:numId w:val="2"/>
        </w:numPr>
        <w:spacing w:after="80" w:line="300"/>
      </w:pPr>
      <w:r>
        <w:rPr>
          <w:sz w:val="22"/>
          <w:szCs w:val="22"/>
        </w:rPr>
        <w:t xml:space="preserve">The complaint itself.</w:t>
      </w:r>
    </w:p>
    <w:p>
      <w:pPr>
        <w:pStyle w:val="ListParagraph"/>
        <w:numPr>
          <w:ilvl w:val="0"/>
          <w:numId w:val="2"/>
        </w:numPr>
        <w:spacing w:after="80" w:line="300"/>
      </w:pPr>
      <w:r>
        <w:rPr>
          <w:sz w:val="22"/>
          <w:szCs w:val="22"/>
        </w:rPr>
        <w:t xml:space="preserve">Civil cover sheet (federal courts require JS-44; state courts have equivalents).</w:t>
      </w:r>
    </w:p>
    <w:p>
      <w:pPr>
        <w:pStyle w:val="ListParagraph"/>
        <w:numPr>
          <w:ilvl w:val="0"/>
          <w:numId w:val="2"/>
        </w:numPr>
        <w:spacing w:after="80" w:line="300"/>
      </w:pPr>
      <w:r>
        <w:rPr>
          <w:sz w:val="22"/>
          <w:szCs w:val="22"/>
        </w:rPr>
        <w:t xml:space="preserve">Summons for each defendant (with the caption and party info pre-filled).</w:t>
      </w:r>
    </w:p>
    <w:p>
      <w:pPr>
        <w:pStyle w:val="ListParagraph"/>
        <w:numPr>
          <w:ilvl w:val="0"/>
          <w:numId w:val="2"/>
        </w:numPr>
        <w:spacing w:after="80" w:line="300"/>
      </w:pPr>
      <w:r>
        <w:rPr>
          <w:sz w:val="22"/>
          <w:szCs w:val="22"/>
        </w:rPr>
        <w:t xml:space="preserve">Filing fee OR in-forma-pauperis application (with financial affidavit).</w:t>
      </w:r>
    </w:p>
    <w:p>
      <w:pPr>
        <w:pStyle w:val="ListParagraph"/>
        <w:numPr>
          <w:ilvl w:val="0"/>
          <w:numId w:val="2"/>
        </w:numPr>
        <w:spacing w:after="80" w:line="300"/>
      </w:pPr>
      <w:r>
        <w:rPr>
          <w:sz w:val="22"/>
          <w:szCs w:val="22"/>
        </w:rPr>
        <w:t xml:space="preserve">Exhibits, numbered and referenced from the complaint.</w:t>
      </w:r>
    </w:p>
    <w:p>
      <w:pPr>
        <w:pStyle w:val="ListParagraph"/>
        <w:numPr>
          <w:ilvl w:val="0"/>
          <w:numId w:val="2"/>
        </w:numPr>
        <w:spacing w:after="80" w:line="300"/>
      </w:pPr>
      <w:r>
        <w:rPr>
          <w:sz w:val="22"/>
          <w:szCs w:val="22"/>
        </w:rPr>
        <w:t xml:space="preserve">Any court-specific forms (some courts require a corporate disclosure statement, some require a consent-to-magistrate form).</w:t>
      </w:r>
    </w:p>
    <w:p>
      <w:pPr>
        <w:pStyle w:val="ListParagraph"/>
        <w:numPr>
          <w:ilvl w:val="0"/>
          <w:numId w:val="2"/>
        </w:numPr>
        <w:spacing w:after="80" w:line="300"/>
      </w:pPr>
      <w:r>
        <w:rPr>
          <w:sz w:val="22"/>
          <w:szCs w:val="22"/>
        </w:rPr>
        <w:t xml:space="preserve">A cover letter to the clerk if filing by mail.</w:t>
      </w:r>
    </w:p>
    <w:p>
      <w:pPr>
        <w:pStyle w:val="ListParagraph"/>
        <w:numPr>
          <w:ilvl w:val="0"/>
          <w:numId w:val="2"/>
        </w:numPr>
        <w:spacing w:after="80" w:line="300"/>
      </w:pPr>
      <w:r>
        <w:rPr>
          <w:sz w:val="22"/>
          <w:szCs w:val="22"/>
        </w:rPr>
        <w:t xml:space="preserve">Sufficient copies (original + one per defendant + one for the user, typically).</w:t>
      </w:r>
    </w:p>
    <w:p>
      <w:pPr>
        <w:pStyle w:val="Heading2"/>
        <w:spacing w:after="120" w:before="280"/>
      </w:pPr>
      <w:r>
        <w:rPr>
          <w:b/>
          <w:bCs/>
          <w:sz w:val="26"/>
          <w:szCs w:val="26"/>
        </w:rPr>
        <w:t xml:space="preserve">10.2  The filing checklist</w:t>
      </w:r>
    </w:p>
    <w:p>
      <w:pPr>
        <w:spacing w:after="120" w:line="300"/>
        <w:jc w:val="left"/>
      </w:pPr>
      <w:r>
        <w:rPr>
          <w:sz w:val="22"/>
          <w:szCs w:val="22"/>
        </w:rPr>
        <w:t xml:space="preserve">A step-by-step checklist tailored to the specific court and filing method:</w:t>
      </w:r>
    </w:p>
    <w:p>
      <w:pPr>
        <w:pStyle w:val="ListParagraph"/>
        <w:numPr>
          <w:ilvl w:val="0"/>
          <w:numId w:val="2"/>
        </w:numPr>
        <w:spacing w:after="80" w:line="300"/>
      </w:pPr>
      <w:r>
        <w:rPr>
          <w:sz w:val="22"/>
          <w:szCs w:val="22"/>
        </w:rPr>
        <w:t xml:space="preserve">If e-filing via PACER: PACER account confirmed, credit card ready, browser tested.</w:t>
      </w:r>
    </w:p>
    <w:p>
      <w:pPr>
        <w:pStyle w:val="ListParagraph"/>
        <w:numPr>
          <w:ilvl w:val="0"/>
          <w:numId w:val="2"/>
        </w:numPr>
        <w:spacing w:after="80" w:line="300"/>
      </w:pPr>
      <w:r>
        <w:rPr>
          <w:sz w:val="22"/>
          <w:szCs w:val="22"/>
        </w:rPr>
        <w:t xml:space="preserve">If e-filing via state portal: state portal account created, payment method ready.</w:t>
      </w:r>
    </w:p>
    <w:p>
      <w:pPr>
        <w:pStyle w:val="ListParagraph"/>
        <w:numPr>
          <w:ilvl w:val="0"/>
          <w:numId w:val="2"/>
        </w:numPr>
        <w:spacing w:after="80" w:line="300"/>
      </w:pPr>
      <w:r>
        <w:rPr>
          <w:sz w:val="22"/>
          <w:szCs w:val="22"/>
        </w:rPr>
        <w:t xml:space="preserve">If paper filing: printer confirmed, correct number of copies, addressed envelope with correct clerk address, certified mail slip prepared.</w:t>
      </w:r>
    </w:p>
    <w:p>
      <w:pPr>
        <w:pStyle w:val="ListParagraph"/>
        <w:numPr>
          <w:ilvl w:val="0"/>
          <w:numId w:val="2"/>
        </w:numPr>
        <w:spacing w:after="80" w:line="300"/>
      </w:pPr>
      <w:r>
        <w:rPr>
          <w:sz w:val="22"/>
          <w:szCs w:val="22"/>
        </w:rPr>
        <w:t xml:space="preserve">For in-person filing: courthouse address, hours, security requirements, parking.</w:t>
      </w:r>
    </w:p>
    <w:p>
      <w:pPr>
        <w:pStyle w:val="Heading1"/>
        <w:spacing w:after="160" w:before="360"/>
      </w:pPr>
      <w:r>
        <w:rPr>
          <w:b/>
          <w:bCs/>
          <w:color w:val="1B474D"/>
          <w:sz w:val="32"/>
          <w:szCs w:val="32"/>
        </w:rPr>
        <w:t xml:space="preserve">11.  Phase 9 — Service and Docketing</w:t>
      </w:r>
    </w:p>
    <w:p>
      <w:pPr>
        <w:spacing w:after="120" w:line="300"/>
        <w:jc w:val="left"/>
      </w:pPr>
      <w:r>
        <w:rPr>
          <w:b/>
          <w:bCs/>
          <w:sz w:val="22"/>
          <w:szCs w:val="22"/>
        </w:rPr>
        <w:t xml:space="preserve">The problem: </w:t>
      </w:r>
      <w:r>
        <w:rPr>
          <w:sz w:val="22"/>
          <w:szCs w:val="22"/>
        </w:rPr>
        <w:t xml:space="preserve">a filed complaint means nothing until the defendant is served. Service is procedurally strict and easy to mess up. Bad service gets the case dismissed or the default undone.</w:t>
      </w:r>
    </w:p>
    <w:p>
      <w:pPr>
        <w:pStyle w:val="Heading2"/>
        <w:spacing w:after="120" w:before="280"/>
      </w:pPr>
      <w:r>
        <w:rPr>
          <w:b/>
          <w:bCs/>
          <w:sz w:val="26"/>
          <w:szCs w:val="26"/>
        </w:rPr>
        <w:t xml:space="preserve">11.1  Service method selection</w:t>
      </w:r>
    </w:p>
    <w:p>
      <w:pPr>
        <w:pStyle w:val="ListParagraph"/>
        <w:numPr>
          <w:ilvl w:val="0"/>
          <w:numId w:val="2"/>
        </w:numPr>
        <w:spacing w:after="80" w:line="300"/>
      </w:pPr>
      <w:r>
        <w:rPr>
          <w:sz w:val="22"/>
          <w:szCs w:val="22"/>
        </w:rPr>
        <w:t xml:space="preserve">Waiver of service (Rule 4(d)) — cheapest; ask the defendant to waive personal service in exchange for a longer answer period.</w:t>
      </w:r>
    </w:p>
    <w:p>
      <w:pPr>
        <w:pStyle w:val="ListParagraph"/>
        <w:numPr>
          <w:ilvl w:val="0"/>
          <w:numId w:val="2"/>
        </w:numPr>
        <w:spacing w:after="80" w:line="300"/>
      </w:pPr>
      <w:r>
        <w:rPr>
          <w:sz w:val="22"/>
          <w:szCs w:val="22"/>
        </w:rPr>
        <w:t xml:space="preserve">Certified mail (state courts often allow this) — moderate cost, receipt provides proof.</w:t>
      </w:r>
    </w:p>
    <w:p>
      <w:pPr>
        <w:pStyle w:val="ListParagraph"/>
        <w:numPr>
          <w:ilvl w:val="0"/>
          <w:numId w:val="2"/>
        </w:numPr>
        <w:spacing w:after="80" w:line="300"/>
      </w:pPr>
      <w:r>
        <w:rPr>
          <w:sz w:val="22"/>
          <w:szCs w:val="22"/>
        </w:rPr>
        <w:t xml:space="preserve">Personal service by a process server — most reliable, moderate cost.</w:t>
      </w:r>
    </w:p>
    <w:p>
      <w:pPr>
        <w:pStyle w:val="ListParagraph"/>
        <w:numPr>
          <w:ilvl w:val="0"/>
          <w:numId w:val="2"/>
        </w:numPr>
        <w:spacing w:after="80" w:line="300"/>
      </w:pPr>
      <w:r>
        <w:rPr>
          <w:sz w:val="22"/>
          <w:szCs w:val="22"/>
        </w:rPr>
        <w:t xml:space="preserve">Service by the U.S. Marshal (federal IFP cases only).</w:t>
      </w:r>
    </w:p>
    <w:p>
      <w:pPr>
        <w:pStyle w:val="ListParagraph"/>
        <w:numPr>
          <w:ilvl w:val="0"/>
          <w:numId w:val="2"/>
        </w:numPr>
        <w:spacing w:after="80" w:line="300"/>
      </w:pPr>
      <w:r>
        <w:rPr>
          <w:sz w:val="22"/>
          <w:szCs w:val="22"/>
        </w:rPr>
        <w:t xml:space="preserve">Service by publication (last resort, court-approved).</w:t>
      </w:r>
    </w:p>
    <w:p>
      <w:pPr>
        <w:pStyle w:val="Heading2"/>
        <w:spacing w:after="120" w:before="280"/>
      </w:pPr>
      <w:r>
        <w:rPr>
          <w:b/>
          <w:bCs/>
          <w:sz w:val="26"/>
          <w:szCs w:val="26"/>
        </w:rPr>
        <w:t xml:space="preserve">11.2  What the app does</w:t>
      </w:r>
    </w:p>
    <w:p>
      <w:pPr>
        <w:pStyle w:val="ListParagraph"/>
        <w:numPr>
          <w:ilvl w:val="0"/>
          <w:numId w:val="2"/>
        </w:numPr>
        <w:spacing w:after="80" w:line="300"/>
      </w:pPr>
      <w:r>
        <w:rPr>
          <w:sz w:val="22"/>
          <w:szCs w:val="22"/>
        </w:rPr>
        <w:t xml:space="preserve">Generates the waiver-of-service package with the correct 30-day/60-day windows.</w:t>
      </w:r>
    </w:p>
    <w:p>
      <w:pPr>
        <w:pStyle w:val="ListParagraph"/>
        <w:numPr>
          <w:ilvl w:val="0"/>
          <w:numId w:val="2"/>
        </w:numPr>
        <w:spacing w:after="80" w:line="300"/>
      </w:pPr>
      <w:r>
        <w:rPr>
          <w:sz w:val="22"/>
          <w:szCs w:val="22"/>
        </w:rPr>
        <w:t xml:space="preserve">Identifies the correct registered agent or corporate officer for service on a business.</w:t>
      </w:r>
    </w:p>
    <w:p>
      <w:pPr>
        <w:pStyle w:val="ListParagraph"/>
        <w:numPr>
          <w:ilvl w:val="0"/>
          <w:numId w:val="2"/>
        </w:numPr>
        <w:spacing w:after="80" w:line="300"/>
      </w:pPr>
      <w:r>
        <w:rPr>
          <w:sz w:val="22"/>
          <w:szCs w:val="22"/>
        </w:rPr>
        <w:t xml:space="preserve">Provides process-server search for the user's jurisdiction if personal service is chosen.</w:t>
      </w:r>
    </w:p>
    <w:p>
      <w:pPr>
        <w:pStyle w:val="ListParagraph"/>
        <w:numPr>
          <w:ilvl w:val="0"/>
          <w:numId w:val="2"/>
        </w:numPr>
        <w:spacing w:after="80" w:line="300"/>
      </w:pPr>
      <w:r>
        <w:rPr>
          <w:sz w:val="22"/>
          <w:szCs w:val="22"/>
        </w:rPr>
        <w:t xml:space="preserve">Tracks the service deadline (Fed. R. Civ. P. 4(m) — 90 days).</w:t>
      </w:r>
    </w:p>
    <w:p>
      <w:pPr>
        <w:pStyle w:val="ListParagraph"/>
        <w:numPr>
          <w:ilvl w:val="0"/>
          <w:numId w:val="2"/>
        </w:numPr>
        <w:spacing w:after="80" w:line="300"/>
      </w:pPr>
      <w:r>
        <w:rPr>
          <w:sz w:val="22"/>
          <w:szCs w:val="22"/>
        </w:rPr>
        <w:t xml:space="preserve">Tracks the answer deadline (typically 21 days after service under FRCP 12(a); 30 days for the United States).</w:t>
      </w:r>
    </w:p>
    <w:p>
      <w:pPr>
        <w:pStyle w:val="ListParagraph"/>
        <w:numPr>
          <w:ilvl w:val="0"/>
          <w:numId w:val="2"/>
        </w:numPr>
        <w:spacing w:after="80" w:line="300"/>
      </w:pPr>
      <w:r>
        <w:rPr>
          <w:sz w:val="22"/>
          <w:szCs w:val="22"/>
        </w:rPr>
        <w:t xml:space="preserve">Rolls the case into the reactive workflow the moment service is complete.</w:t>
      </w:r>
    </w:p>
    <w:p>
      <w:pPr>
        <w:pStyle w:val="Heading2"/>
        <w:spacing w:after="120" w:before="280"/>
      </w:pPr>
      <w:r>
        <w:rPr>
          <w:b/>
          <w:bCs/>
          <w:sz w:val="26"/>
          <w:szCs w:val="26"/>
        </w:rPr>
        <w:t xml:space="preserve">11.3  The transition to reactive workflow</w:t>
      </w:r>
    </w:p>
    <w:p>
      <w:pPr>
        <w:spacing w:after="120" w:line="300"/>
        <w:jc w:val="left"/>
      </w:pPr>
      <w:r>
        <w:rPr>
          <w:sz w:val="22"/>
          <w:szCs w:val="22"/>
        </w:rPr>
        <w:t xml:space="preserve">Once service is complete and the docket number exists, the case is live. The cold-start workflow ends and the workflow from Blueprint v1.0 takes over. The evidence inventory, case profile, canonical caption, tone profile, and viability report all transfer to the reactive workflow so nothing is lost.</w:t>
      </w:r>
    </w:p>
    <w:p>
      <w:pPr>
        <w:pStyle w:val="Heading1"/>
        <w:spacing w:after="160" w:before="360"/>
      </w:pPr>
      <w:r>
        <w:rPr>
          <w:b/>
          <w:bCs/>
          <w:color w:val="1B474D"/>
          <w:sz w:val="32"/>
          <w:szCs w:val="32"/>
        </w:rPr>
        <w:t xml:space="preserve">12.  What the App Asks vs. What It Figures Out</w:t>
      </w:r>
    </w:p>
    <w:p>
      <w:pPr>
        <w:spacing w:after="120" w:line="300"/>
        <w:jc w:val="left"/>
      </w:pPr>
      <w:r>
        <w:rPr>
          <w:sz w:val="22"/>
          <w:szCs w:val="22"/>
        </w:rPr>
        <w:t xml:space="preserve">A critical product decision: the fewer questions the user has to answer, the higher the completion rate. The app should figure out as much as possible from evidence, memory, and context, and only ask the user when a fact cannot be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The app figures out silently</w:t>
            </w:r>
          </w:p>
        </w:tc>
        <w:tc>
          <w:tcPr>
            <w:tcW w:type="dxa" w:w="468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The app asks the user</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Statute of limitations for each candidate claim.</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earliest date they remember the problem starting.</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Federal vs. state jurisdiction, diversity math, venue.</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state and city where they live.</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Local rules and filing fees for the identified court.</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Whether they can afford the filing fee, for IFP routing.</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defendant's registered agent or corporate officer for service.</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defendant's name as they know it.</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correct legal name and elements of each candidate cause of action.</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Their story, in their own words.</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Missing evidence that the story implies.</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Whether they can obtain that evidence, and if not, why not.</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Whether an arbitration clause exists in uploaded contracts.</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Their decision on arbitration vs. court (with app's cost/time framing).</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Whether pre-suit notice or agency exhaustion is required.</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Approval to send the demand letter or file the regulator complaint.</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complaint's section structure and formatting.</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Whether the app got the facts right.</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correct summons and civil-cover-sheet form for the court.</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Which service method they prefer (waiver, certified mail, process server).</w:t>
            </w:r>
          </w:p>
        </w:tc>
      </w:tr>
    </w:tbl>
    <w:p>
      <w:pPr>
        <w:pStyle w:val="Heading1"/>
        <w:spacing w:after="160" w:before="360"/>
      </w:pPr>
      <w:r>
        <w:rPr>
          <w:b/>
          <w:bCs/>
          <w:color w:val="1B474D"/>
          <w:sz w:val="32"/>
          <w:szCs w:val="32"/>
        </w:rPr>
        <w:t xml:space="preserve">13.  Typical Timeline</w:t>
      </w:r>
    </w:p>
    <w:p>
      <w:pPr>
        <w:spacing w:after="120" w:line="300"/>
        <w:jc w:val="left"/>
      </w:pPr>
      <w:r>
        <w:rPr>
          <w:sz w:val="22"/>
          <w:szCs w:val="22"/>
        </w:rPr>
        <w:t xml:space="preserve">End-to-end time from grievance to filed complaint, assuming the user is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Phase</w:t>
            </w:r>
          </w:p>
        </w:tc>
        <w:tc>
          <w:tcPr>
            <w:tcW w:type="dxa" w:w="24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Time (typical)</w:t>
            </w:r>
          </w:p>
        </w:tc>
        <w:tc>
          <w:tcPr>
            <w:tcW w:type="dxa" w:w="47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What eats the time</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Story Intake</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30-60 minutes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User telling the story fully; app asking gap-filler questions.</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Evidence Inventory</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1-7 days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User gathering documents from email, mail, statements, screenshots.</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Legal Theory Discovery</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10-20 minutes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generates menu; user picks theories.</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Viability Check</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20-40 minutes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verifies each claim; user reviews report.</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Pre-Suit Steps</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7-45 days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Demand-letter response window; regulator response window; EEOC processing.</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Court Selection</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10-20 minutes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runs decision tree; user confirms.</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Complaint Drafting</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2-6 hours across 1-3 sessions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App drafts; user reviews; verification; pressure-test; final revision.</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Filing Packet</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1-2 hours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Assembly, PACER/portal setup, payment, printing if paper.</w:t>
            </w:r>
          </w:p>
        </w:tc>
      </w:tr>
      <w:tr>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Service and Docketing</w:t>
            </w:r>
          </w:p>
        </w:tc>
        <w:tc>
          <w:tcPr>
            <w:tcW w:type="dxa" w:w="2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1-30 days</w:t>
            </w:r>
          </w:p>
        </w:tc>
        <w:tc>
          <w:tcPr>
            <w:tcW w:type="dxa" w:w="47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Waiver-of-service window (30-60 days) or process server scheduling.</w:t>
            </w:r>
          </w:p>
        </w:tc>
      </w:tr>
    </w:tbl>
    <w:p>
      <w:pPr>
        <w:spacing w:after="120" w:line="300"/>
        <w:jc w:val="left"/>
      </w:pPr>
      <w:r>
        <w:rPr>
          <w:sz w:val="22"/>
          <w:szCs w:val="22"/>
        </w:rPr>
        <w:t xml:space="preserve"/>
      </w:r>
    </w:p>
    <w:p>
      <w:pPr>
        <w:spacing w:after="120" w:line="300"/>
        <w:jc w:val="left"/>
      </w:pPr>
      <w:r>
        <w:rPr>
          <w:b/>
          <w:bCs/>
          <w:sz w:val="22"/>
          <w:szCs w:val="22"/>
        </w:rPr>
        <w:t xml:space="preserve">Realistic total from grievance to filed complaint: </w:t>
      </w:r>
      <w:r>
        <w:rPr>
          <w:sz w:val="22"/>
          <w:szCs w:val="22"/>
        </w:rPr>
        <w:t xml:space="preserve">two to eight weeks, with most of the time in evidence gathering and pre-suit notice windows. The drafting itself is a matter of hours once the facts and theory are locked.</w:t>
      </w:r>
    </w:p>
    <w:p>
      <w:pPr>
        <w:pStyle w:val="Heading1"/>
        <w:spacing w:after="160" w:before="360"/>
      </w:pPr>
      <w:r>
        <w:rPr>
          <w:b/>
          <w:bCs/>
          <w:color w:val="1B474D"/>
          <w:sz w:val="32"/>
          <w:szCs w:val="32"/>
        </w:rPr>
        <w:t xml:space="preserve">14.  Guardrails Specific to Cold-Start</w:t>
      </w:r>
    </w:p>
    <w:p>
      <w:pPr>
        <w:spacing w:after="120" w:line="300"/>
        <w:jc w:val="left"/>
      </w:pPr>
      <w:r>
        <w:rPr>
          <w:sz w:val="22"/>
          <w:szCs w:val="22"/>
        </w:rPr>
        <w:t xml:space="preserve">The general guardrails in the Blueprint (verification, caption lock, tone filter, deadline safety margin) apply. These four are additional and specific to the cold-start context.</w:t>
      </w:r>
    </w:p>
    <w:p>
      <w:pPr>
        <w:pStyle w:val="Heading2"/>
        <w:spacing w:after="120" w:before="280"/>
      </w:pPr>
      <w:r>
        <w:rPr>
          <w:b/>
          <w:bCs/>
          <w:sz w:val="26"/>
          <w:szCs w:val="26"/>
        </w:rPr>
        <w:t xml:space="preserve">14.1  Reality check on damages</w:t>
      </w:r>
    </w:p>
    <w:p>
      <w:pPr>
        <w:spacing w:after="120" w:line="300"/>
        <w:jc w:val="left"/>
      </w:pPr>
      <w:r>
        <w:rPr>
          <w:sz w:val="22"/>
          <w:szCs w:val="22"/>
        </w:rPr>
        <w:t xml:space="preserve">Some pro se litigants come in wanting a million dollars for a $500 harm. The app should honestly frame the realistic damages range for the claim type, in plain English, before the user commits to filing. This prevents disappointment and keeps expectations aligned with what the court will actually award.</w:t>
      </w:r>
    </w:p>
    <w:p>
      <w:pPr>
        <w:pStyle w:val="Heading2"/>
        <w:spacing w:after="120" w:before="280"/>
      </w:pPr>
      <w:r>
        <w:rPr>
          <w:b/>
          <w:bCs/>
          <w:sz w:val="26"/>
          <w:szCs w:val="26"/>
        </w:rPr>
        <w:t xml:space="preserve">14.2  Small-claims routing</w:t>
      </w:r>
    </w:p>
    <w:p>
      <w:pPr>
        <w:spacing w:after="120" w:line="300"/>
        <w:jc w:val="left"/>
      </w:pPr>
      <w:r>
        <w:rPr>
          <w:sz w:val="22"/>
          <w:szCs w:val="22"/>
        </w:rPr>
        <w:t xml:space="preserve">If the claim is worth less than the small-claims cap in the user's state, the app should recommend small claims before federal or state general jurisdiction. Small claims is faster, cheaper, and does not require the same procedural precision. The app should not push cases into federal court to feel important.</w:t>
      </w:r>
    </w:p>
    <w:p>
      <w:pPr>
        <w:pStyle w:val="Heading2"/>
        <w:spacing w:after="120" w:before="280"/>
      </w:pPr>
      <w:r>
        <w:rPr>
          <w:b/>
          <w:bCs/>
          <w:sz w:val="26"/>
          <w:szCs w:val="26"/>
        </w:rPr>
        <w:t xml:space="preserve">14.3  Arbitration honesty</w:t>
      </w:r>
    </w:p>
    <w:p>
      <w:pPr>
        <w:spacing w:after="120" w:line="300"/>
        <w:jc w:val="left"/>
      </w:pPr>
      <w:r>
        <w:rPr>
          <w:sz w:val="22"/>
          <w:szCs w:val="22"/>
        </w:rPr>
        <w:t xml:space="preserve">If an arbitration clause exists, the app should not silently draft a complaint anyway. It should surface the clause, explain the choices, and let the user pick with informed consent. Filing a case that gets bounced to arbitration wastes filing fees and user credibility.</w:t>
      </w:r>
    </w:p>
    <w:p>
      <w:pPr>
        <w:pStyle w:val="Heading2"/>
        <w:spacing w:after="120" w:before="280"/>
      </w:pPr>
      <w:r>
        <w:rPr>
          <w:b/>
          <w:bCs/>
          <w:sz w:val="26"/>
          <w:szCs w:val="26"/>
        </w:rPr>
        <w:t xml:space="preserve">14.4  "Do you actually want to do this" gate</w:t>
      </w:r>
    </w:p>
    <w:p>
      <w:pPr>
        <w:spacing w:after="120" w:line="300"/>
        <w:jc w:val="left"/>
      </w:pPr>
      <w:r>
        <w:rPr>
          <w:sz w:val="22"/>
          <w:szCs w:val="22"/>
        </w:rPr>
        <w:t xml:space="preserve">Before Phase 7 (Complaint Drafting), the app should ask a plain question: "This case will take X months, cost Y dollars in fees, and require Z hours of your time. Are you ready to commit?" With a viability summary and a realistic damages range in the same view. The gate is not paternalistic — it is respectful. Some users will decide no. That is a good outcome; the app just saved them months of frustration.</w:t>
      </w:r>
    </w:p>
    <w:p>
      <w:pPr>
        <w:pStyle w:val="Heading1"/>
        <w:spacing w:after="160" w:before="360"/>
      </w:pPr>
      <w:r>
        <w:rPr>
          <w:b/>
          <w:bCs/>
          <w:color w:val="1B474D"/>
          <w:sz w:val="32"/>
          <w:szCs w:val="32"/>
        </w:rPr>
        <w:t xml:space="preserve">15.  Integration with the Reactive Blueprint</w:t>
      </w:r>
    </w:p>
    <w:p>
      <w:pPr>
        <w:spacing w:after="120" w:line="300"/>
        <w:jc w:val="left"/>
      </w:pPr>
      <w:r>
        <w:rPr>
          <w:sz w:val="22"/>
          <w:szCs w:val="22"/>
        </w:rPr>
        <w:t xml:space="preserve">The cold-start workflow feeds directly into the reactive workflow. Nothing is lost in the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Cold-start artifact</w:t>
            </w:r>
          </w:p>
        </w:tc>
        <w:tc>
          <w:tcPr>
            <w:tcW w:type="dxa" w:w="468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Becomes in reactive workflow</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Fact narrative from Phase 1</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Case background used in every future filing.</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Evidence inventory from Phase 2</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Master exhibit list for discovery and motions.</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Selected legal theories from Phase 3</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Counts in the complaint, and defenses against motions to dismiss.</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Viability report from Phase 4</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Roadmap of which counts are strongest to defend and which need reinforcement.</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Pre-suit packet from Phase 5</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Evidence of good-faith effort; exhibits attached to complaint or motions.</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Court profile from Phase 6</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Local rules, formatting, filing method for all future filings.</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Canonical caption and signature block</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Locked stamp on every future export via the caption guardrail.</w:t>
            </w:r>
          </w:p>
        </w:tc>
      </w:tr>
      <w:tr>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Docket number from Phase 9</w:t>
            </w:r>
          </w:p>
        </w:tc>
        <w:tc>
          <w:tcPr>
            <w:tcW w:type="dxa" w:w="468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primary key that ties the reactive workflow together.</w:t>
            </w:r>
          </w:p>
        </w:tc>
      </w:tr>
    </w:tbl>
    <w:p>
      <w:pPr>
        <w:pStyle w:val="Heading1"/>
        <w:spacing w:after="160" w:before="360"/>
      </w:pPr>
      <w:r>
        <w:rPr>
          <w:b/>
          <w:bCs/>
          <w:color w:val="1B474D"/>
          <w:sz w:val="32"/>
          <w:szCs w:val="32"/>
        </w:rPr>
        <w:t xml:space="preserve">16.  Worked Example: "I Want to Sue Chase"</w:t>
      </w:r>
    </w:p>
    <w:p>
      <w:pPr>
        <w:spacing w:after="120" w:line="300"/>
        <w:jc w:val="left"/>
      </w:pPr>
      <w:r>
        <w:rPr>
          <w:sz w:val="22"/>
          <w:szCs w:val="22"/>
        </w:rPr>
        <w:t xml:space="preserve">To make this concrete, here is the workflow running end-to-end on the same fact pattern from your live case.</w:t>
      </w:r>
    </w:p>
    <w:p>
      <w:pPr>
        <w:pStyle w:val="Heading3"/>
        <w:spacing w:after="100" w:before="200"/>
      </w:pPr>
      <w:r>
        <w:rPr>
          <w:b/>
          <w:bCs/>
          <w:sz w:val="22"/>
          <w:szCs w:val="22"/>
        </w:rPr>
        <w:t xml:space="preserve">Phase 1 — Story Intake</w:t>
      </w:r>
    </w:p>
    <w:p>
      <w:pPr>
        <w:spacing w:after="120" w:line="300"/>
        <w:jc w:val="left"/>
      </w:pPr>
      <w:r>
        <w:rPr>
          <w:sz w:val="22"/>
          <w:szCs w:val="22"/>
        </w:rPr>
        <w:t xml:space="preserve">User: "I applied for a credit card at Chase. Then I sent them a Bill of Exchange for $1.44 million. They kept it. Never responded. Never gave me the credit. Never returned the document. It has been eight months."</w:t>
      </w:r>
    </w:p>
    <w:p>
      <w:pPr>
        <w:spacing w:after="120" w:line="300"/>
        <w:jc w:val="left"/>
      </w:pPr>
      <w:r>
        <w:rPr>
          <w:sz w:val="22"/>
          <w:szCs w:val="22"/>
        </w:rPr>
        <w:t xml:space="preserve">App output: a structured fact narrative capturing the credit application, the tender, the retention, the eight-month silence, and the harm.</w:t>
      </w:r>
    </w:p>
    <w:p>
      <w:pPr>
        <w:pStyle w:val="Heading3"/>
        <w:spacing w:after="100" w:before="200"/>
      </w:pPr>
      <w:r>
        <w:rPr>
          <w:b/>
          <w:bCs/>
          <w:sz w:val="22"/>
          <w:szCs w:val="22"/>
        </w:rPr>
        <w:t xml:space="preserve">Phase 2 — Evidence Inventory</w:t>
      </w:r>
    </w:p>
    <w:p>
      <w:pPr>
        <w:spacing w:after="120" w:line="300"/>
        <w:jc w:val="left"/>
      </w:pPr>
      <w:r>
        <w:rPr>
          <w:sz w:val="22"/>
          <w:szCs w:val="22"/>
        </w:rPr>
        <w:t xml:space="preserve">User uploads: the credit application confirmation, the Bill of Exchange itself, the certified-mail receipts for the December 12 and January 21 mailings, the return receipts, and the (absence of) any adverse-action notice.</w:t>
      </w:r>
    </w:p>
    <w:p>
      <w:pPr>
        <w:spacing w:after="120" w:line="300"/>
        <w:jc w:val="left"/>
      </w:pPr>
      <w:r>
        <w:rPr>
          <w:sz w:val="22"/>
          <w:szCs w:val="22"/>
        </w:rPr>
        <w:t xml:space="preserve">App output: dated, indexed evidence table. Flags missing: any written response from Chase, any adverse-action notice.</w:t>
      </w:r>
    </w:p>
    <w:p>
      <w:pPr>
        <w:pStyle w:val="Heading3"/>
        <w:spacing w:after="100" w:before="200"/>
      </w:pPr>
      <w:r>
        <w:rPr>
          <w:b/>
          <w:bCs/>
          <w:sz w:val="22"/>
          <w:szCs w:val="22"/>
        </w:rPr>
        <w:t xml:space="preserve">Phase 3 — Legal Theory Discovery</w:t>
      </w:r>
    </w:p>
    <w:p>
      <w:pPr>
        <w:spacing w:after="120" w:line="300"/>
        <w:jc w:val="left"/>
      </w:pPr>
      <w:r>
        <w:rPr>
          <w:sz w:val="22"/>
          <w:szCs w:val="22"/>
        </w:rPr>
        <w:t xml:space="preserve">App maps to: ECOA § 1691(d) (no adverse-action notice), UCC 3-501 through 3-505 (presentment and accounting), UCC 3-420 (conversion), breach of good faith (UCC 1-304), unjust enrichment, and state UDAP (LUTPA).</w:t>
      </w:r>
    </w:p>
    <w:p>
      <w:pPr>
        <w:spacing w:after="120" w:line="300"/>
        <w:jc w:val="left"/>
      </w:pPr>
      <w:r>
        <w:rPr>
          <w:sz w:val="22"/>
          <w:szCs w:val="22"/>
        </w:rPr>
        <w:t xml:space="preserve">User selects the ones they want to pursue.</w:t>
      </w:r>
    </w:p>
    <w:p>
      <w:pPr>
        <w:pStyle w:val="Heading3"/>
        <w:spacing w:after="100" w:before="200"/>
      </w:pPr>
      <w:r>
        <w:rPr>
          <w:b/>
          <w:bCs/>
          <w:sz w:val="22"/>
          <w:szCs w:val="22"/>
        </w:rPr>
        <w:t xml:space="preserve">Phase 4 — Viability Check</w:t>
      </w:r>
    </w:p>
    <w:p>
      <w:pPr>
        <w:spacing w:after="120" w:line="300"/>
        <w:jc w:val="left"/>
      </w:pPr>
      <w:r>
        <w:rPr>
          <w:sz w:val="22"/>
          <w:szCs w:val="22"/>
        </w:rPr>
        <w:t xml:space="preserve">App runs: statute of limitations (all within window), standing (user is the applicant and tenderer), jurisdiction (federal question for ECOA + supplemental jurisdiction for state claims; diversity available on face value), damages (statutory ECOA + face value of instrument + fees), pre-suit (ECOA does not require exhaustion but a demand letter strengthens the record).</w:t>
      </w:r>
    </w:p>
    <w:p>
      <w:pPr>
        <w:spacing w:after="120" w:line="300"/>
        <w:jc w:val="left"/>
      </w:pPr>
      <w:r>
        <w:rPr>
          <w:sz w:val="22"/>
          <w:szCs w:val="22"/>
        </w:rPr>
        <w:t xml:space="preserve">Output: all claims PASS, with LUTPA flagged as needing a pre-suit notice under Louisiana law.</w:t>
      </w:r>
    </w:p>
    <w:p>
      <w:pPr>
        <w:pStyle w:val="Heading3"/>
        <w:spacing w:after="100" w:before="200"/>
      </w:pPr>
      <w:r>
        <w:rPr>
          <w:b/>
          <w:bCs/>
          <w:sz w:val="22"/>
          <w:szCs w:val="22"/>
        </w:rPr>
        <w:t xml:space="preserve">Phase 5 — Pre-Suit</w:t>
      </w:r>
    </w:p>
    <w:p>
      <w:pPr>
        <w:spacing w:after="120" w:line="300"/>
        <w:jc w:val="left"/>
      </w:pPr>
      <w:r>
        <w:rPr>
          <w:sz w:val="22"/>
          <w:szCs w:val="22"/>
        </w:rPr>
        <w:t xml:space="preserve">App drafts and sends: a demand letter to Chase, a CFPB complaint, an OCC HelpWithMyBank complaint, and the LUTPA pre-suit notice. All certified-mailed and tracked. Response deadlines added to the deadline ledger.</w:t>
      </w:r>
    </w:p>
    <w:p>
      <w:pPr>
        <w:pStyle w:val="Heading3"/>
        <w:spacing w:after="100" w:before="200"/>
      </w:pPr>
      <w:r>
        <w:rPr>
          <w:b/>
          <w:bCs/>
          <w:sz w:val="22"/>
          <w:szCs w:val="22"/>
        </w:rPr>
        <w:t xml:space="preserve">Phase 6 — Court Selection</w:t>
      </w:r>
    </w:p>
    <w:p>
      <w:pPr>
        <w:spacing w:after="120" w:line="300"/>
        <w:jc w:val="left"/>
      </w:pPr>
      <w:r>
        <w:rPr>
          <w:sz w:val="22"/>
          <w:szCs w:val="22"/>
        </w:rPr>
        <w:t xml:space="preserve">App determines: federal question available (ECOA); diversity also available ($1.44M face value + Chase citizenship in Ohio/Delaware, user in Louisiana). Federal court is the choice. Venue proper in the Middle District of Louisiana (where the user resides and where the mailings originated). Court profile locked with M.D. La. local rules.</w:t>
      </w:r>
    </w:p>
    <w:p>
      <w:pPr>
        <w:pStyle w:val="Heading3"/>
        <w:spacing w:after="100" w:before="200"/>
      </w:pPr>
      <w:r>
        <w:rPr>
          <w:b/>
          <w:bCs/>
          <w:sz w:val="22"/>
          <w:szCs w:val="22"/>
        </w:rPr>
        <w:t xml:space="preserve">Phase 7 — Complaint Drafting</w:t>
      </w:r>
    </w:p>
    <w:p>
      <w:pPr>
        <w:spacing w:after="120" w:line="300"/>
        <w:jc w:val="left"/>
      </w:pPr>
      <w:r>
        <w:rPr>
          <w:sz w:val="22"/>
          <w:szCs w:val="22"/>
        </w:rPr>
        <w:t xml:space="preserve">App drafts an eight-count complaint mirroring the counts we already know work: Declaratory Judgment, Breach of Good Faith, Failure to Account, Bailment/Conversion, Unjust Enrichment (alt.), ECOA, FCRA (under § 1681b), and LUTPA. Every citation verified. Caption locked. Pressure-test surfaces the anticipated Chase attacks (worthless instrument, no relationship, sovereign-citizen framing) so the user drafts responses in advance.</w:t>
      </w:r>
    </w:p>
    <w:p>
      <w:pPr>
        <w:pStyle w:val="Heading3"/>
        <w:spacing w:after="100" w:before="200"/>
      </w:pPr>
      <w:r>
        <w:rPr>
          <w:b/>
          <w:bCs/>
          <w:sz w:val="22"/>
          <w:szCs w:val="22"/>
        </w:rPr>
        <w:t xml:space="preserve">Phase 8 — Filing Packet</w:t>
      </w:r>
    </w:p>
    <w:p>
      <w:pPr>
        <w:spacing w:after="120" w:line="300"/>
        <w:jc w:val="left"/>
      </w:pPr>
      <w:r>
        <w:rPr>
          <w:sz w:val="22"/>
          <w:szCs w:val="22"/>
        </w:rPr>
        <w:t xml:space="preserve">App assembles: complaint + JS-44 civil cover sheet + summons for Chase + IFP application if user qualifies + exhibits (BOE, mailings, receipts). Filing checklist tailored to M.D. La. PACER e-filing.</w:t>
      </w:r>
    </w:p>
    <w:p>
      <w:pPr>
        <w:pStyle w:val="Heading3"/>
        <w:spacing w:after="100" w:before="200"/>
      </w:pPr>
      <w:r>
        <w:rPr>
          <w:b/>
          <w:bCs/>
          <w:sz w:val="22"/>
          <w:szCs w:val="22"/>
        </w:rPr>
        <w:t xml:space="preserve">Phase 9 — Service and Docketing</w:t>
      </w:r>
    </w:p>
    <w:p>
      <w:pPr>
        <w:spacing w:after="120" w:line="300"/>
        <w:jc w:val="left"/>
      </w:pPr>
      <w:r>
        <w:rPr>
          <w:sz w:val="22"/>
          <w:szCs w:val="22"/>
        </w:rPr>
        <w:t xml:space="preserve">App generates a waiver-of-service request to Chase's registered agent (CT Corporation, Baton Rouge). If waived, 60-day answer window. If not, personal service via process server, 21-day answer window. Docket number captured. Case rolls into the reactive workflow.</w:t>
      </w:r>
    </w:p>
    <w:p>
      <w:pPr>
        <w:spacing w:after="120" w:line="300"/>
        <w:jc w:val="left"/>
      </w:pPr>
      <w:r>
        <w:rPr>
          <w:b/>
          <w:bCs/>
          <w:sz w:val="22"/>
          <w:szCs w:val="22"/>
        </w:rPr>
        <w:t xml:space="preserve">Total elapsed time from "I want to sue Chase" to filed complaint: </w:t>
      </w:r>
      <w:r>
        <w:rPr>
          <w:sz w:val="22"/>
          <w:szCs w:val="22"/>
        </w:rPr>
        <w:t xml:space="preserve">roughly three to five weeks, most of that in evidence gathering and the demand-letter response window.</w:t>
      </w:r>
    </w:p>
    <w:p>
      <w:pPr>
        <w:pStyle w:val="Heading1"/>
        <w:spacing w:after="160" w:before="360"/>
      </w:pPr>
      <w:r>
        <w:rPr>
          <w:b/>
          <w:bCs/>
          <w:color w:val="1B474D"/>
          <w:sz w:val="32"/>
          <w:szCs w:val="32"/>
        </w:rPr>
        <w:t xml:space="preserve">17.  Closing</w:t>
      </w:r>
    </w:p>
    <w:p>
      <w:pPr>
        <w:spacing w:after="120" w:line="300"/>
        <w:jc w:val="left"/>
      </w:pPr>
      <w:r>
        <w:rPr>
          <w:sz w:val="22"/>
          <w:szCs w:val="22"/>
        </w:rPr>
        <w:t xml:space="preserve">The Blueprint told ProSe Navigator how to help someone already fighting. This document tells it how to help someone still deciding whether to fight — and how to move them from decision to filing without a wasted step.</w:t>
      </w:r>
    </w:p>
    <w:p>
      <w:pPr>
        <w:spacing w:after="120" w:line="300"/>
        <w:jc w:val="left"/>
      </w:pPr>
      <w:r>
        <w:rPr>
          <w:sz w:val="22"/>
          <w:szCs w:val="22"/>
        </w:rPr>
        <w:t xml:space="preserve">The two workflows share the same architecture: layered context, subagents for heavy work, verification as a hard gate, memory as a first-class citizen, and the seven-step meta-loop applied to every drafting task. What differs is the entry point. Cold-start begins with a story; reactive begins with a filing. Both end with the user better positioned than they were before they opened the 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ProSe Navigator  |  Cold-Start Workflow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74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8251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2026-07-18T10:35:58.905Z</dcterms:created>
  <dcterms:modified xsi:type="dcterms:W3CDTF">2026-07-18T10:35:58.906Z</dcterms:modified>
</cp:coreProperties>
</file>

<file path=docProps/custom.xml><?xml version="1.0" encoding="utf-8"?>
<Properties xmlns="http://schemas.openxmlformats.org/officeDocument/2006/custom-properties" xmlns:vt="http://schemas.openxmlformats.org/officeDocument/2006/docPropsVTypes"/>
</file>