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STRATEGIC CASE ANALYSIS</w:t>
      </w:r>
    </w:p>
    <w:p>
      <w:pPr>
        <w:spacing w:after="60"/>
        <w:jc w:val="center"/>
      </w:pPr>
      <w:r>
        <w:rPr>
          <w:b/>
          <w:bCs/>
          <w:sz w:val="26"/>
          <w:szCs w:val="26"/>
        </w:rPr>
        <w:t xml:space="preserve">Eli Fields v. JPMorgan Chase Bank, N.A.</w:t>
      </w:r>
    </w:p>
    <w:p>
      <w:pPr>
        <w:spacing w:after="60"/>
        <w:jc w:val="center"/>
      </w:pPr>
      <w:r>
        <w:rPr>
          <w:color w:val="555555"/>
          <w:sz w:val="22"/>
          <w:szCs w:val="22"/>
        </w:rPr>
        <w:t xml:space="preserve">No. 3:26-cv-00287-SDD-EWD  |  Middle District of Louisiana</w:t>
      </w:r>
    </w:p>
    <w:p>
      <w:pPr>
        <w:spacing w:after="240"/>
        <w:jc w:val="center"/>
      </w:pPr>
      <w:r>
        <w:rPr>
          <w:i/>
          <w:iCs/>
          <w:color w:val="777777"/>
          <w:sz w:val="20"/>
          <w:szCs w:val="20"/>
        </w:rPr>
        <w:t xml:space="preserve">Prepared July 16, 2026  |  Attorney Work Product / Privileged &amp; Confidential</w:t>
      </w:r>
    </w:p>
    <w:p>
      <w:pPr>
        <w:pStyle w:val="Heading1"/>
        <w:spacing w:after="160" w:before="360"/>
      </w:pPr>
      <w:r>
        <w:rPr>
          <w:b/>
          <w:bCs/>
          <w:sz w:val="32"/>
          <w:szCs w:val="32"/>
        </w:rPr>
        <w:t xml:space="preserve">1.  Executive Summary</w:t>
      </w:r>
    </w:p>
    <w:p>
      <w:pPr>
        <w:spacing w:after="120" w:line="300"/>
        <w:jc w:val="left"/>
      </w:pPr>
      <w:r>
        <w:rPr>
          <w:sz w:val="22"/>
          <w:szCs w:val="22"/>
        </w:rPr>
        <w:t xml:space="preserve">This case is in the classic pre-discovery stall pattern. Chase has filed three motions worth of paper (motion to dismiss, opposition to substitution, motion to strike the reply), and produced zero evidence — no affidavits, no ledger entries, no return-mail logs, no CIP records. The judge has not yet ruled on the pending motions. That silence is the leverage point.</w:t>
      </w:r>
    </w:p>
    <w:p>
      <w:pPr>
        <w:spacing w:after="120" w:line="300"/>
        <w:jc w:val="left"/>
      </w:pPr>
      <w:r>
        <w:rPr>
          <w:sz w:val="22"/>
          <w:szCs w:val="22"/>
        </w:rPr>
        <w:t xml:space="preserve">The core insight: discovery equals settlement. Once Chase is under a Rule 26(f) obligation to produce documents about what it did with a $1.44 million instrument it has retained for 216+ days, the litigation dynamic changes overnight. Chase will not voluntarily explain what it did with the Bill of Exchange. Every motion Chase has filed is designed to prevent that day from arriving.</w:t>
      </w:r>
    </w:p>
    <w:p>
      <w:pPr>
        <w:spacing w:after="120" w:line="300"/>
        <w:jc w:val="left"/>
      </w:pPr>
      <w:r>
        <w:rPr>
          <w:sz w:val="22"/>
          <w:szCs w:val="22"/>
        </w:rPr>
        <w:t xml:space="preserve">The strategic path to that day runs through five prioritized moves set out in Section 6. The highest-leverage move is not another merits brief — it is a properly-framed status conference request combined with a motion for a Rule 26(f) scheduling conference, which forces the court to acknowledge that the case is pending and creates the procedural gravity that pushes toward a scheduling order.</w:t>
      </w:r>
    </w:p>
    <w:p>
      <w:pPr>
        <w:pStyle w:val="Heading1"/>
        <w:spacing w:after="160" w:before="360"/>
      </w:pPr>
      <w:r>
        <w:rPr>
          <w:b/>
          <w:bCs/>
          <w:sz w:val="32"/>
          <w:szCs w:val="32"/>
        </w:rPr>
        <w:t xml:space="preserve">2.  Docket Map and Pending Motions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560"/>
        <w:gridCol w:w="2600"/>
      </w:tblGrid>
      <w:tr>
        <w:trPr>
          <w:tblHeader/>
        </w:trPr>
        <w:tc>
          <w:tcPr>
            <w:tcW w:type="dxa" w:w="14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ECF</w:t>
            </w:r>
          </w:p>
        </w:tc>
        <w:tc>
          <w:tcPr>
            <w:tcW w:type="dxa" w:w="18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Date</w:t>
            </w:r>
          </w:p>
        </w:tc>
        <w:tc>
          <w:tcPr>
            <w:tcW w:type="dxa" w:w="356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Filing</w:t>
            </w:r>
          </w:p>
        </w:tc>
        <w:tc>
          <w:tcPr>
            <w:tcW w:type="dxa" w:w="26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Status</w:t>
            </w:r>
          </w:p>
        </w:tc>
      </w:tr>
      <w:tr>
        <w:tc>
          <w:tcPr>
            <w:tcW w:type="dxa" w:w="1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1</w:t>
            </w:r>
          </w:p>
        </w:tc>
        <w:tc>
          <w:tcPr>
            <w:tcW w:type="dxa" w:w="1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Mar. 17, 2026</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Chase Notice of Removal — diversity, $1.44M face value</w:t>
            </w:r>
          </w:p>
        </w:tc>
        <w:tc>
          <w:tcPr>
            <w:tcW w:type="dxa" w:w="2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Docketed</w:t>
            </w:r>
          </w:p>
        </w:tc>
      </w:tr>
      <w:tr>
        <w:tc>
          <w:tcPr>
            <w:tcW w:type="dxa" w:w="1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4 / 4-1</w:t>
            </w:r>
          </w:p>
        </w:tc>
        <w:tc>
          <w:tcPr>
            <w:tcW w:type="dxa" w:w="1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Mar. 24, 2026</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Chase Motion to Dismiss (Rule 12(b)(6)) — "worthless / bogus / sovereign citizen"</w:t>
            </w:r>
          </w:p>
        </w:tc>
        <w:tc>
          <w:tcPr>
            <w:tcW w:type="dxa" w:w="2600"/>
            <w:tcBorders>
              <w:top w:val="single" w:color="9B9B9B" w:sz="4"/>
              <w:left w:val="single" w:color="9B9B9B" w:sz="4"/>
              <w:bottom w:val="single" w:color="9B9B9B" w:sz="4"/>
              <w:right w:val="single" w:color="9B9B9B" w:sz="4"/>
            </w:tcBorders>
            <w:shd w:fill="F5F1E6" w:val="clear"/>
            <w:tcMar>
              <w:top w:type="dxa" w:w="80"/>
              <w:left w:type="dxa" w:w="120"/>
              <w:bottom w:type="dxa" w:w="80"/>
              <w:right w:type="dxa" w:w="120"/>
            </w:tcMar>
          </w:tcPr>
          <w:p>
            <w:pPr>
              <w:spacing w:after="40" w:line="280"/>
            </w:pPr>
            <w:r>
              <w:rPr>
                <w:sz w:val="20"/>
                <w:szCs w:val="20"/>
              </w:rPr>
              <w:t xml:space="preserve">Pending</w:t>
            </w:r>
          </w:p>
        </w:tc>
      </w:tr>
      <w:tr>
        <w:tc>
          <w:tcPr>
            <w:tcW w:type="dxa" w:w="1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5</w:t>
            </w:r>
          </w:p>
        </w:tc>
        <w:tc>
          <w:tcPr>
            <w:tcW w:type="dxa" w:w="1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Mar. 23, 2026</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Plaintiff Motion to Remand</w:t>
            </w:r>
          </w:p>
        </w:tc>
        <w:tc>
          <w:tcPr>
            <w:tcW w:type="dxa" w:w="2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Fully briefed</w:t>
            </w:r>
          </w:p>
        </w:tc>
      </w:tr>
      <w:tr>
        <w:tc>
          <w:tcPr>
            <w:tcW w:type="dxa" w:w="1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7</w:t>
            </w:r>
          </w:p>
        </w:tc>
        <w:tc>
          <w:tcPr>
            <w:tcW w:type="dxa" w:w="1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Apr. 10, 2026</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Chase Opposition to Remand (also LexisNexis exhibit issue)</w:t>
            </w:r>
          </w:p>
        </w:tc>
        <w:tc>
          <w:tcPr>
            <w:tcW w:type="dxa" w:w="2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Docketed</w:t>
            </w:r>
          </w:p>
        </w:tc>
      </w:tr>
      <w:tr>
        <w:tc>
          <w:tcPr>
            <w:tcW w:type="dxa" w:w="1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11</w:t>
            </w:r>
          </w:p>
        </w:tc>
        <w:tc>
          <w:tcPr>
            <w:tcW w:type="dxa" w:w="1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Apr. 20, 2026</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Chase Reply in Support of MTD</w:t>
            </w:r>
          </w:p>
        </w:tc>
        <w:tc>
          <w:tcPr>
            <w:tcW w:type="dxa" w:w="2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Fully briefed</w:t>
            </w:r>
          </w:p>
        </w:tc>
      </w:tr>
      <w:tr>
        <w:tc>
          <w:tcPr>
            <w:tcW w:type="dxa" w:w="1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12</w:t>
            </w:r>
          </w:p>
        </w:tc>
        <w:tc>
          <w:tcPr>
            <w:tcW w:type="dxa" w:w="1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Apr. 23, 2026</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Order (Mag. Wilder-Doomes) — Rule 5.2 redaction required</w:t>
            </w:r>
          </w:p>
        </w:tc>
        <w:tc>
          <w:tcPr>
            <w:tcW w:type="dxa" w:w="2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Ruled</w:t>
            </w:r>
          </w:p>
        </w:tc>
      </w:tr>
      <w:tr>
        <w:tc>
          <w:tcPr>
            <w:tcW w:type="dxa" w:w="1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26</w:t>
            </w:r>
          </w:p>
        </w:tc>
        <w:tc>
          <w:tcPr>
            <w:tcW w:type="dxa" w:w="1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May 15, 2026</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Mag. Order — juridical entity representation deadline</w:t>
            </w:r>
          </w:p>
        </w:tc>
        <w:tc>
          <w:tcPr>
            <w:tcW w:type="dxa" w:w="2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Mooted by ECF 32</w:t>
            </w:r>
          </w:p>
        </w:tc>
      </w:tr>
      <w:tr>
        <w:tc>
          <w:tcPr>
            <w:tcW w:type="dxa" w:w="1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32</w:t>
            </w:r>
          </w:p>
        </w:tc>
        <w:tc>
          <w:tcPr>
            <w:tcW w:type="dxa" w:w="1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May 26, 2026</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Motion to Substitute Eli Fields (Rule 17(a)(3)) + Motion to Amend (Rule 15(a)(2))</w:t>
            </w:r>
          </w:p>
        </w:tc>
        <w:tc>
          <w:tcPr>
            <w:tcW w:type="dxa" w:w="2600"/>
            <w:tcBorders>
              <w:top w:val="single" w:color="9B9B9B" w:sz="4"/>
              <w:left w:val="single" w:color="9B9B9B" w:sz="4"/>
              <w:bottom w:val="single" w:color="9B9B9B" w:sz="4"/>
              <w:right w:val="single" w:color="9B9B9B" w:sz="4"/>
            </w:tcBorders>
            <w:shd w:fill="F5F1E6" w:val="clear"/>
            <w:tcMar>
              <w:top w:type="dxa" w:w="80"/>
              <w:left w:type="dxa" w:w="120"/>
              <w:bottom w:type="dxa" w:w="80"/>
              <w:right w:type="dxa" w:w="120"/>
            </w:tcMar>
          </w:tcPr>
          <w:p>
            <w:pPr>
              <w:spacing w:after="40" w:line="280"/>
            </w:pPr>
            <w:r>
              <w:rPr>
                <w:sz w:val="20"/>
                <w:szCs w:val="20"/>
              </w:rPr>
              <w:t xml:space="preserve">Pending</w:t>
            </w:r>
          </w:p>
        </w:tc>
      </w:tr>
      <w:tr>
        <w:tc>
          <w:tcPr>
            <w:tcW w:type="dxa" w:w="1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33 / 34</w:t>
            </w:r>
          </w:p>
        </w:tc>
        <w:tc>
          <w:tcPr>
            <w:tcW w:type="dxa" w:w="1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Jun. 15, 2026</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Chase Opposition to Substitution/Amendment</w:t>
            </w:r>
          </w:p>
        </w:tc>
        <w:tc>
          <w:tcPr>
            <w:tcW w:type="dxa" w:w="2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Docketed</w:t>
            </w:r>
          </w:p>
        </w:tc>
      </w:tr>
      <w:tr>
        <w:tc>
          <w:tcPr>
            <w:tcW w:type="dxa" w:w="1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35</w:t>
            </w:r>
          </w:p>
        </w:tc>
        <w:tc>
          <w:tcPr>
            <w:tcW w:type="dxa" w:w="1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Jun. 26, 2026</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Plaintiff Reply in Support of Substitution — the strategic anchor</w:t>
            </w:r>
          </w:p>
        </w:tc>
        <w:tc>
          <w:tcPr>
            <w:tcW w:type="dxa" w:w="2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Docketed</w:t>
            </w:r>
          </w:p>
        </w:tc>
      </w:tr>
      <w:tr>
        <w:tc>
          <w:tcPr>
            <w:tcW w:type="dxa" w:w="14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36</w:t>
            </w:r>
          </w:p>
        </w:tc>
        <w:tc>
          <w:tcPr>
            <w:tcW w:type="dxa" w:w="1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Jul. 10, 2026</w:t>
            </w:r>
          </w:p>
        </w:tc>
        <w:tc>
          <w:tcPr>
            <w:tcW w:type="dxa" w:w="35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Chase Motion to Strike Reply (LR 7(f))</w:t>
            </w:r>
          </w:p>
        </w:tc>
        <w:tc>
          <w:tcPr>
            <w:tcW w:type="dxa" w:w="2600"/>
            <w:tcBorders>
              <w:top w:val="single" w:color="9B9B9B" w:sz="4"/>
              <w:left w:val="single" w:color="9B9B9B" w:sz="4"/>
              <w:bottom w:val="single" w:color="9B9B9B" w:sz="4"/>
              <w:right w:val="single" w:color="9B9B9B" w:sz="4"/>
            </w:tcBorders>
            <w:shd w:fill="F5F1E6" w:val="clear"/>
            <w:tcMar>
              <w:top w:type="dxa" w:w="80"/>
              <w:left w:type="dxa" w:w="120"/>
              <w:bottom w:type="dxa" w:w="80"/>
              <w:right w:type="dxa" w:w="120"/>
            </w:tcMar>
          </w:tcPr>
          <w:p>
            <w:pPr>
              <w:spacing w:after="40" w:line="280"/>
            </w:pPr>
            <w:r>
              <w:rPr>
                <w:sz w:val="20"/>
                <w:szCs w:val="20"/>
              </w:rPr>
              <w:t xml:space="preserve">Pending</w:t>
            </w:r>
          </w:p>
        </w:tc>
      </w:tr>
    </w:tbl>
    <w:p>
      <w:pPr>
        <w:spacing w:after="120" w:line="300"/>
        <w:jc w:val="left"/>
      </w:pPr>
      <w:r>
        <w:rPr>
          <w:sz w:val="22"/>
          <w:szCs w:val="22"/>
        </w:rPr>
        <w:t xml:space="preserve"/>
      </w:r>
    </w:p>
    <w:p>
      <w:pPr>
        <w:spacing w:after="120" w:line="300"/>
        <w:jc w:val="left"/>
      </w:pPr>
      <w:r>
        <w:rPr>
          <w:b/>
          <w:bCs/>
          <w:sz w:val="22"/>
          <w:szCs w:val="22"/>
        </w:rPr>
        <w:t xml:space="preserve">Three motions currently pending: </w:t>
      </w:r>
      <w:r>
        <w:rPr>
          <w:sz w:val="22"/>
          <w:szCs w:val="22"/>
        </w:rPr>
        <w:t xml:space="preserve">(a) Chase MTD (ECF 4); (b) Substitution/Amendment (ECF 32); (c) Chase Motion to Strike Reply (ECF 36). Opposition to ECF 36 deadline: Friday, July 31, 2026. Recommended filing window: Monday, July 20 through Wednesday, July 22.</w:t>
      </w:r>
    </w:p>
    <w:p>
      <w:pPr>
        <w:pStyle w:val="Heading1"/>
        <w:spacing w:after="160" w:before="360"/>
      </w:pPr>
      <w:r>
        <w:rPr>
          <w:b/>
          <w:bCs/>
          <w:sz w:val="32"/>
          <w:szCs w:val="32"/>
        </w:rPr>
        <w:t xml:space="preserve">3.  What Chase Has Already Told the Court</w:t>
      </w:r>
    </w:p>
    <w:p>
      <w:pPr>
        <w:spacing w:after="120" w:line="300"/>
        <w:jc w:val="left"/>
      </w:pPr>
      <w:r>
        <w:rPr>
          <w:sz w:val="22"/>
          <w:szCs w:val="22"/>
        </w:rPr>
        <w:t xml:space="preserve">Chase's own filings have created contradictions and admissions that anchor the case. Understanding what is already on the record — and what is conspicuously not on it — is the foundation for every hidden chess move that follows.</w:t>
      </w:r>
    </w:p>
    <w:p>
      <w:pPr>
        <w:pStyle w:val="Heading2"/>
        <w:spacing w:after="120" w:before="280"/>
      </w:pPr>
      <w:r>
        <w:rPr>
          <w:b/>
          <w:bCs/>
          <w:sz w:val="26"/>
          <w:szCs w:val="26"/>
        </w:rPr>
        <w:t xml:space="preserve">3.1  Chase's ten admissions that Eli Fields is the individual applicant</w:t>
      </w:r>
    </w:p>
    <w:p>
      <w:pPr>
        <w:spacing w:after="120" w:line="300"/>
        <w:jc w:val="left"/>
      </w:pPr>
      <w:r>
        <w:rPr>
          <w:sz w:val="22"/>
          <w:szCs w:val="22"/>
        </w:rPr>
        <w:t xml:space="preserve">These are statements by Chase, in filings under counsel's signature, in this action:</w:t>
      </w:r>
    </w:p>
    <w:p>
      <w:pPr>
        <w:pStyle w:val="ListParagraph"/>
        <w:numPr>
          <w:ilvl w:val="0"/>
          <w:numId w:val="2"/>
        </w:numPr>
        <w:spacing w:after="80" w:line="300"/>
      </w:pPr>
      <w:r>
        <w:rPr>
          <w:sz w:val="22"/>
          <w:szCs w:val="22"/>
        </w:rPr>
        <w:t xml:space="preserve">ECF 4-1 at 1 — "Plaintiff Global Legends Trust and its applicant, Eli Fields."</w:t>
      </w:r>
    </w:p>
    <w:p>
      <w:pPr>
        <w:pStyle w:val="ListParagraph"/>
        <w:numPr>
          <w:ilvl w:val="0"/>
          <w:numId w:val="2"/>
        </w:numPr>
        <w:spacing w:after="80" w:line="300"/>
      </w:pPr>
      <w:r>
        <w:rPr>
          <w:sz w:val="22"/>
          <w:szCs w:val="22"/>
        </w:rPr>
        <w:t xml:space="preserve">ECF 4-1 at 2 — identifies "ELI FIELDS" as the "Applicant"; references "Plaintiff and/or Fields."</w:t>
      </w:r>
    </w:p>
    <w:p>
      <w:pPr>
        <w:pStyle w:val="ListParagraph"/>
        <w:numPr>
          <w:ilvl w:val="0"/>
          <w:numId w:val="2"/>
        </w:numPr>
        <w:spacing w:after="80" w:line="300"/>
      </w:pPr>
      <w:r>
        <w:rPr>
          <w:sz w:val="22"/>
          <w:szCs w:val="22"/>
        </w:rPr>
        <w:t xml:space="preserve">ECF 4-1 at 6 — "Fields applied for a Sapphire credit card"; "on Fields' behalf."</w:t>
      </w:r>
    </w:p>
    <w:p>
      <w:pPr>
        <w:pStyle w:val="ListParagraph"/>
        <w:numPr>
          <w:ilvl w:val="0"/>
          <w:numId w:val="2"/>
        </w:numPr>
        <w:spacing w:after="80" w:line="300"/>
      </w:pPr>
      <w:r>
        <w:rPr>
          <w:sz w:val="22"/>
          <w:szCs w:val="22"/>
        </w:rPr>
        <w:t xml:space="preserve">ECF 4-1 at 11 — "Chase had no contractual or other legal relationship with Plaintiff or Fields."</w:t>
      </w:r>
    </w:p>
    <w:p>
      <w:pPr>
        <w:pStyle w:val="ListParagraph"/>
        <w:numPr>
          <w:ilvl w:val="0"/>
          <w:numId w:val="2"/>
        </w:numPr>
        <w:spacing w:after="80" w:line="300"/>
      </w:pPr>
      <w:r>
        <w:rPr>
          <w:sz w:val="22"/>
          <w:szCs w:val="22"/>
        </w:rPr>
        <w:t xml:space="preserve">ECF 4-1 at 15 — "Plaintiff's and Fields' bill of exchange."</w:t>
      </w:r>
    </w:p>
    <w:p>
      <w:pPr>
        <w:pStyle w:val="ListParagraph"/>
        <w:numPr>
          <w:ilvl w:val="0"/>
          <w:numId w:val="2"/>
        </w:numPr>
        <w:spacing w:after="80" w:line="300"/>
      </w:pPr>
      <w:r>
        <w:rPr>
          <w:sz w:val="22"/>
          <w:szCs w:val="22"/>
        </w:rPr>
        <w:t xml:space="preserve">ECF 1 and ECF 2 — Eli Fields identified as "Representative for Plaintiff."</w:t>
      </w:r>
    </w:p>
    <w:p>
      <w:pPr>
        <w:pStyle w:val="ListParagraph"/>
        <w:numPr>
          <w:ilvl w:val="0"/>
          <w:numId w:val="2"/>
        </w:numPr>
        <w:spacing w:after="80" w:line="300"/>
      </w:pPr>
      <w:r>
        <w:rPr>
          <w:sz w:val="22"/>
          <w:szCs w:val="22"/>
        </w:rPr>
        <w:t xml:space="preserve">ECF 33/34 opposition to substitution — Chase serves papers on Eli Fields individually at his residential address while contesting his individual capacity.</w:t>
      </w:r>
    </w:p>
    <w:p>
      <w:pPr>
        <w:pStyle w:val="ListParagraph"/>
        <w:numPr>
          <w:ilvl w:val="0"/>
          <w:numId w:val="2"/>
        </w:numPr>
        <w:spacing w:after="80" w:line="300"/>
      </w:pPr>
      <w:r>
        <w:rPr>
          <w:sz w:val="22"/>
          <w:szCs w:val="22"/>
        </w:rPr>
        <w:t xml:space="preserve">ECF 36 Motion to Strike — service block again lists "Eli Fields" at his individual address while the caption still names "Global Legends Trust."</w:t>
      </w:r>
    </w:p>
    <w:p>
      <w:pPr>
        <w:spacing w:after="120" w:line="300"/>
        <w:jc w:val="left"/>
      </w:pPr>
      <w:r>
        <w:rPr>
          <w:sz w:val="22"/>
          <w:szCs w:val="22"/>
        </w:rPr>
        <w:t xml:space="preserve">The record demonstrates Chase treats Eli Fields as the individual party for every purpose except caption. This is the substitution motion's strongest fact — and it is unrebutted.</w:t>
      </w:r>
    </w:p>
    <w:p>
      <w:pPr>
        <w:pStyle w:val="Heading2"/>
        <w:spacing w:after="120" w:before="280"/>
      </w:pPr>
      <w:r>
        <w:rPr>
          <w:b/>
          <w:bCs/>
          <w:sz w:val="26"/>
          <w:szCs w:val="26"/>
        </w:rPr>
        <w:t xml:space="preserve">3.2  Chase's two irreconcilable positions on the instrument</w:t>
      </w:r>
    </w:p>
    <w:p>
      <w:pPr>
        <w:spacing w:after="120" w:line="300"/>
        <w:jc w:val="left"/>
      </w:pPr>
      <w:r>
        <w:rPr>
          <w:sz w:val="22"/>
          <w:szCs w:val="22"/>
        </w:rPr>
        <w:t xml:space="preserve">This is the judicial estoppel point. Chase has taken two contradictory positions in the same case:</w:t>
      </w:r>
    </w:p>
    <w:p>
      <w:pPr>
        <w:spacing w:after="120" w:line="300"/>
        <w:jc w:val="left"/>
      </w:pPr>
      <w:r>
        <w:rPr>
          <w:b/>
          <w:bCs/>
          <w:sz w:val="22"/>
          <w:szCs w:val="22"/>
        </w:rPr>
        <w:t xml:space="preserve">Position A (jurisdiction): </w:t>
      </w:r>
      <w:r>
        <w:rPr>
          <w:sz w:val="22"/>
          <w:szCs w:val="22"/>
        </w:rPr>
        <w:t xml:space="preserve">The Bill of Exchange is worth $1,440,000, which satisfies the $75,000 amount-in-controversy requirement for diversity jurisdiction under 28 U.S.C. § 1332. Chase relied on this in the Notice of Removal (ECF 1) and repeated it in its Local Rule 7(f) Statement (ECF 2).</w:t>
      </w:r>
    </w:p>
    <w:p>
      <w:pPr>
        <w:spacing w:after="120" w:line="300"/>
        <w:jc w:val="left"/>
      </w:pPr>
      <w:r>
        <w:rPr>
          <w:b/>
          <w:bCs/>
          <w:sz w:val="22"/>
          <w:szCs w:val="22"/>
        </w:rPr>
        <w:t xml:space="preserve">Position B (merits): </w:t>
      </w:r>
      <w:r>
        <w:rPr>
          <w:sz w:val="22"/>
          <w:szCs w:val="22"/>
        </w:rPr>
        <w:t xml:space="preserve">The same instrument is "worthless," "bogus," "vapor money," and creates no obligation. Chase argued this in ECF 4-1 and ECF 11.</w:t>
      </w:r>
    </w:p>
    <w:p>
      <w:pPr>
        <w:spacing w:after="120" w:line="300"/>
        <w:jc w:val="left"/>
      </w:pPr>
      <w:r>
        <w:rPr>
          <w:sz w:val="22"/>
          <w:szCs w:val="22"/>
        </w:rPr>
        <w:t xml:space="preserve">Chase cannot logically hold both positions. An instrument cannot be worth $1.44 million for the purpose of dragging this case into federal court and worthless for the purpose of avoiding an answer. Under New Hampshire v. Maine, 532 U.S. 742, 749-51 (2001), a party that persuades a court of one position is estopped from taking a clearly inconsistent later position. This is not a merits argument — it is a jurisdictional-integrity argument, which is precisely the kind of contradiction courts take seriously.</w:t>
      </w:r>
    </w:p>
    <w:p>
      <w:pPr>
        <w:pStyle w:val="Heading2"/>
        <w:spacing w:after="120" w:before="280"/>
      </w:pPr>
      <w:r>
        <w:rPr>
          <w:b/>
          <w:bCs/>
          <w:sz w:val="26"/>
          <w:szCs w:val="26"/>
        </w:rPr>
        <w:t xml:space="preserve">3.3  What Chase has never produced</w:t>
      </w:r>
    </w:p>
    <w:p>
      <w:pPr>
        <w:spacing w:after="120" w:line="300"/>
        <w:jc w:val="left"/>
      </w:pPr>
      <w:r>
        <w:rPr>
          <w:sz w:val="22"/>
          <w:szCs w:val="22"/>
        </w:rPr>
        <w:t xml:space="preserve">For a bank that has held an instrument for over 216 days, Chase's filings are conspicuously bare of the documents any competent bank would produce to prove non-receipt or return:</w:t>
      </w:r>
    </w:p>
    <w:p>
      <w:pPr>
        <w:pStyle w:val="ListParagraph"/>
        <w:numPr>
          <w:ilvl w:val="0"/>
          <w:numId w:val="2"/>
        </w:numPr>
        <w:spacing w:after="80" w:line="300"/>
      </w:pPr>
      <w:r>
        <w:rPr>
          <w:sz w:val="22"/>
          <w:szCs w:val="22"/>
        </w:rPr>
        <w:t xml:space="preserve">No return-mail log or postal record showing the instrument or the Conditional Acceptance was refused or returned.</w:t>
      </w:r>
    </w:p>
    <w:p>
      <w:pPr>
        <w:pStyle w:val="ListParagraph"/>
        <w:numPr>
          <w:ilvl w:val="0"/>
          <w:numId w:val="2"/>
        </w:numPr>
        <w:spacing w:after="80" w:line="300"/>
      </w:pPr>
      <w:r>
        <w:rPr>
          <w:sz w:val="22"/>
          <w:szCs w:val="22"/>
        </w:rPr>
        <w:t xml:space="preserve">No mailroom or intake record showing what happened to the certified mail delivered December 12, 2025 and January 21, 2026.</w:t>
      </w:r>
    </w:p>
    <w:p>
      <w:pPr>
        <w:pStyle w:val="ListParagraph"/>
        <w:numPr>
          <w:ilvl w:val="0"/>
          <w:numId w:val="2"/>
        </w:numPr>
        <w:spacing w:after="80" w:line="300"/>
      </w:pPr>
      <w:r>
        <w:rPr>
          <w:sz w:val="22"/>
          <w:szCs w:val="22"/>
        </w:rPr>
        <w:t xml:space="preserve">No adverse-action notice under 15 U.S.C. § 1691(d).</w:t>
      </w:r>
    </w:p>
    <w:p>
      <w:pPr>
        <w:pStyle w:val="ListParagraph"/>
        <w:numPr>
          <w:ilvl w:val="0"/>
          <w:numId w:val="2"/>
        </w:numPr>
        <w:spacing w:after="80" w:line="300"/>
      </w:pPr>
      <w:r>
        <w:rPr>
          <w:sz w:val="22"/>
          <w:szCs w:val="22"/>
        </w:rPr>
        <w:t xml:space="preserve">No dishonor documentation under La. R.S. § 10:3-503 (evidence of dishonor).</w:t>
      </w:r>
    </w:p>
    <w:p>
      <w:pPr>
        <w:pStyle w:val="ListParagraph"/>
        <w:numPr>
          <w:ilvl w:val="0"/>
          <w:numId w:val="2"/>
        </w:numPr>
        <w:spacing w:after="80" w:line="300"/>
      </w:pPr>
      <w:r>
        <w:rPr>
          <w:sz w:val="22"/>
          <w:szCs w:val="22"/>
        </w:rPr>
        <w:t xml:space="preserve">No Customer Identification Program record under 31 C.F.R. § 1020.220 disproving Chase's custody of Eli Fields' individual identifiers.</w:t>
      </w:r>
    </w:p>
    <w:p>
      <w:pPr>
        <w:pStyle w:val="ListParagraph"/>
        <w:numPr>
          <w:ilvl w:val="0"/>
          <w:numId w:val="2"/>
        </w:numPr>
        <w:spacing w:after="80" w:line="300"/>
      </w:pPr>
      <w:r>
        <w:rPr>
          <w:sz w:val="22"/>
          <w:szCs w:val="22"/>
        </w:rPr>
        <w:t xml:space="preserve">No affidavit from any Chase officer describing what happened with the tender.</w:t>
      </w:r>
    </w:p>
    <w:p>
      <w:pPr>
        <w:spacing w:after="120" w:line="300"/>
        <w:jc w:val="left"/>
      </w:pPr>
      <w:r>
        <w:rPr>
          <w:sz w:val="22"/>
          <w:szCs w:val="22"/>
        </w:rPr>
        <w:t xml:space="preserve">This absence is itself evidence. Chase has had over eight months and multiple filing opportunities to produce a single business record showing the instrument was returned or dishonored. Chase has produced none. The Reply (ECF 35, §VI) frames it precisely: "A defendant with a clean record on a disputed transaction ordinarily wants discovery. A defendant who is confident that the document it received was junk mail ordinarily produces the return-mail logs or the disposition records showing what happened to the document. Defendant has produced none of these things."</w:t>
      </w:r>
    </w:p>
    <w:p>
      <w:pPr>
        <w:pStyle w:val="Heading1"/>
        <w:spacing w:after="160" w:before="360"/>
      </w:pPr>
      <w:r>
        <w:rPr>
          <w:b/>
          <w:bCs/>
          <w:sz w:val="32"/>
          <w:szCs w:val="32"/>
        </w:rPr>
        <w:t xml:space="preserve">4.  Hidden Chess Moves</w:t>
      </w:r>
    </w:p>
    <w:p>
      <w:pPr>
        <w:spacing w:after="120" w:line="300"/>
        <w:jc w:val="left"/>
      </w:pPr>
      <w:r>
        <w:rPr>
          <w:sz w:val="22"/>
          <w:szCs w:val="22"/>
        </w:rPr>
        <w:t xml:space="preserve">Six moves are strong enough to justify serious consideration. They are described in strategic terms first, then prioritized in Section 6.</w:t>
      </w:r>
    </w:p>
    <w:p>
      <w:pPr>
        <w:pStyle w:val="Heading2"/>
        <w:spacing w:after="120" w:before="280"/>
      </w:pPr>
      <w:r>
        <w:rPr>
          <w:b/>
          <w:bCs/>
          <w:sz w:val="26"/>
          <w:szCs w:val="26"/>
        </w:rPr>
        <w:t xml:space="preserve">4.1  Chess Move #1 — Motion for a Rule 26(f) Scheduling Conference</w:t>
      </w:r>
    </w:p>
    <w:p>
      <w:pPr>
        <w:spacing w:after="120" w:line="300"/>
        <w:jc w:val="left"/>
      </w:pPr>
      <w:r>
        <w:rPr>
          <w:b/>
          <w:bCs/>
          <w:sz w:val="22"/>
          <w:szCs w:val="22"/>
        </w:rPr>
        <w:t xml:space="preserve">Mechanic: </w:t>
      </w:r>
      <w:r>
        <w:rPr>
          <w:sz w:val="22"/>
          <w:szCs w:val="22"/>
        </w:rPr>
        <w:t xml:space="preserve">Federal Rule 26(f) obligates the parties to confer, prepare a discovery plan, and file a joint status report before a scheduling order issues. In the Fifth Circuit, discovery is not automatically stayed by a pending motion to dismiss. There is no automatic stay in the Federal Rules — a stay of discovery requires an affirmative Rule 26(c) motion, a showing of good cause, and a court order. See </w:t>
      </w:r>
      <w:r>
        <w:rPr>
          <w:i/>
          <w:iCs/>
          <w:sz w:val="22"/>
          <w:szCs w:val="22"/>
        </w:rPr>
        <w:t xml:space="preserve">Fed. R. Civ. P. 26(c)</w:t>
      </w:r>
      <w:r>
        <w:rPr>
          <w:sz w:val="22"/>
          <w:szCs w:val="22"/>
        </w:rPr>
        <w:t xml:space="preserve">; </w:t>
      </w:r>
      <w:r>
        <w:rPr>
          <w:i/>
          <w:iCs/>
          <w:sz w:val="22"/>
          <w:szCs w:val="22"/>
        </w:rPr>
        <w:t xml:space="preserve">Escareno v. Lundbeck, LLC</w:t>
      </w:r>
      <w:r>
        <w:rPr>
          <w:sz w:val="22"/>
          <w:szCs w:val="22"/>
        </w:rPr>
        <w:t xml:space="preserve">, 2014 WL 1976867 (N.D. Tex. May 15, 2014) (Rule 26(f) conference is a "prerequisite" that cannot be indefinitely delayed by a pending 12(b)(6) motion).</w:t>
      </w:r>
    </w:p>
    <w:p>
      <w:pPr>
        <w:spacing w:after="120" w:line="300"/>
        <w:jc w:val="left"/>
      </w:pPr>
      <w:r>
        <w:rPr>
          <w:b/>
          <w:bCs/>
          <w:sz w:val="22"/>
          <w:szCs w:val="22"/>
        </w:rPr>
        <w:t xml:space="preserve">Why it works: </w:t>
      </w:r>
      <w:r>
        <w:rPr>
          <w:sz w:val="22"/>
          <w:szCs w:val="22"/>
        </w:rPr>
        <w:t xml:space="preserve">The court has not stayed discovery. Chase has not moved to stay discovery. Yet no Rule 26(f) conference has occurred. Filing a short motion asking the Magistrate to enter a Rule 26(f) conference schedule is administrative — it does not attack the merits of any pending motion — but it triggers the Rule 26(a)(1) initial-disclosure obligation. Chase then has to disclose "the name and, if known, the address and telephone number of each individual likely to have discoverable information" plus "a copy of, or a description by category and location of, all documents, electronically stored information, and tangible things" it may use to support its defenses. That is the beginning of the pathway to discovery = settlement.</w:t>
      </w:r>
    </w:p>
    <w:p>
      <w:pPr>
        <w:spacing w:after="120" w:line="300"/>
        <w:jc w:val="left"/>
      </w:pPr>
      <w:r>
        <w:rPr>
          <w:b/>
          <w:bCs/>
          <w:sz w:val="22"/>
          <w:szCs w:val="22"/>
        </w:rPr>
        <w:t xml:space="preserve">Expected Chase response: </w:t>
      </w:r>
      <w:r>
        <w:rPr>
          <w:sz w:val="22"/>
          <w:szCs w:val="22"/>
        </w:rPr>
        <w:t xml:space="preserve">Chase will move to stay discovery pending the MTD. That motion places Chase in the awkward position of having to argue, on the record, why it does not want to answer questions about a $1.44 million instrument it holds. The very act of resisting discovery reinforces the strategic narrative.</w:t>
      </w:r>
    </w:p>
    <w:p>
      <w:pPr>
        <w:spacing w:after="120" w:line="300"/>
        <w:jc w:val="left"/>
      </w:pPr>
      <w:r>
        <w:rPr>
          <w:b/>
          <w:bCs/>
          <w:sz w:val="22"/>
          <w:szCs w:val="22"/>
        </w:rPr>
        <w:t xml:space="preserve">Judicial signal: </w:t>
      </w:r>
      <w:r>
        <w:rPr>
          <w:sz w:val="22"/>
          <w:szCs w:val="22"/>
        </w:rPr>
        <w:t xml:space="preserve">A motion asking the Magistrate to set a Rule 26(f) conference is not a merits motion. Magistrate Wilder-Doomes has already shown she is willing to enter administrative orders in this case (the April 23 redaction order). This is the kind of housekeeping request magistrates routinely grant.</w:t>
      </w:r>
    </w:p>
    <w:p>
      <w:pPr>
        <w:pStyle w:val="Heading2"/>
        <w:spacing w:after="120" w:before="280"/>
      </w:pPr>
      <w:r>
        <w:rPr>
          <w:b/>
          <w:bCs/>
          <w:sz w:val="26"/>
          <w:szCs w:val="26"/>
        </w:rPr>
        <w:t xml:space="preserve">4.2  Chess Move #2 — Motion for Expedited or Limited Discovery Under Rule 26(d)(1)</w:t>
      </w:r>
    </w:p>
    <w:p>
      <w:pPr>
        <w:spacing w:after="120" w:line="300"/>
        <w:jc w:val="left"/>
      </w:pPr>
      <w:r>
        <w:rPr>
          <w:b/>
          <w:bCs/>
          <w:sz w:val="22"/>
          <w:szCs w:val="22"/>
        </w:rPr>
        <w:t xml:space="preserve">Mechanic: </w:t>
      </w:r>
      <w:r>
        <w:rPr>
          <w:sz w:val="22"/>
          <w:szCs w:val="22"/>
        </w:rPr>
        <w:t xml:space="preserve">Rule 26(d)(1) permits discovery before the Rule 26(f) conference "when authorized by … a court order." The Fifth Circuit applies a "good cause" or "reasonableness" standard. Narrow, targeted requests — not a wide net — are more likely to be granted.</w:t>
      </w:r>
    </w:p>
    <w:p>
      <w:pPr>
        <w:spacing w:after="120" w:line="300"/>
        <w:jc w:val="left"/>
      </w:pPr>
      <w:r>
        <w:rPr>
          <w:b/>
          <w:bCs/>
          <w:sz w:val="22"/>
          <w:szCs w:val="22"/>
        </w:rPr>
        <w:t xml:space="preserve">The narrow request that fits this case: </w:t>
      </w:r>
      <w:r>
        <w:rPr>
          <w:sz w:val="22"/>
          <w:szCs w:val="22"/>
        </w:rPr>
        <w:t xml:space="preserve">Three interrogatories and three requests for production, limited to (a) whether Chase has a CIP file for Eli Fields under 31 C.F.R. § 1020.220 and, if so, the contents; (b) Chase's internal mailroom and disposition records for the certified mailings of December 12, 2025 and January 21, 2026; and (c) any adverse-action notice or dishonor documentation Chase generated in connection with the Bill of Exchange. Every one of these categories goes to a discrete, verifiable business record that Chase either has or does not have.</w:t>
      </w:r>
    </w:p>
    <w:p>
      <w:pPr>
        <w:spacing w:after="120" w:line="300"/>
        <w:jc w:val="left"/>
      </w:pPr>
      <w:r>
        <w:rPr>
          <w:b/>
          <w:bCs/>
          <w:sz w:val="22"/>
          <w:szCs w:val="22"/>
        </w:rPr>
        <w:t xml:space="preserve">Why it works: </w:t>
      </w:r>
      <w:r>
        <w:rPr>
          <w:sz w:val="22"/>
          <w:szCs w:val="22"/>
        </w:rPr>
        <w:t xml:space="preserve">The narrowness is the argument. Chase cannot credibly claim burden or fishing expedition — the requests are surgical. And the CIP file request has independent regulatory teeth: under 31 C.F.R. § 1020.220, Chase is required to maintain the file. If Chase says "we have no file," that is an admission of a Bank Secrecy Act violation. If Chase says "we have a file," that admits Chase treats Eli Fields as an individual customer, gutting the "no relationship" defense in ECF 4-1 at 11.</w:t>
      </w:r>
    </w:p>
    <w:p>
      <w:pPr>
        <w:pStyle w:val="Heading2"/>
        <w:spacing w:after="120" w:before="280"/>
      </w:pPr>
      <w:r>
        <w:rPr>
          <w:b/>
          <w:bCs/>
          <w:sz w:val="26"/>
          <w:szCs w:val="26"/>
        </w:rPr>
        <w:t xml:space="preserve">4.3  Chess Move #3 — Motion to Compel Accounting Under La. R.S. §§ 10:3-501, 10:3-502, 10:3-503, 10:3-505</w:t>
      </w:r>
    </w:p>
    <w:p>
      <w:pPr>
        <w:spacing w:after="120" w:line="300"/>
        <w:jc w:val="left"/>
      </w:pPr>
      <w:r>
        <w:rPr>
          <w:b/>
          <w:bCs/>
          <w:sz w:val="22"/>
          <w:szCs w:val="22"/>
        </w:rPr>
        <w:t xml:space="preserve">Mechanic: </w:t>
      </w:r>
      <w:r>
        <w:rPr>
          <w:sz w:val="22"/>
          <w:szCs w:val="22"/>
        </w:rPr>
        <w:t xml:space="preserve">Louisiana's adoption of UCC Article 3 imposes affirmative duties on the person or entity to whom presentment is made. Section 10:3-505 makes bank records of dishonor "admissible as evidence and create a presumption of dishonor" — meaning the bank's books and records are the recognized evidentiary vehicle for showing what happened to a presented instrument. The absence of such records is itself probative.</w:t>
      </w:r>
    </w:p>
    <w:p>
      <w:pPr>
        <w:spacing w:after="120" w:line="300"/>
        <w:jc w:val="left"/>
      </w:pPr>
      <w:r>
        <w:rPr>
          <w:b/>
          <w:bCs/>
          <w:sz w:val="22"/>
          <w:szCs w:val="22"/>
        </w:rPr>
        <w:t xml:space="preserve">The Rule 34 request the accounting motion opens up: </w:t>
      </w:r>
      <w:r>
        <w:rPr>
          <w:sz w:val="22"/>
          <w:szCs w:val="22"/>
        </w:rPr>
        <w:t xml:space="preserve">Chase's books and records relating to the receipt, custody, and disposition of Bill of Exchange No. GLTBOE12052025. This is exactly the category of documents La. R.S. § 10:3-505(a)(3) contemplates — "a book or record of the drawee, payor bank, or collecting bank, kept in the usual course of business which shows dishonor."</w:t>
      </w:r>
    </w:p>
    <w:p>
      <w:pPr>
        <w:spacing w:after="120" w:line="300"/>
        <w:jc w:val="left"/>
      </w:pPr>
      <w:r>
        <w:rPr>
          <w:b/>
          <w:bCs/>
          <w:sz w:val="22"/>
          <w:szCs w:val="22"/>
        </w:rPr>
        <w:t xml:space="preserve">Why it works: </w:t>
      </w:r>
      <w:r>
        <w:rPr>
          <w:sz w:val="22"/>
          <w:szCs w:val="22"/>
        </w:rPr>
        <w:t xml:space="preserve">The accounting duty is statutory, not contractual, and does not require the underlying Rule 12(b)(6) motion to be resolved first. It is a species of pre-answer relief that the court can grant while the MTD is pending. Framed correctly, it is not "discovery" in the merits sense — it is a statutory demand for a bank to show its work on an instrument it holds.</w:t>
      </w:r>
    </w:p>
    <w:p>
      <w:pPr>
        <w:pStyle w:val="Heading2"/>
        <w:spacing w:after="120" w:before="280"/>
      </w:pPr>
      <w:r>
        <w:rPr>
          <w:b/>
          <w:bCs/>
          <w:sz w:val="26"/>
          <w:szCs w:val="26"/>
        </w:rPr>
        <w:t xml:space="preserve">4.4  Chess Move #4 — Rule 27 Pre-Suit Deposition (Already Drafted)</w:t>
      </w:r>
    </w:p>
    <w:p>
      <w:pPr>
        <w:spacing w:after="120" w:line="300"/>
        <w:jc w:val="left"/>
      </w:pPr>
      <w:r>
        <w:rPr>
          <w:b/>
          <w:bCs/>
          <w:sz w:val="22"/>
          <w:szCs w:val="22"/>
        </w:rPr>
        <w:t xml:space="preserve">Status: </w:t>
      </w:r>
      <w:r>
        <w:rPr>
          <w:sz w:val="22"/>
          <w:szCs w:val="22"/>
        </w:rPr>
        <w:t xml:space="preserve">Petition, Affidavit, Proposed Order, and Cover Sheet are already drafted in the workspace and captioned correctly.</w:t>
      </w:r>
    </w:p>
    <w:p>
      <w:pPr>
        <w:spacing w:after="120" w:line="300"/>
        <w:jc w:val="left"/>
      </w:pPr>
      <w:r>
        <w:rPr>
          <w:b/>
          <w:bCs/>
          <w:sz w:val="22"/>
          <w:szCs w:val="22"/>
        </w:rPr>
        <w:t xml:space="preserve">Mechanic: </w:t>
      </w:r>
      <w:r>
        <w:rPr>
          <w:sz w:val="22"/>
          <w:szCs w:val="22"/>
        </w:rPr>
        <w:t xml:space="preserve">Federal Rule 27 permits a petition to perpetuate testimony where the petitioner cannot presently bring the action or cause it to be brought. Here, the sworn deposition would target: (i) the Chase mailroom or intake supervisor who received the certified mailings; (ii) the Chase compliance officer responsible for the CIP file; and (iii) the Chase officer who authored the "no relationship" position in ECF 4-1 at 11.</w:t>
      </w:r>
    </w:p>
    <w:p>
      <w:pPr>
        <w:spacing w:after="120" w:line="300"/>
        <w:jc w:val="left"/>
      </w:pPr>
      <w:r>
        <w:rPr>
          <w:b/>
          <w:bCs/>
          <w:sz w:val="22"/>
          <w:szCs w:val="22"/>
        </w:rPr>
        <w:t xml:space="preserve">Strategic consideration: </w:t>
      </w:r>
      <w:r>
        <w:rPr>
          <w:sz w:val="22"/>
          <w:szCs w:val="22"/>
        </w:rPr>
        <w:t xml:space="preserve">Rule 27 is unusual in an already-pending case. The stronger use of the drafted Rule 27 material may be as a threat, not a filing — the mere fact that a Rule 27 package sits ready may cause Chase to prefer a Rule 26(f) conference to the alternative. Consider filing only if the Rule 26(f) or accounting motions are denied.</w:t>
      </w:r>
    </w:p>
    <w:p>
      <w:pPr>
        <w:pStyle w:val="Heading2"/>
        <w:spacing w:after="120" w:before="280"/>
      </w:pPr>
      <w:r>
        <w:rPr>
          <w:b/>
          <w:bCs/>
          <w:sz w:val="26"/>
          <w:szCs w:val="26"/>
        </w:rPr>
        <w:t xml:space="preserve">4.5  Chess Move #5 — Parallel Regulatory Complaints (CFPB, OCC, Louisiana OFI)</w:t>
      </w:r>
    </w:p>
    <w:p>
      <w:pPr>
        <w:spacing w:after="120" w:line="300"/>
        <w:jc w:val="left"/>
      </w:pPr>
      <w:r>
        <w:rPr>
          <w:b/>
          <w:bCs/>
          <w:sz w:val="22"/>
          <w:szCs w:val="22"/>
        </w:rPr>
        <w:t xml:space="preserve">Mechanic: </w:t>
      </w:r>
      <w:r>
        <w:rPr>
          <w:sz w:val="22"/>
          <w:szCs w:val="22"/>
        </w:rPr>
        <w:t xml:space="preserve">Chase is a national bank regulated by the Office of the Comptroller of the Currency. Parallel consumer complaints to (a) the Consumer Financial Protection Bureau at consumerfinance.gov/complaint and (b) the OCC through HelpWithMyBank.gov trigger internal Chase compliance workflows that are entirely separate from the litigation. A third parallel complaint to the Louisiana Office of Financial Institutions completes the regulatory triangle.</w:t>
      </w:r>
    </w:p>
    <w:p>
      <w:pPr>
        <w:spacing w:after="120" w:line="300"/>
        <w:jc w:val="left"/>
      </w:pPr>
      <w:r>
        <w:rPr>
          <w:b/>
          <w:bCs/>
          <w:sz w:val="22"/>
          <w:szCs w:val="22"/>
        </w:rPr>
        <w:t xml:space="preserve">Why it works: </w:t>
      </w:r>
      <w:r>
        <w:rPr>
          <w:sz w:val="22"/>
          <w:szCs w:val="22"/>
        </w:rPr>
        <w:t xml:space="preserve">CFPB and OCC complaints against a national bank do not sit dormant. Chase's Executive Office of Customer Relations is required to substantively respond within tight timeframes. Those responses generate internal Chase documents (compliance analyses, executive review memos, complaint-response letters) that become discoverable later. More importantly, the compliance department that receives the regulatory complaint is not the same team as the litigation team — and compliance departments have different risk-tolerance calibrations than outside litigation counsel. Settlement conversations that could not start at the litigation-counsel level sometimes start at the compliance-department level.</w:t>
      </w:r>
    </w:p>
    <w:p>
      <w:pPr>
        <w:spacing w:after="120" w:line="300"/>
        <w:jc w:val="left"/>
      </w:pPr>
      <w:r>
        <w:rPr>
          <w:b/>
          <w:bCs/>
          <w:sz w:val="22"/>
          <w:szCs w:val="22"/>
        </w:rPr>
        <w:t xml:space="preserve">Content of the CFPB complaint: </w:t>
      </w:r>
      <w:r>
        <w:rPr>
          <w:sz w:val="22"/>
          <w:szCs w:val="22"/>
        </w:rPr>
        <w:t xml:space="preserve">Frame around three concrete factual allegations without merits argument: (i) Chase received a written credit-related communication on December 12, 2025 and January 21, 2026, and has not provided any adverse-action notice under 15 U.S.C. § 1691(d); (ii) Chase has not provided any accounting or disposition record for the tendered instrument; (iii) Chase has publicly (in court filings) taken the position it has no CIP file for Eli Fields individually, notwithstanding a submitted credit application. Attach: the certified mail receipts and the ECF 4-1 excerpts.</w:t>
      </w:r>
    </w:p>
    <w:p>
      <w:pPr>
        <w:pStyle w:val="Heading2"/>
        <w:spacing w:after="120" w:before="280"/>
      </w:pPr>
      <w:r>
        <w:rPr>
          <w:b/>
          <w:bCs/>
          <w:sz w:val="26"/>
          <w:szCs w:val="26"/>
        </w:rPr>
        <w:t xml:space="preserve">4.6  Chess Move #6 — Notice of Supplemental Authority on Rule 17(a)(3)</w:t>
      </w:r>
    </w:p>
    <w:p>
      <w:pPr>
        <w:spacing w:after="120" w:line="300"/>
        <w:jc w:val="left"/>
      </w:pPr>
      <w:r>
        <w:rPr>
          <w:b/>
          <w:bCs/>
          <w:sz w:val="22"/>
          <w:szCs w:val="22"/>
        </w:rPr>
        <w:t xml:space="preserve">Mechanic: </w:t>
      </w:r>
      <w:r>
        <w:rPr>
          <w:sz w:val="22"/>
          <w:szCs w:val="22"/>
        </w:rPr>
        <w:t xml:space="preserve">A short notice — one to three pages — filed as of right, drawing the court's attention to controlling Fifth Circuit authority on Rule 17(a)(3) that Chase failed to address in its opposition. Wieburg v. GTE Sw., 272 F.3d 302, 308 (5th Cir. 2001); Rideau v. Keller ISD, 819 F.3d 155, 165-66 (5th Cir. 2016); In re RLB Contracting, 2021 WL 3204860 (5th Cir. Jul. 30, 2021). Each holds that Rule 17(a)(3) substitution is favored, that the "prejudice" prong is required, and that Chase's failure to brief prejudice is dispositive.</w:t>
      </w:r>
    </w:p>
    <w:p>
      <w:pPr>
        <w:spacing w:after="120" w:line="300"/>
        <w:jc w:val="left"/>
      </w:pPr>
      <w:r>
        <w:rPr>
          <w:b/>
          <w:bCs/>
          <w:sz w:val="22"/>
          <w:szCs w:val="22"/>
        </w:rPr>
        <w:t xml:space="preserve">Why it works: </w:t>
      </w:r>
      <w:r>
        <w:rPr>
          <w:sz w:val="22"/>
          <w:szCs w:val="22"/>
        </w:rPr>
        <w:t xml:space="preserve">It is not another reply brief (which is what Chase's Motion to Strike targeted). It is a targeted authority filing that keeps the strongest cases in front of the court while ECF 32 sits pending, without giving Chase a new procedural attack vector.</w:t>
      </w:r>
    </w:p>
    <w:p>
      <w:pPr>
        <w:pStyle w:val="Heading1"/>
        <w:spacing w:after="160" w:before="360"/>
      </w:pPr>
      <w:r>
        <w:rPr>
          <w:b/>
          <w:bCs/>
          <w:sz w:val="32"/>
          <w:szCs w:val="32"/>
        </w:rPr>
        <w:t xml:space="preserve">5.  Count Survivability Under Iqbal / Twombly</w:t>
      </w:r>
    </w:p>
    <w:p>
      <w:pPr>
        <w:spacing w:after="120" w:line="300"/>
        <w:jc w:val="left"/>
      </w:pPr>
      <w:r>
        <w:rPr>
          <w:sz w:val="22"/>
          <w:szCs w:val="22"/>
        </w:rPr>
        <w:t xml:space="preserve">Not every count in the Amended Complaint is equally strong on 12(b)(6). Ranking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3660"/>
      </w:tblGrid>
      <w:tr>
        <w:trPr>
          <w:tblHeader/>
        </w:trPr>
        <w:tc>
          <w:tcPr>
            <w:tcW w:type="dxa" w:w="7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w:t>
            </w:r>
          </w:p>
        </w:tc>
        <w:tc>
          <w:tcPr>
            <w:tcW w:type="dxa" w:w="28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Count</w:t>
            </w:r>
          </w:p>
        </w:tc>
        <w:tc>
          <w:tcPr>
            <w:tcW w:type="dxa" w:w="22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Strength</w:t>
            </w:r>
          </w:p>
        </w:tc>
        <w:tc>
          <w:tcPr>
            <w:tcW w:type="dxa" w:w="366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Basis</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1</w:t>
            </w:r>
          </w:p>
        </w:tc>
        <w:tc>
          <w:tcPr>
            <w:tcW w:type="dxa" w:w="2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Declaratory Judgment (28 U.S.C. § 2201)</w:t>
            </w:r>
          </w:p>
        </w:tc>
        <w:tc>
          <w:tcPr>
            <w:tcW w:type="dxa" w:w="2200"/>
            <w:tcBorders>
              <w:top w:val="single" w:color="9B9B9B" w:sz="4"/>
              <w:left w:val="single" w:color="9B9B9B" w:sz="4"/>
              <w:bottom w:val="single" w:color="9B9B9B" w:sz="4"/>
              <w:right w:val="single" w:color="9B9B9B" w:sz="4"/>
            </w:tcBorders>
            <w:shd w:fill="F5F1E6" w:val="clear"/>
            <w:tcMar>
              <w:top w:type="dxa" w:w="80"/>
              <w:left w:type="dxa" w:w="120"/>
              <w:bottom w:type="dxa" w:w="80"/>
              <w:right w:type="dxa" w:w="120"/>
            </w:tcMar>
          </w:tcPr>
          <w:p>
            <w:pPr>
              <w:spacing w:after="40" w:line="280"/>
            </w:pPr>
            <w:r>
              <w:rPr>
                <w:sz w:val="20"/>
                <w:szCs w:val="20"/>
              </w:rPr>
              <w:t xml:space="preserve">Strong</w:t>
            </w:r>
          </w:p>
        </w:tc>
        <w:tc>
          <w:tcPr>
            <w:tcW w:type="dxa" w:w="36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Live case-or-controversy exists over instrument custody and Chase's conflicting positions. Well-pleaded.</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2</w:t>
            </w:r>
          </w:p>
        </w:tc>
        <w:tc>
          <w:tcPr>
            <w:tcW w:type="dxa" w:w="2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Breach of Obligation of Good Faith (La. R.S. 10:1-304)</w:t>
            </w:r>
          </w:p>
        </w:tc>
        <w:tc>
          <w:tcPr>
            <w:tcW w:type="dxa" w:w="2200"/>
            <w:tcBorders>
              <w:top w:val="single" w:color="9B9B9B" w:sz="4"/>
              <w:left w:val="single" w:color="9B9B9B" w:sz="4"/>
              <w:bottom w:val="single" w:color="9B9B9B" w:sz="4"/>
              <w:right w:val="single" w:color="9B9B9B" w:sz="4"/>
            </w:tcBorders>
            <w:shd w:fill="F5F1E6" w:val="clear"/>
            <w:tcMar>
              <w:top w:type="dxa" w:w="80"/>
              <w:left w:type="dxa" w:w="120"/>
              <w:bottom w:type="dxa" w:w="80"/>
              <w:right w:type="dxa" w:w="120"/>
            </w:tcMar>
          </w:tcPr>
          <w:p>
            <w:pPr>
              <w:spacing w:after="40" w:line="280"/>
            </w:pPr>
            <w:r>
              <w:rPr>
                <w:sz w:val="20"/>
                <w:szCs w:val="20"/>
              </w:rPr>
              <w:t xml:space="preserve">Strong</w:t>
            </w:r>
          </w:p>
        </w:tc>
        <w:tc>
          <w:tcPr>
            <w:tcW w:type="dxa" w:w="36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UCC good-faith obligation applies to every duty. Chase's multi-month silence supports the pleading.</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3</w:t>
            </w:r>
          </w:p>
        </w:tc>
        <w:tc>
          <w:tcPr>
            <w:tcW w:type="dxa" w:w="2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Failure to Account (La. R.S. §§ 10:3-501, 3-502, 3-503, 3-505)</w:t>
            </w:r>
          </w:p>
        </w:tc>
        <w:tc>
          <w:tcPr>
            <w:tcW w:type="dxa" w:w="2200"/>
            <w:tcBorders>
              <w:top w:val="single" w:color="9B9B9B" w:sz="4"/>
              <w:left w:val="single" w:color="9B9B9B" w:sz="4"/>
              <w:bottom w:val="single" w:color="9B9B9B" w:sz="4"/>
              <w:right w:val="single" w:color="9B9B9B" w:sz="4"/>
            </w:tcBorders>
            <w:shd w:fill="F5F1E6" w:val="clear"/>
            <w:tcMar>
              <w:top w:type="dxa" w:w="80"/>
              <w:left w:type="dxa" w:w="120"/>
              <w:bottom w:type="dxa" w:w="80"/>
              <w:right w:type="dxa" w:w="120"/>
            </w:tcMar>
          </w:tcPr>
          <w:p>
            <w:pPr>
              <w:spacing w:after="40" w:line="280"/>
            </w:pPr>
            <w:r>
              <w:rPr>
                <w:sz w:val="20"/>
                <w:szCs w:val="20"/>
              </w:rPr>
              <w:t xml:space="preserve">Very Strong</w:t>
            </w:r>
          </w:p>
        </w:tc>
        <w:tc>
          <w:tcPr>
            <w:tcW w:type="dxa" w:w="36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Statutory duty. Chase has produced no dishonor, no notice, no accounting. The statute itself supplies the elements.</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4</w:t>
            </w:r>
          </w:p>
        </w:tc>
        <w:tc>
          <w:tcPr>
            <w:tcW w:type="dxa" w:w="2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Bailment / Article 3 Holder Duties (La. Civ. Code arts. 2926 et seq.; La. R.S. §§ 10:3-301, 10:3-420)</w:t>
            </w:r>
          </w:p>
        </w:tc>
        <w:tc>
          <w:tcPr>
            <w:tcW w:type="dxa" w:w="2200"/>
            <w:tcBorders>
              <w:top w:val="single" w:color="9B9B9B" w:sz="4"/>
              <w:left w:val="single" w:color="9B9B9B" w:sz="4"/>
              <w:bottom w:val="single" w:color="9B9B9B" w:sz="4"/>
              <w:right w:val="single" w:color="9B9B9B" w:sz="4"/>
            </w:tcBorders>
            <w:shd w:fill="F5F1E6" w:val="clear"/>
            <w:tcMar>
              <w:top w:type="dxa" w:w="80"/>
              <w:left w:type="dxa" w:w="120"/>
              <w:bottom w:type="dxa" w:w="80"/>
              <w:right w:type="dxa" w:w="120"/>
            </w:tcMar>
          </w:tcPr>
          <w:p>
            <w:pPr>
              <w:spacing w:after="40" w:line="280"/>
            </w:pPr>
            <w:r>
              <w:rPr>
                <w:sz w:val="20"/>
                <w:szCs w:val="20"/>
              </w:rPr>
              <w:t xml:space="preserve">Strong</w:t>
            </w:r>
          </w:p>
        </w:tc>
        <w:tc>
          <w:tcPr>
            <w:tcW w:type="dxa" w:w="36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Conversion under 3-420 is the "most conventional and strongest claim" if Chase exercised dominion and refused to return the instrument. Delivery is admitted by silence and by service to Chase's registered address.</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5</w:t>
            </w:r>
          </w:p>
        </w:tc>
        <w:tc>
          <w:tcPr>
            <w:tcW w:type="dxa" w:w="2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Unjust Enrichment (alt.)</w:t>
            </w:r>
          </w:p>
        </w:tc>
        <w:tc>
          <w:tcPr>
            <w:tcW w:type="dxa" w:w="2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Moderate</w:t>
            </w:r>
          </w:p>
        </w:tc>
        <w:tc>
          <w:tcPr>
            <w:tcW w:type="dxa" w:w="36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Pleaded in the alternative; survives if primary counts do; not a leading horse.</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6</w:t>
            </w:r>
          </w:p>
        </w:tc>
        <w:tc>
          <w:tcPr>
            <w:tcW w:type="dxa" w:w="2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ECOA (15 U.S.C. § 1691(d))</w:t>
            </w:r>
          </w:p>
        </w:tc>
        <w:tc>
          <w:tcPr>
            <w:tcW w:type="dxa" w:w="2200"/>
            <w:tcBorders>
              <w:top w:val="single" w:color="9B9B9B" w:sz="4"/>
              <w:left w:val="single" w:color="9B9B9B" w:sz="4"/>
              <w:bottom w:val="single" w:color="9B9B9B" w:sz="4"/>
              <w:right w:val="single" w:color="9B9B9B" w:sz="4"/>
            </w:tcBorders>
            <w:shd w:fill="F5F1E6" w:val="clear"/>
            <w:tcMar>
              <w:top w:type="dxa" w:w="80"/>
              <w:left w:type="dxa" w:w="120"/>
              <w:bottom w:type="dxa" w:w="80"/>
              <w:right w:type="dxa" w:w="120"/>
            </w:tcMar>
          </w:tcPr>
          <w:p>
            <w:pPr>
              <w:spacing w:after="40" w:line="280"/>
            </w:pPr>
            <w:r>
              <w:rPr>
                <w:sz w:val="20"/>
                <w:szCs w:val="20"/>
              </w:rPr>
              <w:t xml:space="preserve">Strong</w:t>
            </w:r>
          </w:p>
        </w:tc>
        <w:tc>
          <w:tcPr>
            <w:tcW w:type="dxa" w:w="36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Chase applied a credit application, took no timely adverse action, and produced no § 1691(d) notice. Prima facie violation.</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7</w:t>
            </w:r>
          </w:p>
        </w:tc>
        <w:tc>
          <w:tcPr>
            <w:tcW w:type="dxa" w:w="2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FCRA — currently pleaded under § 1681m</w:t>
            </w:r>
          </w:p>
        </w:tc>
        <w:tc>
          <w:tcPr>
            <w:tcW w:type="dxa" w:w="2200"/>
            <w:tcBorders>
              <w:top w:val="single" w:color="9B9B9B" w:sz="4"/>
              <w:left w:val="single" w:color="9B9B9B" w:sz="4"/>
              <w:bottom w:val="single" w:color="9B9B9B" w:sz="4"/>
              <w:right w:val="single" w:color="9B9B9B" w:sz="4"/>
            </w:tcBorders>
            <w:shd w:fill="F5DFDF" w:val="clear"/>
            <w:tcMar>
              <w:top w:type="dxa" w:w="80"/>
              <w:left w:type="dxa" w:w="120"/>
              <w:bottom w:type="dxa" w:w="80"/>
              <w:right w:type="dxa" w:w="120"/>
            </w:tcMar>
          </w:tcPr>
          <w:p>
            <w:pPr>
              <w:spacing w:after="40" w:line="280"/>
            </w:pPr>
            <w:r>
              <w:rPr>
                <w:sz w:val="20"/>
                <w:szCs w:val="20"/>
              </w:rPr>
              <w:t xml:space="preserve">Needs Amendment</w:t>
            </w:r>
          </w:p>
        </w:tc>
        <w:tc>
          <w:tcPr>
            <w:tcW w:type="dxa" w:w="36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Doe v. Charter Communications, 131 F.4th 323 (5th Cir. 2025) bars § 1681m private action. Re-plead under § 1681b (impermissible purpose) before Chase forces a strike on this count.</w:t>
            </w:r>
          </w:p>
        </w:tc>
      </w:tr>
      <w:tr>
        <w:tc>
          <w:tcPr>
            <w:tcW w:type="dxa" w:w="7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8</w:t>
            </w:r>
          </w:p>
        </w:tc>
        <w:tc>
          <w:tcPr>
            <w:tcW w:type="dxa" w:w="28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LUTPA (La. R.S. § 51:1401 et seq.)</w:t>
            </w:r>
          </w:p>
        </w:tc>
        <w:tc>
          <w:tcPr>
            <w:tcW w:type="dxa" w:w="2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Moderate</w:t>
            </w:r>
          </w:p>
        </w:tc>
        <w:tc>
          <w:tcPr>
            <w:tcW w:type="dxa" w:w="36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LUTPA requires unfair or deceptive practice tied to consumer commerce. Retention of a tendered instrument without accounting is plausible but factual.</w:t>
            </w:r>
          </w:p>
        </w:tc>
      </w:tr>
    </w:tbl>
    <w:p>
      <w:pPr>
        <w:spacing w:after="120" w:line="300"/>
        <w:jc w:val="left"/>
      </w:pPr>
      <w:r>
        <w:rPr>
          <w:sz w:val="22"/>
          <w:szCs w:val="22"/>
        </w:rPr>
        <w:t xml:space="preserve"/>
      </w:r>
    </w:p>
    <w:p>
      <w:pPr>
        <w:spacing w:after="120" w:line="300"/>
        <w:jc w:val="left"/>
      </w:pPr>
      <w:r>
        <w:rPr>
          <w:b/>
          <w:bCs/>
          <w:sz w:val="22"/>
          <w:szCs w:val="22"/>
        </w:rPr>
        <w:t xml:space="preserve">Recommendation: </w:t>
      </w:r>
      <w:r>
        <w:rPr>
          <w:sz w:val="22"/>
          <w:szCs w:val="22"/>
        </w:rPr>
        <w:t xml:space="preserve">Counts 1, 2, 3, 4, and 6 are the strategic core — plead and defend those aggressively. Count 7 (FCRA) should be quietly re-pleaded to swap § 1681m for § 1681b at the next opportunity; this closes the only clean 12(b)(6) hole Chase has. Counts 5 and 8 are supplementary — real, but not where the momentum is.</w:t>
      </w:r>
    </w:p>
    <w:p>
      <w:pPr>
        <w:pStyle w:val="Heading1"/>
        <w:spacing w:after="160" w:before="360"/>
      </w:pPr>
      <w:r>
        <w:rPr>
          <w:b/>
          <w:bCs/>
          <w:sz w:val="32"/>
          <w:szCs w:val="32"/>
        </w:rPr>
        <w:t xml:space="preserve">6.  Prioritized Action Plan (Next 45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000"/>
        <w:gridCol w:w="2860"/>
      </w:tblGrid>
      <w:tr>
        <w:trPr>
          <w:tblHeader/>
        </w:trPr>
        <w:tc>
          <w:tcPr>
            <w:tcW w:type="dxa" w:w="9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Priority</w:t>
            </w:r>
          </w:p>
        </w:tc>
        <w:tc>
          <w:tcPr>
            <w:tcW w:type="dxa" w:w="36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Filing / Action</w:t>
            </w:r>
          </w:p>
        </w:tc>
        <w:tc>
          <w:tcPr>
            <w:tcW w:type="dxa" w:w="20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Timing</w:t>
            </w:r>
          </w:p>
        </w:tc>
        <w:tc>
          <w:tcPr>
            <w:tcW w:type="dxa" w:w="286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Objective</w:t>
            </w:r>
          </w:p>
        </w:tc>
      </w:tr>
      <w:tr>
        <w:tc>
          <w:tcPr>
            <w:tcW w:type="dxa" w:w="900"/>
            <w:tcBorders>
              <w:top w:val="single" w:color="9B9B9B" w:sz="4"/>
              <w:left w:val="single" w:color="9B9B9B" w:sz="4"/>
              <w:bottom w:val="single" w:color="9B9B9B" w:sz="4"/>
              <w:right w:val="single" w:color="9B9B9B" w:sz="4"/>
            </w:tcBorders>
            <w:shd w:fill="F5F1E6" w:val="clear"/>
            <w:tcMar>
              <w:top w:type="dxa" w:w="80"/>
              <w:left w:type="dxa" w:w="120"/>
              <w:bottom w:type="dxa" w:w="80"/>
              <w:right w:type="dxa" w:w="120"/>
            </w:tcMar>
          </w:tcPr>
          <w:p>
            <w:pPr>
              <w:spacing w:after="40" w:line="280"/>
            </w:pPr>
            <w:r>
              <w:rPr>
                <w:b/>
                <w:bCs/>
                <w:sz w:val="20"/>
                <w:szCs w:val="20"/>
              </w:rPr>
              <w:t xml:space="preserve">1</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File Opposition to ECF 36 (already drafted) + Notice of Supplemental Authority on Rule 17(a)(3)</w:t>
            </w:r>
          </w:p>
        </w:tc>
        <w:tc>
          <w:tcPr>
            <w:tcW w:type="dxa" w:w="20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By Mon., Jul. 20, 2026 (deadline Fri., Jul. 31)</w:t>
            </w:r>
          </w:p>
        </w:tc>
        <w:tc>
          <w:tcPr>
            <w:tcW w:type="dxa" w:w="28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Neutralize the Motion to Strike and keep Wieburg/Rideau/RLB in front of the court on substitution.</w:t>
            </w:r>
          </w:p>
        </w:tc>
      </w:tr>
      <w:tr>
        <w:tc>
          <w:tcPr>
            <w:tcW w:type="dxa" w:w="900"/>
            <w:tcBorders>
              <w:top w:val="single" w:color="9B9B9B" w:sz="4"/>
              <w:left w:val="single" w:color="9B9B9B" w:sz="4"/>
              <w:bottom w:val="single" w:color="9B9B9B" w:sz="4"/>
              <w:right w:val="single" w:color="9B9B9B" w:sz="4"/>
            </w:tcBorders>
            <w:shd w:fill="F5F1E6" w:val="clear"/>
            <w:tcMar>
              <w:top w:type="dxa" w:w="80"/>
              <w:left w:type="dxa" w:w="120"/>
              <w:bottom w:type="dxa" w:w="80"/>
              <w:right w:type="dxa" w:w="120"/>
            </w:tcMar>
          </w:tcPr>
          <w:p>
            <w:pPr>
              <w:spacing w:after="40" w:line="280"/>
            </w:pPr>
            <w:r>
              <w:rPr>
                <w:b/>
                <w:bCs/>
                <w:sz w:val="20"/>
                <w:szCs w:val="20"/>
              </w:rPr>
              <w:t xml:space="preserve">2</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File Motion for Rule 26(f) Scheduling Conference (short — 3-5 pages)</w:t>
            </w:r>
          </w:p>
        </w:tc>
        <w:tc>
          <w:tcPr>
            <w:tcW w:type="dxa" w:w="20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Week of Jul. 27, 2026</w:t>
            </w:r>
          </w:p>
        </w:tc>
        <w:tc>
          <w:tcPr>
            <w:tcW w:type="dxa" w:w="28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Trigger the initial-disclosure obligation and force Chase to either confer or move to stay.</w:t>
            </w:r>
          </w:p>
        </w:tc>
      </w:tr>
      <w:tr>
        <w:tc>
          <w:tcPr>
            <w:tcW w:type="dxa" w:w="900"/>
            <w:tcBorders>
              <w:top w:val="single" w:color="9B9B9B" w:sz="4"/>
              <w:left w:val="single" w:color="9B9B9B" w:sz="4"/>
              <w:bottom w:val="single" w:color="9B9B9B" w:sz="4"/>
              <w:right w:val="single" w:color="9B9B9B" w:sz="4"/>
            </w:tcBorders>
            <w:shd w:fill="F5F1E6" w:val="clear"/>
            <w:tcMar>
              <w:top w:type="dxa" w:w="80"/>
              <w:left w:type="dxa" w:w="120"/>
              <w:bottom w:type="dxa" w:w="80"/>
              <w:right w:type="dxa" w:w="120"/>
            </w:tcMar>
          </w:tcPr>
          <w:p>
            <w:pPr>
              <w:spacing w:after="40" w:line="280"/>
            </w:pPr>
            <w:r>
              <w:rPr>
                <w:b/>
                <w:bCs/>
                <w:sz w:val="20"/>
                <w:szCs w:val="20"/>
              </w:rPr>
              <w:t xml:space="preserve">3</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File parallel CFPB complaint + OCC HelpWithMyBank complaint + Louisiana OFI complaint</w:t>
            </w:r>
          </w:p>
        </w:tc>
        <w:tc>
          <w:tcPr>
            <w:tcW w:type="dxa" w:w="20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Same week as Move #2</w:t>
            </w:r>
          </w:p>
        </w:tc>
        <w:tc>
          <w:tcPr>
            <w:tcW w:type="dxa" w:w="28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Create parallel regulatory pressure through Chase compliance, independent of the docket.</w:t>
            </w:r>
          </w:p>
        </w:tc>
      </w:tr>
      <w:tr>
        <w:tc>
          <w:tcPr>
            <w:tcW w:type="dxa" w:w="9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4</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If Move #2 is denied or delayed: File Motion for Limited Expedited Discovery under Rule 26(d)(1)</w:t>
            </w:r>
          </w:p>
        </w:tc>
        <w:tc>
          <w:tcPr>
            <w:tcW w:type="dxa" w:w="20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Aug. 10-15, 2026</w:t>
            </w:r>
          </w:p>
        </w:tc>
        <w:tc>
          <w:tcPr>
            <w:tcW w:type="dxa" w:w="28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Get CIP file, mailroom records, and adverse-action documentation into the record.</w:t>
            </w:r>
          </w:p>
        </w:tc>
      </w:tr>
      <w:tr>
        <w:tc>
          <w:tcPr>
            <w:tcW w:type="dxa" w:w="9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5</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File Motion to Compel Accounting under La. R.S. § 10:3-505</w:t>
            </w:r>
          </w:p>
        </w:tc>
        <w:tc>
          <w:tcPr>
            <w:tcW w:type="dxa" w:w="20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Aug. 15-20, 2026</w:t>
            </w:r>
          </w:p>
        </w:tc>
        <w:tc>
          <w:tcPr>
            <w:tcW w:type="dxa" w:w="28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Statutory demand for Chase's books and records regarding the instrument — independent of MTD.</w:t>
            </w:r>
          </w:p>
        </w:tc>
      </w:tr>
      <w:tr>
        <w:tc>
          <w:tcPr>
            <w:tcW w:type="dxa" w:w="9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6</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Quietly correct FCRA count from § 1681m to § 1681b (via amended complaint or supplemental brief)</w:t>
            </w:r>
          </w:p>
        </w:tc>
        <w:tc>
          <w:tcPr>
            <w:tcW w:type="dxa" w:w="20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Before Chase's next MTD brief</w:t>
            </w:r>
          </w:p>
        </w:tc>
        <w:tc>
          <w:tcPr>
            <w:tcW w:type="dxa" w:w="28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Close the one clean 12(b)(6) vulnerability before Chase can strike it.</w:t>
            </w:r>
          </w:p>
        </w:tc>
      </w:tr>
      <w:tr>
        <w:tc>
          <w:tcPr>
            <w:tcW w:type="dxa" w:w="9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7</w:t>
            </w:r>
          </w:p>
        </w:tc>
        <w:tc>
          <w:tcPr>
            <w:tcW w:type="dxa" w:w="36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Hold Rule 27 petition in reserve — file only if Moves #2, #4, #5 all denied</w:t>
            </w:r>
          </w:p>
        </w:tc>
        <w:tc>
          <w:tcPr>
            <w:tcW w:type="dxa" w:w="20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As-needed contingency</w:t>
            </w:r>
          </w:p>
        </w:tc>
        <w:tc>
          <w:tcPr>
            <w:tcW w:type="dxa" w:w="28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The Rule 27 threat is more valuable than the filing until other doors close.</w:t>
            </w:r>
          </w:p>
        </w:tc>
      </w:tr>
    </w:tbl>
    <w:p>
      <w:pPr>
        <w:pStyle w:val="Heading1"/>
        <w:spacing w:after="160" w:before="360"/>
      </w:pPr>
      <w:r>
        <w:rPr>
          <w:b/>
          <w:bCs/>
          <w:sz w:val="32"/>
          <w:szCs w:val="32"/>
        </w:rPr>
        <w:t xml:space="preserve">7.  What Momentum Looks Like</w:t>
      </w:r>
    </w:p>
    <w:p>
      <w:pPr>
        <w:spacing w:after="120" w:line="300"/>
        <w:jc w:val="left"/>
      </w:pPr>
      <w:r>
        <w:rPr>
          <w:sz w:val="22"/>
          <w:szCs w:val="22"/>
        </w:rPr>
        <w:t xml:space="preserve">Chase will not enter serious settlement discussions until one of three things happens:</w:t>
      </w:r>
    </w:p>
    <w:p>
      <w:pPr>
        <w:pStyle w:val="ListParagraph"/>
        <w:numPr>
          <w:ilvl w:val="0"/>
          <w:numId w:val="2"/>
        </w:numPr>
        <w:spacing w:after="80" w:line="300"/>
      </w:pPr>
      <w:r>
        <w:rPr>
          <w:sz w:val="22"/>
          <w:szCs w:val="22"/>
        </w:rPr>
        <w:t xml:space="preserve">The court denies the Motion to Dismiss (in whole or as to at least one count), which means the case is going forward.</w:t>
      </w:r>
    </w:p>
    <w:p>
      <w:pPr>
        <w:pStyle w:val="ListParagraph"/>
        <w:numPr>
          <w:ilvl w:val="0"/>
          <w:numId w:val="2"/>
        </w:numPr>
        <w:spacing w:after="80" w:line="300"/>
      </w:pPr>
      <w:r>
        <w:rPr>
          <w:sz w:val="22"/>
          <w:szCs w:val="22"/>
        </w:rPr>
        <w:t xml:space="preserve">The court enters a scheduling order and initial disclosures are exchanged, which means Chase must start producing documents.</w:t>
      </w:r>
    </w:p>
    <w:p>
      <w:pPr>
        <w:pStyle w:val="ListParagraph"/>
        <w:numPr>
          <w:ilvl w:val="0"/>
          <w:numId w:val="2"/>
        </w:numPr>
        <w:spacing w:after="80" w:line="300"/>
      </w:pPr>
      <w:r>
        <w:rPr>
          <w:sz w:val="22"/>
          <w:szCs w:val="22"/>
        </w:rPr>
        <w:t xml:space="preserve">External regulatory pressure (CFPB / OCC / Louisiana OFI) reaches Chase's compliance leadership, which means the litigation team no longer controls the settlement conversation.</w:t>
      </w:r>
    </w:p>
    <w:p>
      <w:pPr>
        <w:spacing w:after="120" w:line="300"/>
        <w:jc w:val="left"/>
      </w:pPr>
      <w:r>
        <w:rPr>
          <w:sz w:val="22"/>
          <w:szCs w:val="22"/>
        </w:rPr>
        <w:t xml:space="preserve">The action plan above is designed to make at least one of the three events happen within the next 60 days. Once any of them happens, the negotiating dynamic changes because Chase's cost curve inverts — the cheaper option becomes payment or settlement rather than continued discovery.</w:t>
      </w:r>
    </w:p>
    <w:p>
      <w:pPr>
        <w:pStyle w:val="Heading2"/>
        <w:spacing w:after="120" w:before="280"/>
      </w:pPr>
      <w:r>
        <w:rPr>
          <w:b/>
          <w:bCs/>
          <w:sz w:val="26"/>
          <w:szCs w:val="26"/>
        </w:rPr>
        <w:t xml:space="preserve">7.1  What Chase almost certainly does next</w:t>
      </w:r>
    </w:p>
    <w:p>
      <w:pPr>
        <w:pStyle w:val="ListParagraph"/>
        <w:numPr>
          <w:ilvl w:val="0"/>
          <w:numId w:val="2"/>
        </w:numPr>
        <w:spacing w:after="80" w:line="300"/>
      </w:pPr>
      <w:r>
        <w:rPr>
          <w:sz w:val="22"/>
          <w:szCs w:val="22"/>
        </w:rPr>
        <w:t xml:space="preserve">Files a motion to stay discovery pending the MTD. That motion is a gift — it puts Chase on record refusing to answer questions about the instrument.</w:t>
      </w:r>
    </w:p>
    <w:p>
      <w:pPr>
        <w:pStyle w:val="ListParagraph"/>
        <w:numPr>
          <w:ilvl w:val="0"/>
          <w:numId w:val="2"/>
        </w:numPr>
        <w:spacing w:after="80" w:line="300"/>
      </w:pPr>
      <w:r>
        <w:rPr>
          <w:sz w:val="22"/>
          <w:szCs w:val="22"/>
        </w:rPr>
        <w:t xml:space="preserve">If the substitution motion is granted, files a renewed motion to dismiss the Amended Complaint. The FCRA count is the one clean vulnerability; the rest are defensible.</w:t>
      </w:r>
    </w:p>
    <w:p>
      <w:pPr>
        <w:pStyle w:val="ListParagraph"/>
        <w:numPr>
          <w:ilvl w:val="0"/>
          <w:numId w:val="2"/>
        </w:numPr>
        <w:spacing w:after="80" w:line="300"/>
      </w:pPr>
      <w:r>
        <w:rPr>
          <w:sz w:val="22"/>
          <w:szCs w:val="22"/>
        </w:rPr>
        <w:t xml:space="preserve">Files additional pejorative language ("vapor money," "sovereign citizen") that continues to substitute rhetoric for evidence. Every filing that recites those labels without producing a business record makes the "produced no ledger entries" observation more powerful.</w:t>
      </w:r>
    </w:p>
    <w:p>
      <w:pPr>
        <w:pStyle w:val="Heading2"/>
        <w:spacing w:after="120" w:before="280"/>
      </w:pPr>
      <w:r>
        <w:rPr>
          <w:b/>
          <w:bCs/>
          <w:sz w:val="26"/>
          <w:szCs w:val="26"/>
        </w:rPr>
        <w:t xml:space="preserve">7.2  What the court likely does next</w:t>
      </w:r>
    </w:p>
    <w:p>
      <w:pPr>
        <w:spacing w:after="120" w:line="300"/>
        <w:jc w:val="left"/>
      </w:pPr>
      <w:r>
        <w:rPr>
          <w:sz w:val="22"/>
          <w:szCs w:val="22"/>
        </w:rPr>
        <w:t xml:space="preserve">The most probable near-term docket entries — in the order they are likely to occur — are:</w:t>
      </w:r>
    </w:p>
    <w:p>
      <w:pPr>
        <w:pStyle w:val="ListParagraph"/>
        <w:numPr>
          <w:ilvl w:val="0"/>
          <w:numId w:val="2"/>
        </w:numPr>
        <w:spacing w:after="80" w:line="300"/>
      </w:pPr>
      <w:r>
        <w:rPr>
          <w:sz w:val="22"/>
          <w:szCs w:val="22"/>
        </w:rPr>
        <w:t xml:space="preserve">A Magistrate order on the Motion to Substitute (ECF 32). Chase's failure to brief the Rule 17(a)(3) prejudice prong makes this the count-1 favored ruling for Plaintiff.</w:t>
      </w:r>
    </w:p>
    <w:p>
      <w:pPr>
        <w:pStyle w:val="ListParagraph"/>
        <w:numPr>
          <w:ilvl w:val="0"/>
          <w:numId w:val="2"/>
        </w:numPr>
        <w:spacing w:after="80" w:line="300"/>
      </w:pPr>
      <w:r>
        <w:rPr>
          <w:sz w:val="22"/>
          <w:szCs w:val="22"/>
        </w:rPr>
        <w:t xml:space="preserve">A Magistrate order on the Motion to Strike Reply (ECF 36). Chase's LR 7(f) framing is thin. A partial grant that treats the surplus reply pages as stricken but preserves the underlying substitution briefing is a realistic middle outcome.</w:t>
      </w:r>
    </w:p>
    <w:p>
      <w:pPr>
        <w:pStyle w:val="ListParagraph"/>
        <w:numPr>
          <w:ilvl w:val="0"/>
          <w:numId w:val="2"/>
        </w:numPr>
        <w:spacing w:after="80" w:line="300"/>
      </w:pPr>
      <w:r>
        <w:rPr>
          <w:sz w:val="22"/>
          <w:szCs w:val="22"/>
        </w:rPr>
        <w:t xml:space="preserve">A ruling on the Motion to Remand (ECF 5) and/or the Motion to Dismiss (ECF 4). Chief Judge Dick has held both since April. A ruling that keeps the case in federal court but preserves at least one count is enough momentum to change the settlement posture.</w:t>
      </w:r>
    </w:p>
    <w:p>
      <w:pPr>
        <w:pStyle w:val="Heading1"/>
        <w:spacing w:after="160" w:before="360"/>
      </w:pPr>
      <w:r>
        <w:rPr>
          <w:b/>
          <w:bCs/>
          <w:sz w:val="32"/>
          <w:szCs w:val="32"/>
        </w:rPr>
        <w:t xml:space="preserve">8.  Decision Points to Confirm</w:t>
      </w:r>
    </w:p>
    <w:p>
      <w:pPr>
        <w:spacing w:after="120" w:line="300"/>
        <w:jc w:val="left"/>
      </w:pPr>
      <w:r>
        <w:rPr>
          <w:sz w:val="22"/>
          <w:szCs w:val="22"/>
        </w:rPr>
        <w:t xml:space="preserve">Before executing the action plan, five decisions should be made deliberately:</w:t>
      </w:r>
    </w:p>
    <w:p>
      <w:pPr>
        <w:pStyle w:val="ListParagraph"/>
        <w:numPr>
          <w:ilvl w:val="0"/>
          <w:numId w:val="2"/>
        </w:numPr>
        <w:spacing w:after="80" w:line="300"/>
      </w:pPr>
      <w:r>
        <w:rPr>
          <w:sz w:val="22"/>
          <w:szCs w:val="22"/>
        </w:rPr>
        <w:t xml:space="preserve">Whether to file all three regulatory complaints simultaneously (higher pressure, more visibility) or stagger them (allow each response cycle to generate its own record).</w:t>
      </w:r>
    </w:p>
    <w:p>
      <w:pPr>
        <w:pStyle w:val="ListParagraph"/>
        <w:numPr>
          <w:ilvl w:val="0"/>
          <w:numId w:val="2"/>
        </w:numPr>
        <w:spacing w:after="80" w:line="300"/>
      </w:pPr>
      <w:r>
        <w:rPr>
          <w:sz w:val="22"/>
          <w:szCs w:val="22"/>
        </w:rPr>
        <w:t xml:space="preserve">Whether to combine Moves #2 and #4 (Rule 26(f) + Rule 26(d)(1)) into a single motion or file them sequentially. Sequential filings preserve two separate procedural events; combined filings save briefing.</w:t>
      </w:r>
    </w:p>
    <w:p>
      <w:pPr>
        <w:pStyle w:val="ListParagraph"/>
        <w:numPr>
          <w:ilvl w:val="0"/>
          <w:numId w:val="2"/>
        </w:numPr>
        <w:spacing w:after="80" w:line="300"/>
      </w:pPr>
      <w:r>
        <w:rPr>
          <w:sz w:val="22"/>
          <w:szCs w:val="22"/>
        </w:rPr>
        <w:t xml:space="preserve">Whether to file the Notice of Supplemental Authority on Rule 17(a)(3) at all — the risk is that it invites Chase to file a sur-reply on substitution. Weigh against the value of keeping the strongest cases in front of the court.</w:t>
      </w:r>
    </w:p>
    <w:p>
      <w:pPr>
        <w:pStyle w:val="ListParagraph"/>
        <w:numPr>
          <w:ilvl w:val="0"/>
          <w:numId w:val="2"/>
        </w:numPr>
        <w:spacing w:after="80" w:line="300"/>
      </w:pPr>
      <w:r>
        <w:rPr>
          <w:sz w:val="22"/>
          <w:szCs w:val="22"/>
        </w:rPr>
        <w:t xml:space="preserve">The timing of the FCRA re-pleading. Doing it in the same filing as the Amended Complaint clean-up (if substitution is granted) is the cleanest path; doing it separately signals confusion.</w:t>
      </w:r>
    </w:p>
    <w:p>
      <w:pPr>
        <w:pStyle w:val="ListParagraph"/>
        <w:numPr>
          <w:ilvl w:val="0"/>
          <w:numId w:val="2"/>
        </w:numPr>
        <w:spacing w:after="80" w:line="300"/>
      </w:pPr>
      <w:r>
        <w:rPr>
          <w:sz w:val="22"/>
          <w:szCs w:val="22"/>
        </w:rPr>
        <w:t xml:space="preserve">Whether to send Chase's outside counsel a Rule 408 settlement communication after Moves #1-#3 are filed. A short, dry offer to discuss without prejudice may accelerate the settlement window once the procedural pressure is on.</w:t>
      </w:r>
    </w:p>
    <w:p>
      <w:pPr>
        <w:pStyle w:val="Heading1"/>
        <w:spacing w:after="160" w:before="360"/>
      </w:pPr>
      <w:r>
        <w:rPr>
          <w:b/>
          <w:bCs/>
          <w:sz w:val="32"/>
          <w:szCs w:val="32"/>
        </w:rPr>
        <w:t xml:space="preserve">Appendix A.  Verified Legal Authorities</w:t>
      </w:r>
    </w:p>
    <w:p>
      <w:pPr>
        <w:pStyle w:val="Heading2"/>
        <w:spacing w:after="120" w:before="280"/>
      </w:pPr>
      <w:r>
        <w:rPr>
          <w:b/>
          <w:bCs/>
          <w:sz w:val="26"/>
          <w:szCs w:val="26"/>
        </w:rPr>
        <w:t xml:space="preserve">A.1  Federal Rules</w:t>
      </w:r>
    </w:p>
    <w:p>
      <w:pPr>
        <w:pStyle w:val="ListParagraph"/>
        <w:numPr>
          <w:ilvl w:val="0"/>
          <w:numId w:val="2"/>
        </w:numPr>
        <w:spacing w:after="80" w:line="300"/>
      </w:pPr>
      <w:r>
        <w:rPr>
          <w:sz w:val="22"/>
          <w:szCs w:val="22"/>
        </w:rPr>
        <w:t xml:space="preserve">Fed. R. Civ. P. 17(a)(3) — real-party-in-interest substitution.</w:t>
      </w:r>
    </w:p>
    <w:p>
      <w:pPr>
        <w:pStyle w:val="ListParagraph"/>
        <w:numPr>
          <w:ilvl w:val="0"/>
          <w:numId w:val="2"/>
        </w:numPr>
        <w:spacing w:after="80" w:line="300"/>
      </w:pPr>
      <w:r>
        <w:rPr>
          <w:sz w:val="22"/>
          <w:szCs w:val="22"/>
        </w:rPr>
        <w:t xml:space="preserve">Fed. R. Civ. P. 15(a)(2) — leave to amend freely given.</w:t>
      </w:r>
    </w:p>
    <w:p>
      <w:pPr>
        <w:pStyle w:val="ListParagraph"/>
        <w:numPr>
          <w:ilvl w:val="0"/>
          <w:numId w:val="2"/>
        </w:numPr>
        <w:spacing w:after="80" w:line="300"/>
      </w:pPr>
      <w:r>
        <w:rPr>
          <w:sz w:val="22"/>
          <w:szCs w:val="22"/>
        </w:rPr>
        <w:t xml:space="preserve">Fed. R. Civ. P. 26(a)(1) — initial disclosures.</w:t>
      </w:r>
    </w:p>
    <w:p>
      <w:pPr>
        <w:pStyle w:val="ListParagraph"/>
        <w:numPr>
          <w:ilvl w:val="0"/>
          <w:numId w:val="2"/>
        </w:numPr>
        <w:spacing w:after="80" w:line="300"/>
      </w:pPr>
      <w:r>
        <w:rPr>
          <w:sz w:val="22"/>
          <w:szCs w:val="22"/>
        </w:rPr>
        <w:t xml:space="preserve">Fed. R. Civ. P. 26(d)(1) — early discovery on court order.</w:t>
      </w:r>
    </w:p>
    <w:p>
      <w:pPr>
        <w:pStyle w:val="ListParagraph"/>
        <w:numPr>
          <w:ilvl w:val="0"/>
          <w:numId w:val="2"/>
        </w:numPr>
        <w:spacing w:after="80" w:line="300"/>
      </w:pPr>
      <w:r>
        <w:rPr>
          <w:sz w:val="22"/>
          <w:szCs w:val="22"/>
        </w:rPr>
        <w:t xml:space="preserve">Fed. R. Civ. P. 26(f) — discovery conference and plan.</w:t>
      </w:r>
    </w:p>
    <w:p>
      <w:pPr>
        <w:pStyle w:val="ListParagraph"/>
        <w:numPr>
          <w:ilvl w:val="0"/>
          <w:numId w:val="2"/>
        </w:numPr>
        <w:spacing w:after="80" w:line="300"/>
      </w:pPr>
      <w:r>
        <w:rPr>
          <w:sz w:val="22"/>
          <w:szCs w:val="22"/>
        </w:rPr>
        <w:t xml:space="preserve">Fed. R. Civ. P. 27 — depositions before an action.</w:t>
      </w:r>
    </w:p>
    <w:p>
      <w:pPr>
        <w:pStyle w:val="Heading2"/>
        <w:spacing w:after="120" w:before="280"/>
      </w:pPr>
      <w:r>
        <w:rPr>
          <w:b/>
          <w:bCs/>
          <w:sz w:val="26"/>
          <w:szCs w:val="26"/>
        </w:rPr>
        <w:t xml:space="preserve">A.2  Fifth Circuit and Middle District of Louisiana</w:t>
      </w:r>
    </w:p>
    <w:p>
      <w:pPr>
        <w:pStyle w:val="ListParagraph"/>
        <w:numPr>
          <w:ilvl w:val="0"/>
          <w:numId w:val="2"/>
        </w:numPr>
        <w:spacing w:after="80" w:line="300"/>
      </w:pPr>
      <w:r>
        <w:rPr>
          <w:sz w:val="22"/>
          <w:szCs w:val="22"/>
        </w:rPr>
        <w:t xml:space="preserve">Wieburg v. GTE Sw., Inc., 272 F.3d 302, 308 (5th Cir. 2001) — Rule 17(a)(3) substitution is favored; dismissal disfavored.</w:t>
      </w:r>
    </w:p>
    <w:p>
      <w:pPr>
        <w:pStyle w:val="ListParagraph"/>
        <w:numPr>
          <w:ilvl w:val="0"/>
          <w:numId w:val="2"/>
        </w:numPr>
        <w:spacing w:after="80" w:line="300"/>
      </w:pPr>
      <w:r>
        <w:rPr>
          <w:sz w:val="22"/>
          <w:szCs w:val="22"/>
        </w:rPr>
        <w:t xml:space="preserve">Rideau v. Keller ISD, 819 F.3d 155, 165-66 (5th Cir. 2016) — prejudice prong required for denial.</w:t>
      </w:r>
    </w:p>
    <w:p>
      <w:pPr>
        <w:pStyle w:val="ListParagraph"/>
        <w:numPr>
          <w:ilvl w:val="0"/>
          <w:numId w:val="2"/>
        </w:numPr>
        <w:spacing w:after="80" w:line="300"/>
      </w:pPr>
      <w:r>
        <w:rPr>
          <w:sz w:val="22"/>
          <w:szCs w:val="22"/>
        </w:rPr>
        <w:t xml:space="preserve">In re Complaint of RLB Contracting, Inc., 2021 WL 3204860 (5th Cir. Jul. 30, 2021) — Rule 17(a)(3) reversible error to deny substitution without prejudice analysis.</w:t>
      </w:r>
    </w:p>
    <w:p>
      <w:pPr>
        <w:pStyle w:val="ListParagraph"/>
        <w:numPr>
          <w:ilvl w:val="0"/>
          <w:numId w:val="2"/>
        </w:numPr>
        <w:spacing w:after="80" w:line="300"/>
      </w:pPr>
      <w:r>
        <w:rPr>
          <w:sz w:val="22"/>
          <w:szCs w:val="22"/>
        </w:rPr>
        <w:t xml:space="preserve">Memon v. Allied Domecq QSR, 385 F.3d 871, 873 (5th Cir. 2004) — Rule 17(a)(3) applied to standing issues.</w:t>
      </w:r>
    </w:p>
    <w:p>
      <w:pPr>
        <w:pStyle w:val="ListParagraph"/>
        <w:numPr>
          <w:ilvl w:val="0"/>
          <w:numId w:val="2"/>
        </w:numPr>
        <w:spacing w:after="80" w:line="300"/>
      </w:pPr>
      <w:r>
        <w:rPr>
          <w:sz w:val="22"/>
          <w:szCs w:val="22"/>
        </w:rPr>
        <w:t xml:space="preserve">JMCB, LLC v. Bd. of Commerce &amp; Indus., 336 F. Supp. 3d 620, 634 (M.D. La. 2018) (deGravelles, J.) — arguments not briefed are conceded / waived.</w:t>
      </w:r>
    </w:p>
    <w:p>
      <w:pPr>
        <w:pStyle w:val="ListParagraph"/>
        <w:numPr>
          <w:ilvl w:val="0"/>
          <w:numId w:val="2"/>
        </w:numPr>
        <w:spacing w:after="80" w:line="300"/>
      </w:pPr>
      <w:r>
        <w:rPr>
          <w:sz w:val="22"/>
          <w:szCs w:val="22"/>
        </w:rPr>
        <w:t xml:space="preserve">Doe v. Charter Communications, LLC, 131 F.4th 323 (5th Cir. 2025) — no private right of action under FCRA § 1681m.</w:t>
      </w:r>
    </w:p>
    <w:p>
      <w:pPr>
        <w:pStyle w:val="Heading2"/>
        <w:spacing w:after="120" w:before="280"/>
      </w:pPr>
      <w:r>
        <w:rPr>
          <w:b/>
          <w:bCs/>
          <w:sz w:val="26"/>
          <w:szCs w:val="26"/>
        </w:rPr>
        <w:t xml:space="preserve">A.3  Supreme Court</w:t>
      </w:r>
    </w:p>
    <w:p>
      <w:pPr>
        <w:pStyle w:val="ListParagraph"/>
        <w:numPr>
          <w:ilvl w:val="0"/>
          <w:numId w:val="2"/>
        </w:numPr>
        <w:spacing w:after="80" w:line="300"/>
      </w:pPr>
      <w:r>
        <w:rPr>
          <w:sz w:val="22"/>
          <w:szCs w:val="22"/>
        </w:rPr>
        <w:t xml:space="preserve">New Hampshire v. Maine, 532 U.S. 742, 749-51 (2001) — judicial estoppel bars a party from taking clearly inconsistent positions.</w:t>
      </w:r>
    </w:p>
    <w:p>
      <w:pPr>
        <w:pStyle w:val="ListParagraph"/>
        <w:numPr>
          <w:ilvl w:val="0"/>
          <w:numId w:val="2"/>
        </w:numPr>
        <w:spacing w:after="80" w:line="300"/>
      </w:pPr>
      <w:r>
        <w:rPr>
          <w:sz w:val="22"/>
          <w:szCs w:val="22"/>
        </w:rPr>
        <w:t xml:space="preserve">Foman v. Davis, 371 U.S. 178, 182 (1962) — Rule 15(a) amendment standard.</w:t>
      </w:r>
    </w:p>
    <w:p>
      <w:pPr>
        <w:pStyle w:val="ListParagraph"/>
        <w:numPr>
          <w:ilvl w:val="0"/>
          <w:numId w:val="2"/>
        </w:numPr>
        <w:spacing w:after="80" w:line="300"/>
      </w:pPr>
      <w:r>
        <w:rPr>
          <w:sz w:val="22"/>
          <w:szCs w:val="22"/>
        </w:rPr>
        <w:t xml:space="preserve">Ashcroft v. Iqbal, 556 U.S. 662 (2009); Bell Atl. Corp. v. Twombly, 550 U.S. 544 (2007) — 12(b)(6) plausibility standard.</w:t>
      </w:r>
    </w:p>
    <w:p>
      <w:pPr>
        <w:pStyle w:val="Heading2"/>
        <w:spacing w:after="120" w:before="280"/>
      </w:pPr>
      <w:r>
        <w:rPr>
          <w:b/>
          <w:bCs/>
          <w:sz w:val="26"/>
          <w:szCs w:val="26"/>
        </w:rPr>
        <w:t xml:space="preserve">A.4  Louisiana UCC (Article 3)</w:t>
      </w:r>
    </w:p>
    <w:p>
      <w:pPr>
        <w:pStyle w:val="ListParagraph"/>
        <w:numPr>
          <w:ilvl w:val="0"/>
          <w:numId w:val="2"/>
        </w:numPr>
        <w:spacing w:after="80" w:line="300"/>
      </w:pPr>
      <w:r>
        <w:rPr>
          <w:sz w:val="22"/>
          <w:szCs w:val="22"/>
        </w:rPr>
        <w:t xml:space="preserve">La. R.S. § 10:3-101 et seq. — negotiable instruments.</w:t>
      </w:r>
    </w:p>
    <w:p>
      <w:pPr>
        <w:pStyle w:val="ListParagraph"/>
        <w:numPr>
          <w:ilvl w:val="0"/>
          <w:numId w:val="2"/>
        </w:numPr>
        <w:spacing w:after="80" w:line="300"/>
      </w:pPr>
      <w:r>
        <w:rPr>
          <w:sz w:val="22"/>
          <w:szCs w:val="22"/>
        </w:rPr>
        <w:t xml:space="preserve">La. R.S. § 10:3-203 — transfer and assignment.</w:t>
      </w:r>
    </w:p>
    <w:p>
      <w:pPr>
        <w:pStyle w:val="ListParagraph"/>
        <w:numPr>
          <w:ilvl w:val="0"/>
          <w:numId w:val="2"/>
        </w:numPr>
        <w:spacing w:after="80" w:line="300"/>
      </w:pPr>
      <w:r>
        <w:rPr>
          <w:sz w:val="22"/>
          <w:szCs w:val="22"/>
        </w:rPr>
        <w:t xml:space="preserve">La. R.S. § 10:3-301 — person entitled to enforce.</w:t>
      </w:r>
    </w:p>
    <w:p>
      <w:pPr>
        <w:pStyle w:val="ListParagraph"/>
        <w:numPr>
          <w:ilvl w:val="0"/>
          <w:numId w:val="2"/>
        </w:numPr>
        <w:spacing w:after="80" w:line="300"/>
      </w:pPr>
      <w:r>
        <w:rPr>
          <w:sz w:val="22"/>
          <w:szCs w:val="22"/>
        </w:rPr>
        <w:t xml:space="preserve">La. R.S. § 10:3-420 — conversion of instrument.</w:t>
      </w:r>
    </w:p>
    <w:p>
      <w:pPr>
        <w:pStyle w:val="ListParagraph"/>
        <w:numPr>
          <w:ilvl w:val="0"/>
          <w:numId w:val="2"/>
        </w:numPr>
        <w:spacing w:after="80" w:line="300"/>
      </w:pPr>
      <w:r>
        <w:rPr>
          <w:sz w:val="22"/>
          <w:szCs w:val="22"/>
        </w:rPr>
        <w:t xml:space="preserve">La. R.S. § 10:3-501 — presentment.</w:t>
      </w:r>
    </w:p>
    <w:p>
      <w:pPr>
        <w:pStyle w:val="ListParagraph"/>
        <w:numPr>
          <w:ilvl w:val="0"/>
          <w:numId w:val="2"/>
        </w:numPr>
        <w:spacing w:after="80" w:line="300"/>
      </w:pPr>
      <w:r>
        <w:rPr>
          <w:sz w:val="22"/>
          <w:szCs w:val="22"/>
        </w:rPr>
        <w:t xml:space="preserve">La. R.S. § 10:3-502 — dishonor.</w:t>
      </w:r>
    </w:p>
    <w:p>
      <w:pPr>
        <w:pStyle w:val="ListParagraph"/>
        <w:numPr>
          <w:ilvl w:val="0"/>
          <w:numId w:val="2"/>
        </w:numPr>
        <w:spacing w:after="80" w:line="300"/>
      </w:pPr>
      <w:r>
        <w:rPr>
          <w:sz w:val="22"/>
          <w:szCs w:val="22"/>
        </w:rPr>
        <w:t xml:space="preserve">La. R.S. § 10:3-503 — notice of dishonor.</w:t>
      </w:r>
    </w:p>
    <w:p>
      <w:pPr>
        <w:pStyle w:val="ListParagraph"/>
        <w:numPr>
          <w:ilvl w:val="0"/>
          <w:numId w:val="2"/>
        </w:numPr>
        <w:spacing w:after="80" w:line="300"/>
      </w:pPr>
      <w:r>
        <w:rPr>
          <w:sz w:val="22"/>
          <w:szCs w:val="22"/>
        </w:rPr>
        <w:t xml:space="preserve">La. R.S. § 10:3-505 — evidence of dishonor.</w:t>
      </w:r>
    </w:p>
    <w:p>
      <w:pPr>
        <w:pStyle w:val="ListParagraph"/>
        <w:numPr>
          <w:ilvl w:val="0"/>
          <w:numId w:val="2"/>
        </w:numPr>
        <w:spacing w:after="80" w:line="300"/>
      </w:pPr>
      <w:r>
        <w:rPr>
          <w:sz w:val="22"/>
          <w:szCs w:val="22"/>
        </w:rPr>
        <w:t xml:space="preserve">La. R.S. § 10:1-304 — good-faith obligation.</w:t>
      </w:r>
    </w:p>
    <w:p>
      <w:pPr>
        <w:pStyle w:val="Heading2"/>
        <w:spacing w:after="120" w:before="280"/>
      </w:pPr>
      <w:r>
        <w:rPr>
          <w:b/>
          <w:bCs/>
          <w:sz w:val="26"/>
          <w:szCs w:val="26"/>
        </w:rPr>
        <w:t xml:space="preserve">A.5  Federal Consumer / Banking</w:t>
      </w:r>
    </w:p>
    <w:p>
      <w:pPr>
        <w:pStyle w:val="ListParagraph"/>
        <w:numPr>
          <w:ilvl w:val="0"/>
          <w:numId w:val="2"/>
        </w:numPr>
        <w:spacing w:after="80" w:line="300"/>
      </w:pPr>
      <w:r>
        <w:rPr>
          <w:sz w:val="22"/>
          <w:szCs w:val="22"/>
        </w:rPr>
        <w:t xml:space="preserve">15 U.S.C. § 1691(d) (ECOA) — adverse-action notice.</w:t>
      </w:r>
    </w:p>
    <w:p>
      <w:pPr>
        <w:pStyle w:val="ListParagraph"/>
        <w:numPr>
          <w:ilvl w:val="0"/>
          <w:numId w:val="2"/>
        </w:numPr>
        <w:spacing w:after="80" w:line="300"/>
      </w:pPr>
      <w:r>
        <w:rPr>
          <w:sz w:val="22"/>
          <w:szCs w:val="22"/>
        </w:rPr>
        <w:t xml:space="preserve">15 U.S.C. § 1681b (FCRA) — impermissible purpose (correct home for FCRA count).</w:t>
      </w:r>
    </w:p>
    <w:p>
      <w:pPr>
        <w:pStyle w:val="ListParagraph"/>
        <w:numPr>
          <w:ilvl w:val="0"/>
          <w:numId w:val="2"/>
        </w:numPr>
        <w:spacing w:after="80" w:line="300"/>
      </w:pPr>
      <w:r>
        <w:rPr>
          <w:sz w:val="22"/>
          <w:szCs w:val="22"/>
        </w:rPr>
        <w:t xml:space="preserve">31 C.F.R. § 1020.220 (BSA) — Customer Identification Program.</w:t>
      </w:r>
    </w:p>
    <w:p>
      <w:pPr>
        <w:pStyle w:val="ListParagraph"/>
        <w:numPr>
          <w:ilvl w:val="0"/>
          <w:numId w:val="2"/>
        </w:numPr>
        <w:spacing w:after="80" w:line="300"/>
      </w:pPr>
      <w:r>
        <w:rPr>
          <w:sz w:val="22"/>
          <w:szCs w:val="22"/>
        </w:rPr>
        <w:t xml:space="preserve">28 U.S.C. § 1332 — diversity jurisdiction.</w:t>
      </w:r>
    </w:p>
    <w:p>
      <w:pPr>
        <w:pStyle w:val="ListParagraph"/>
        <w:numPr>
          <w:ilvl w:val="0"/>
          <w:numId w:val="2"/>
        </w:numPr>
        <w:spacing w:after="80" w:line="300"/>
      </w:pPr>
      <w:r>
        <w:rPr>
          <w:sz w:val="22"/>
          <w:szCs w:val="22"/>
        </w:rPr>
        <w:t xml:space="preserve">28 U.S.C. § 1441, § 1446 — removal.</w:t>
      </w:r>
    </w:p>
    <w:p>
      <w:pPr>
        <w:pStyle w:val="ListParagraph"/>
        <w:numPr>
          <w:ilvl w:val="0"/>
          <w:numId w:val="2"/>
        </w:numPr>
        <w:spacing w:after="80" w:line="300"/>
      </w:pPr>
      <w:r>
        <w:rPr>
          <w:sz w:val="22"/>
          <w:szCs w:val="22"/>
        </w:rPr>
        <w:t xml:space="preserve">28 U.S.C. § 1654 — right to proceed pro se.</w:t>
      </w:r>
    </w:p>
    <w:p>
      <w:pPr>
        <w:pStyle w:val="Heading1"/>
        <w:spacing w:after="160" w:before="360"/>
      </w:pPr>
      <w:r>
        <w:rPr>
          <w:b/>
          <w:bCs/>
          <w:sz w:val="32"/>
          <w:szCs w:val="32"/>
        </w:rPr>
        <w:t xml:space="preserve">Appendix B.  Filing-Window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Filing</w:t>
            </w:r>
          </w:p>
        </w:tc>
        <w:tc>
          <w:tcPr>
            <w:tcW w:type="dxa" w:w="300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Deadline / Recommended Date</w:t>
            </w:r>
          </w:p>
        </w:tc>
        <w:tc>
          <w:tcPr>
            <w:tcW w:type="dxa" w:w="3160"/>
            <w:tcBorders>
              <w:top w:val="single" w:color="9B9B9B" w:sz="4"/>
              <w:left w:val="single" w:color="9B9B9B" w:sz="4"/>
              <w:bottom w:val="single" w:color="9B9B9B" w:sz="4"/>
              <w:right w:val="single" w:color="9B9B9B" w:sz="4"/>
            </w:tcBorders>
            <w:shd w:fill="EDECE6" w:val="clear"/>
            <w:tcMar>
              <w:top w:type="dxa" w:w="80"/>
              <w:left w:type="dxa" w:w="120"/>
              <w:bottom w:type="dxa" w:w="80"/>
              <w:right w:type="dxa" w:w="120"/>
            </w:tcMar>
          </w:tcPr>
          <w:p>
            <w:pPr>
              <w:spacing w:after="40" w:line="280"/>
            </w:pPr>
            <w:r>
              <w:rPr>
                <w:b/>
                <w:bCs/>
                <w:sz w:val="20"/>
                <w:szCs w:val="20"/>
              </w:rPr>
              <w:t xml:space="preserve">Effect</w:t>
            </w:r>
          </w:p>
        </w:tc>
      </w:tr>
      <w:tr>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Opposition to ECF 36 (Motion to Strike Reply)</w:t>
            </w:r>
          </w:p>
        </w:tc>
        <w:tc>
          <w:tcPr>
            <w:tcW w:type="dxa" w:w="3000"/>
            <w:tcBorders>
              <w:top w:val="single" w:color="9B9B9B" w:sz="4"/>
              <w:left w:val="single" w:color="9B9B9B" w:sz="4"/>
              <w:bottom w:val="single" w:color="9B9B9B" w:sz="4"/>
              <w:right w:val="single" w:color="9B9B9B" w:sz="4"/>
            </w:tcBorders>
            <w:shd w:fill="F5F1E6" w:val="clear"/>
            <w:tcMar>
              <w:top w:type="dxa" w:w="80"/>
              <w:left w:type="dxa" w:w="120"/>
              <w:bottom w:type="dxa" w:w="80"/>
              <w:right w:type="dxa" w:w="120"/>
            </w:tcMar>
          </w:tcPr>
          <w:p>
            <w:pPr>
              <w:spacing w:after="40" w:line="280"/>
            </w:pPr>
            <w:r>
              <w:rPr>
                <w:sz w:val="20"/>
                <w:szCs w:val="20"/>
              </w:rPr>
              <w:t xml:space="preserve">Deadline: Fri., Jul. 31, 2026  |  File by: Mon., Jul. 20, 2026</w:t>
            </w:r>
          </w:p>
        </w:tc>
        <w:tc>
          <w:tcPr>
            <w:tcW w:type="dxa" w:w="31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Neutralizes procedural attack on ECF 35.</w:t>
            </w:r>
          </w:p>
        </w:tc>
      </w:tr>
      <w:tr>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Notice of Supplemental Authority (Rule 17(a)(3))</w:t>
            </w:r>
          </w:p>
        </w:tc>
        <w:tc>
          <w:tcPr>
            <w:tcW w:type="dxa" w:w="30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Same day as opposition — Mon., Jul. 20, 2026</w:t>
            </w:r>
          </w:p>
        </w:tc>
        <w:tc>
          <w:tcPr>
            <w:tcW w:type="dxa" w:w="31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Reinforces substitution briefing without new reply.</w:t>
            </w:r>
          </w:p>
        </w:tc>
      </w:tr>
      <w:tr>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Motion for Rule 26(f) Scheduling Conference</w:t>
            </w:r>
          </w:p>
        </w:tc>
        <w:tc>
          <w:tcPr>
            <w:tcW w:type="dxa" w:w="30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Week of Jul. 27, 2026</w:t>
            </w:r>
          </w:p>
        </w:tc>
        <w:tc>
          <w:tcPr>
            <w:tcW w:type="dxa" w:w="31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Triggers initial-disclosure obligation.</w:t>
            </w:r>
          </w:p>
        </w:tc>
      </w:tr>
      <w:tr>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CFPB / OCC / Louisiana OFI complaints</w:t>
            </w:r>
          </w:p>
        </w:tc>
        <w:tc>
          <w:tcPr>
            <w:tcW w:type="dxa" w:w="30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Same week as Rule 26(f) motion</w:t>
            </w:r>
          </w:p>
        </w:tc>
        <w:tc>
          <w:tcPr>
            <w:tcW w:type="dxa" w:w="31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External regulatory pressure on Chase compliance.</w:t>
            </w:r>
          </w:p>
        </w:tc>
      </w:tr>
      <w:tr>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Motion for Limited Expedited Discovery (Rule 26(d)(1))</w:t>
            </w:r>
          </w:p>
        </w:tc>
        <w:tc>
          <w:tcPr>
            <w:tcW w:type="dxa" w:w="30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Aug. 10-15, 2026 (if Move #2 stalls)</w:t>
            </w:r>
          </w:p>
        </w:tc>
        <w:tc>
          <w:tcPr>
            <w:tcW w:type="dxa" w:w="31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Surgical CIP / mailroom / adverse-action targets.</w:t>
            </w:r>
          </w:p>
        </w:tc>
      </w:tr>
      <w:tr>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Motion to Compel Accounting (La. R.S. § 10:3-505)</w:t>
            </w:r>
          </w:p>
        </w:tc>
        <w:tc>
          <w:tcPr>
            <w:tcW w:type="dxa" w:w="30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Aug. 15-20, 2026</w:t>
            </w:r>
          </w:p>
        </w:tc>
        <w:tc>
          <w:tcPr>
            <w:tcW w:type="dxa" w:w="31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Statutory books-and-records demand.</w:t>
            </w:r>
          </w:p>
        </w:tc>
      </w:tr>
      <w:tr>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FCRA correction (§ 1681m → § 1681b)</w:t>
            </w:r>
          </w:p>
        </w:tc>
        <w:tc>
          <w:tcPr>
            <w:tcW w:type="dxa" w:w="30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Before Chase's next MTD brief</w:t>
            </w:r>
          </w:p>
        </w:tc>
        <w:tc>
          <w:tcPr>
            <w:tcW w:type="dxa" w:w="31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Closes the only clean 12(b)(6) hole.</w:t>
            </w:r>
          </w:p>
        </w:tc>
      </w:tr>
      <w:tr>
        <w:tc>
          <w:tcPr>
            <w:tcW w:type="dxa" w:w="32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Rule 27 petition (already drafted)</w:t>
            </w:r>
          </w:p>
        </w:tc>
        <w:tc>
          <w:tcPr>
            <w:tcW w:type="dxa" w:w="300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Reserve — file only if all above denied</w:t>
            </w:r>
          </w:p>
        </w:tc>
        <w:tc>
          <w:tcPr>
            <w:tcW w:type="dxa" w:w="3160"/>
            <w:tcBorders>
              <w:top w:val="single" w:color="9B9B9B" w:sz="4"/>
              <w:left w:val="single" w:color="9B9B9B" w:sz="4"/>
              <w:bottom w:val="single" w:color="9B9B9B" w:sz="4"/>
              <w:right w:val="single" w:color="9B9B9B" w:sz="4"/>
            </w:tcBorders>
            <w:tcMar>
              <w:top w:type="dxa" w:w="80"/>
              <w:left w:type="dxa" w:w="120"/>
              <w:bottom w:type="dxa" w:w="80"/>
              <w:right w:type="dxa" w:w="120"/>
            </w:tcMar>
          </w:tcPr>
          <w:p>
            <w:pPr>
              <w:spacing w:after="40" w:line="280"/>
            </w:pPr>
            <w:r>
              <w:rPr>
                <w:sz w:val="20"/>
                <w:szCs w:val="20"/>
              </w:rPr>
              <w:t xml:space="preserve">Contingency preservation-of-testimony device.</w:t>
            </w:r>
          </w:p>
        </w:tc>
      </w:tr>
    </w:tbl>
    <w:p>
      <w:pPr>
        <w:pStyle w:val="Heading1"/>
        <w:spacing w:after="160" w:before="360"/>
      </w:pPr>
      <w:r>
        <w:rPr>
          <w:b/>
          <w:bCs/>
          <w:sz w:val="32"/>
          <w:szCs w:val="32"/>
        </w:rPr>
        <w:t xml:space="preserve">Appendix C.  Filing Tone Reminders</w:t>
      </w:r>
    </w:p>
    <w:p>
      <w:pPr>
        <w:pStyle w:val="ListParagraph"/>
        <w:numPr>
          <w:ilvl w:val="0"/>
          <w:numId w:val="2"/>
        </w:numPr>
        <w:spacing w:after="80" w:line="300"/>
      </w:pPr>
      <w:r>
        <w:rPr>
          <w:sz w:val="22"/>
          <w:szCs w:val="22"/>
        </w:rPr>
        <w:t xml:space="preserve">Use: "the record demonstrates," "Defendant's position appears to be," "with respect."</w:t>
      </w:r>
    </w:p>
    <w:p>
      <w:pPr>
        <w:pStyle w:val="ListParagraph"/>
        <w:numPr>
          <w:ilvl w:val="0"/>
          <w:numId w:val="2"/>
        </w:numPr>
        <w:spacing w:after="80" w:line="300"/>
      </w:pPr>
      <w:r>
        <w:rPr>
          <w:sz w:val="22"/>
          <w:szCs w:val="22"/>
        </w:rPr>
        <w:t xml:space="preserve">Avoid: pejorative adjectives about counsel; sovereign-citizen vocabulary; language that could be characterized as gamesmanship.</w:t>
      </w:r>
    </w:p>
    <w:p>
      <w:pPr>
        <w:pStyle w:val="ListParagraph"/>
        <w:numPr>
          <w:ilvl w:val="0"/>
          <w:numId w:val="2"/>
        </w:numPr>
        <w:spacing w:after="80" w:line="300"/>
      </w:pPr>
      <w:r>
        <w:rPr>
          <w:sz w:val="22"/>
          <w:szCs w:val="22"/>
        </w:rPr>
        <w:t xml:space="preserve">Frame Chase's conduct in terms of the empty record — what Chase has not produced — rather than in terms of intent.</w:t>
      </w:r>
    </w:p>
    <w:p>
      <w:pPr>
        <w:pStyle w:val="ListParagraph"/>
        <w:numPr>
          <w:ilvl w:val="0"/>
          <w:numId w:val="2"/>
        </w:numPr>
        <w:spacing w:after="80" w:line="300"/>
      </w:pPr>
      <w:r>
        <w:rPr>
          <w:sz w:val="22"/>
          <w:szCs w:val="22"/>
        </w:rPr>
        <w:t xml:space="preserve">Every substantive assertion in every filing should be traceable to a primary source: a statute, a rule, a Fifth Circuit case, or an ECF-numbered docket entry in this case.</w:t>
      </w:r>
    </w:p>
    <w:p>
      <w:pPr>
        <w:pStyle w:val="ListParagraph"/>
        <w:numPr>
          <w:ilvl w:val="0"/>
          <w:numId w:val="2"/>
        </w:numPr>
        <w:spacing w:after="80" w:line="300"/>
      </w:pPr>
      <w:r>
        <w:rPr>
          <w:sz w:val="22"/>
          <w:szCs w:val="22"/>
        </w:rPr>
        <w:t xml:space="preserve">Caption every filing: ELI FIELDS, Plaintiff, v. JPMORGAN CHASE BANK, N.A., Defendant. Signature block: Eli Fields, Plaintiff Pro Se, 7200 Cypress Lakes Apt. Blvd., Suite 1020, Baton Rouge, Louisiana 70809, (973) 980-2343, elifieldswun@gmail.com.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Strategic Case Analysis  |  Fields v. JPMorgan Chase  |  Confidential Work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474D"/>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8251D"/>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825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2026-07-16T11:38:43.441Z</dcterms:created>
  <dcterms:modified xsi:type="dcterms:W3CDTF">2026-07-16T11:38:43.442Z</dcterms:modified>
</cp:coreProperties>
</file>

<file path=docProps/custom.xml><?xml version="1.0" encoding="utf-8"?>
<Properties xmlns="http://schemas.openxmlformats.org/officeDocument/2006/custom-properties" xmlns:vt="http://schemas.openxmlformats.org/officeDocument/2006/docPropsVTypes"/>
</file>